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06693" w14:textId="6E78AE72" w:rsidR="00BD5614" w:rsidRPr="00BD5614" w:rsidRDefault="002C1120" w:rsidP="004C7144">
      <w:pPr>
        <w:jc w:val="center"/>
        <w:rPr>
          <w:lang w:bidi="fa-IR"/>
        </w:rPr>
      </w:pPr>
      <w:r>
        <w:rPr>
          <w:rFonts w:hint="cs"/>
          <w:rtl/>
          <w:lang w:bidi="fa-IR"/>
        </w:rPr>
        <w:t>باسمه تعالی</w:t>
      </w:r>
    </w:p>
    <w:p w14:paraId="2781B69B" w14:textId="356D59DD" w:rsidR="006B2A76" w:rsidRPr="001C7F25" w:rsidRDefault="0007342C" w:rsidP="001C7F25">
      <w:pPr>
        <w:pStyle w:val="Title"/>
        <w:jc w:val="center"/>
        <w:rPr>
          <w:sz w:val="42"/>
          <w:szCs w:val="42"/>
          <w:rtl/>
          <w:lang w:bidi="fa-IR"/>
        </w:rPr>
      </w:pPr>
      <w:r>
        <w:rPr>
          <w:rFonts w:hint="cs"/>
          <w:sz w:val="42"/>
          <w:szCs w:val="42"/>
          <w:rtl/>
          <w:lang w:bidi="fa-IR"/>
        </w:rPr>
        <w:t>شفافیت پرداخت‌ها در ایران، بهره‌گیری از تجارب جهانی</w:t>
      </w:r>
    </w:p>
    <w:p w14:paraId="7A167BB4" w14:textId="67F89B9A" w:rsidR="008B645C" w:rsidRDefault="0007342C" w:rsidP="00EA630E">
      <w:pPr>
        <w:pStyle w:val="Heading1"/>
        <w:pBdr>
          <w:bottom w:val="single" w:sz="24" w:space="1" w:color="5B9BD5" w:themeColor="accent1"/>
        </w:pBdr>
        <w:rPr>
          <w:rtl/>
          <w:lang w:bidi="fa-IR"/>
        </w:rPr>
      </w:pPr>
      <w:bookmarkStart w:id="0" w:name="_Toc421365160"/>
      <w:r>
        <w:rPr>
          <w:rFonts w:hint="cs"/>
          <w:rtl/>
          <w:lang w:bidi="fa-IR"/>
        </w:rPr>
        <w:t>لید مطلب</w:t>
      </w:r>
    </w:p>
    <w:bookmarkEnd w:id="0"/>
    <w:p w14:paraId="39B30B05" w14:textId="77777777" w:rsidR="0007342C" w:rsidRDefault="0007342C" w:rsidP="0007342C">
      <w:pPr>
        <w:spacing w:line="360" w:lineRule="auto"/>
        <w:jc w:val="lowKashida"/>
        <w:rPr>
          <w:rFonts w:ascii="IranianSerif" w:hAnsi="IranianSerif" w:cs="B Mitra"/>
          <w:sz w:val="26"/>
          <w:rtl/>
          <w:lang w:bidi="fa-IR"/>
        </w:rPr>
      </w:pPr>
      <w:r w:rsidRPr="0007342C">
        <w:rPr>
          <w:rFonts w:ascii="IranianSerif" w:hAnsi="IranianSerif" w:cs="B Mitra" w:hint="cs"/>
          <w:sz w:val="26"/>
          <w:rtl/>
          <w:lang w:bidi="fa-IR"/>
        </w:rPr>
        <w:t>جلوگیری از پرداخت‌های غیرمتعارف در سازمان‌‌ها و نهادهای دولتی مشکلی نبوده است که منحصر در کشور ما ‌باشد. مرور تجربیات جهانی در این زمینه حاکی از آن است که بدون شفافیت در روابط مالی راهکارهای تقنینی و نظارتی معطوف به افزایش بهره‌وری و کاهش فساد، کارآمد نیستند و بالعکس در محیط شفاف حتی در صورت وجود بستر مساعد قانونی برای سوء استفاده، احتمال اضافه برداشت از منابع عمومی کاهش پیدا خواهد کرد. در این گزارش می‌کوشیم ضمن بررسی تجربیات جهانی در زمینه شفافیت پرداخت‌ها، به بررسی سامانه مشابه در کشورمان بپردازیم.</w:t>
      </w:r>
    </w:p>
    <w:p w14:paraId="24BA9A75" w14:textId="3B6E20AE" w:rsidR="0007342C" w:rsidRDefault="008D4682" w:rsidP="008D4682">
      <w:pPr>
        <w:pStyle w:val="Heading1"/>
        <w:rPr>
          <w:rtl/>
          <w:lang w:bidi="fa-IR"/>
        </w:rPr>
      </w:pPr>
      <w:r>
        <w:rPr>
          <w:rFonts w:hint="cs"/>
          <w:rtl/>
          <w:lang w:bidi="fa-IR"/>
        </w:rPr>
        <w:t>مقدمه</w:t>
      </w:r>
    </w:p>
    <w:p w14:paraId="0AE87FDE" w14:textId="77777777" w:rsidR="008D4682" w:rsidRPr="008D4682" w:rsidRDefault="008D4682" w:rsidP="008D4682">
      <w:pPr>
        <w:spacing w:line="360" w:lineRule="auto"/>
        <w:jc w:val="lowKashida"/>
        <w:rPr>
          <w:rFonts w:ascii="IranianSerif" w:hAnsi="IranianSerif" w:cs="B Mitra"/>
          <w:sz w:val="26"/>
          <w:rtl/>
          <w:lang w:bidi="fa-IR"/>
        </w:rPr>
      </w:pPr>
      <w:r w:rsidRPr="008D4682">
        <w:rPr>
          <w:rFonts w:ascii="IranianSerif" w:hAnsi="IranianSerif" w:cs="B Mitra" w:hint="cs"/>
          <w:sz w:val="26"/>
          <w:rtl/>
          <w:lang w:bidi="fa-IR"/>
        </w:rPr>
        <w:t xml:space="preserve">شفافیت اموال و دارایی‌های همواره به‌عنوان یکی از راهکار‌های مبارزه با فساد و رانت‌خواری اموال عمومی در جهان شناخته شده است. بنابر‌گزارش </w:t>
      </w:r>
      <w:hyperlink r:id="rId8" w:history="1">
        <w:r w:rsidRPr="008D4682">
          <w:rPr>
            <w:rStyle w:val="Hyperlink"/>
            <w:rFonts w:ascii="IranianSerif" w:hAnsi="IranianSerif" w:cs="B Mitra" w:hint="cs"/>
            <w:sz w:val="26"/>
            <w:rtl/>
            <w:lang w:bidi="fa-IR"/>
          </w:rPr>
          <w:t>بانک جهانی،</w:t>
        </w:r>
      </w:hyperlink>
      <w:r w:rsidRPr="008D4682">
        <w:rPr>
          <w:rFonts w:ascii="IranianSerif" w:hAnsi="IranianSerif" w:cs="B Mitra" w:hint="cs"/>
          <w:sz w:val="26"/>
          <w:rtl/>
          <w:lang w:bidi="fa-IR"/>
        </w:rPr>
        <w:t xml:space="preserve"> در سال 2012 چهل و هشت کشور جهان دارای الزامات اعلام عمومی دارایی‌های مسئولین در سطوح مختلف بوده‌اند. این کشورها در حوزه‌ی شفافیت دریافتی‌ها از منابع بخش عمومی سه روش عمده را دنبال می‌کنند :</w:t>
      </w:r>
    </w:p>
    <w:p w14:paraId="147E1429" w14:textId="77777777" w:rsidR="008D4682" w:rsidRPr="008D4682" w:rsidRDefault="008D4682" w:rsidP="008D4682">
      <w:pPr>
        <w:spacing w:line="360" w:lineRule="auto"/>
        <w:jc w:val="lowKashida"/>
        <w:rPr>
          <w:rFonts w:ascii="IranianSerif" w:hAnsi="IranianSerif" w:cs="B Mitra"/>
          <w:sz w:val="26"/>
          <w:rtl/>
          <w:lang w:bidi="fa-IR"/>
        </w:rPr>
      </w:pPr>
      <w:r w:rsidRPr="008D4682">
        <w:rPr>
          <w:rFonts w:ascii="IranianSerif" w:hAnsi="IranianSerif" w:cs="B Mitra" w:hint="cs"/>
          <w:sz w:val="26"/>
          <w:rtl/>
          <w:lang w:bidi="fa-IR"/>
        </w:rPr>
        <w:t>1</w:t>
      </w:r>
      <w:r w:rsidRPr="008D4682">
        <w:rPr>
          <w:rFonts w:ascii="IranianSerif" w:hAnsi="IranianSerif" w:cs="B Mitra"/>
          <w:sz w:val="26"/>
          <w:rtl/>
          <w:lang w:bidi="fa-IR"/>
        </w:rPr>
        <w:t>- اطلاعات دریافتی‌ها گزارش می‌شود، این گزارش‌دهی برای استفاده مراجع نظارتی است اما عموم دسترسی به آن‌ها ندار</w:t>
      </w:r>
      <w:r w:rsidRPr="008D4682">
        <w:rPr>
          <w:rFonts w:ascii="IranianSerif" w:hAnsi="IranianSerif" w:cs="B Mitra" w:hint="cs"/>
          <w:sz w:val="26"/>
          <w:rtl/>
          <w:lang w:bidi="fa-IR"/>
        </w:rPr>
        <w:t>ن</w:t>
      </w:r>
      <w:r w:rsidRPr="008D4682">
        <w:rPr>
          <w:rFonts w:ascii="IranianSerif" w:hAnsi="IranianSerif" w:cs="B Mitra"/>
          <w:sz w:val="26"/>
          <w:rtl/>
          <w:lang w:bidi="fa-IR"/>
        </w:rPr>
        <w:t>د.</w:t>
      </w:r>
    </w:p>
    <w:p w14:paraId="43D81853" w14:textId="77777777" w:rsidR="008D4682" w:rsidRPr="008D4682" w:rsidRDefault="008D4682" w:rsidP="008D4682">
      <w:pPr>
        <w:spacing w:line="360" w:lineRule="auto"/>
        <w:jc w:val="lowKashida"/>
        <w:rPr>
          <w:rFonts w:ascii="IranianSerif" w:hAnsi="IranianSerif" w:cs="B Mitra"/>
          <w:sz w:val="26"/>
          <w:rtl/>
          <w:lang w:bidi="fa-IR"/>
        </w:rPr>
      </w:pPr>
      <w:r w:rsidRPr="008D4682">
        <w:rPr>
          <w:rFonts w:ascii="IranianSerif" w:hAnsi="IranianSerif" w:cs="B Mitra"/>
          <w:sz w:val="26"/>
          <w:rtl/>
          <w:lang w:bidi="fa-IR"/>
        </w:rPr>
        <w:t>2- هرچند اطلاعات دریافتی‌ها برای استفاده مراجع نظارتی گزارش می‌شود،اما عموم نیز طبق رویه‌ها یا قوانین کشوری معطوف به آزادی اطلاعات، حق مطالبه و دسترسی به این اطلاعات را دارند.</w:t>
      </w:r>
    </w:p>
    <w:p w14:paraId="542A012B" w14:textId="77777777" w:rsidR="008D4682" w:rsidRPr="008D4682" w:rsidRDefault="008D4682" w:rsidP="008D4682">
      <w:pPr>
        <w:spacing w:line="360" w:lineRule="auto"/>
        <w:jc w:val="lowKashida"/>
        <w:rPr>
          <w:rFonts w:ascii="IranianSerif" w:hAnsi="IranianSerif" w:cs="B Mitra"/>
          <w:sz w:val="26"/>
          <w:rtl/>
          <w:lang w:bidi="fa-IR"/>
        </w:rPr>
      </w:pPr>
      <w:r w:rsidRPr="008D4682">
        <w:rPr>
          <w:rFonts w:ascii="IranianSerif" w:hAnsi="IranianSerif" w:cs="B Mitra"/>
          <w:sz w:val="26"/>
          <w:rtl/>
          <w:lang w:bidi="fa-IR"/>
        </w:rPr>
        <w:t>3- اطلاعات اگرچه برای استفاده مراجع نظارتی تهیه می‌شود، اما انتشار عمومی نیز می‌شوند.</w:t>
      </w:r>
    </w:p>
    <w:p w14:paraId="6A7BA05E" w14:textId="77777777" w:rsidR="008D4682" w:rsidRDefault="008D4682" w:rsidP="008D4682">
      <w:pPr>
        <w:spacing w:line="360" w:lineRule="auto"/>
        <w:jc w:val="lowKashida"/>
        <w:rPr>
          <w:rFonts w:ascii="IranianSerif" w:hAnsi="IranianSerif" w:cs="B Mitra"/>
          <w:sz w:val="26"/>
          <w:rtl/>
          <w:lang w:bidi="fa-IR"/>
        </w:rPr>
      </w:pPr>
      <w:r w:rsidRPr="008D4682">
        <w:rPr>
          <w:rFonts w:ascii="IranianSerif" w:hAnsi="IranianSerif" w:cs="B Mitra" w:hint="cs"/>
          <w:sz w:val="26"/>
          <w:rtl/>
          <w:lang w:bidi="fa-IR"/>
        </w:rPr>
        <w:t>در استفاده‌ی از روش‌های مذکور، سامانه‌های بسیاری بر روی فضای مجازی وجود دارند که در ادامه به بررسی آن‌ها خواهیم پرداخت :</w:t>
      </w:r>
    </w:p>
    <w:p w14:paraId="21887C6B" w14:textId="4F63CAA0" w:rsidR="008D4682" w:rsidRDefault="00EE7307" w:rsidP="00EE7307">
      <w:pPr>
        <w:pStyle w:val="Heading1"/>
        <w:rPr>
          <w:rtl/>
          <w:lang w:bidi="fa-IR"/>
        </w:rPr>
      </w:pPr>
      <w:r>
        <w:rPr>
          <w:rFonts w:hint="cs"/>
          <w:rtl/>
          <w:lang w:bidi="fa-IR"/>
        </w:rPr>
        <w:t>تجربیات جهانی</w:t>
      </w:r>
    </w:p>
    <w:p w14:paraId="7EBDB8B4" w14:textId="781BFF29" w:rsidR="00EE7307" w:rsidRDefault="00EE7307" w:rsidP="00EE7307">
      <w:pPr>
        <w:pStyle w:val="Heading2"/>
        <w:rPr>
          <w:rtl/>
          <w:lang w:bidi="fa-IR"/>
        </w:rPr>
      </w:pPr>
      <w:r>
        <w:rPr>
          <w:rFonts w:hint="cs"/>
          <w:rtl/>
          <w:lang w:bidi="fa-IR"/>
        </w:rPr>
        <w:t>سامانه نور آفتاب در کانادا</w:t>
      </w:r>
    </w:p>
    <w:p w14:paraId="0048D549" w14:textId="77777777" w:rsidR="00EE7307" w:rsidRDefault="00EE7307" w:rsidP="00EE7307">
      <w:pPr>
        <w:spacing w:line="360" w:lineRule="auto"/>
        <w:jc w:val="lowKashida"/>
        <w:rPr>
          <w:rFonts w:ascii="IranianSerif" w:hAnsi="IranianSerif" w:cs="B Mitra"/>
          <w:sz w:val="26"/>
          <w:rtl/>
          <w:lang w:bidi="fa-IR"/>
        </w:rPr>
      </w:pPr>
      <w:r w:rsidRPr="00EE7307">
        <w:rPr>
          <w:rFonts w:ascii="IranianSerif" w:hAnsi="IranianSerif" w:cs="B Mitra" w:hint="cs"/>
          <w:sz w:val="26"/>
          <w:rtl/>
          <w:lang w:bidi="fa-IR"/>
        </w:rPr>
        <w:lastRenderedPageBreak/>
        <w:t>در بسیاری از ایالت‌های کانادا، مطابق قانون افشای پرداخت‌های بخش عمومی، دریافتی‌های تمام مدیران یا کارکنان شاغل در بخش عمومی که بالای رقم خاصی دریافت می‌کنند ( مثلا صدهزار دلار در سال یا میانگین 8300 دلار در ماه برای ایالت اونتاریو کانادا یا 7500 دلار برای ایالت بریتیش کلمبیا و ... ) به‌تفکیک بخش و دستگاه با ذکر نام فرد و میزان دریافتی بر روی اینترنت به‌صورت قابل جستجو و گزارش‌گیری برای عموم منتشر می‌شود. این فهرست، از آن‌جایی که به مثابه‌ی تاباندن نور شفافیت بر روی پرداختی‌ها در بخش عمومی است، فهرست نور آفتاب نامیده می‌شود.</w:t>
      </w:r>
    </w:p>
    <w:p w14:paraId="052AFD6E" w14:textId="31847CB6" w:rsidR="00EE7307" w:rsidRDefault="00EE7307" w:rsidP="00EE7307">
      <w:pPr>
        <w:spacing w:line="360" w:lineRule="auto"/>
        <w:jc w:val="lowKashida"/>
        <w:rPr>
          <w:rFonts w:ascii="IranianSerif" w:hAnsi="IranianSerif" w:cs="B Mitra"/>
          <w:sz w:val="26"/>
          <w:rtl/>
          <w:lang w:bidi="fa-IR"/>
        </w:rPr>
      </w:pPr>
      <w:r>
        <w:rPr>
          <w:rFonts w:ascii="IranianSerif" w:hAnsi="IranianSerif" w:cs="B Mitra" w:hint="cs"/>
          <w:noProof/>
          <w:sz w:val="32"/>
          <w:szCs w:val="32"/>
          <w:rtl/>
        </w:rPr>
        <w:drawing>
          <wp:inline distT="0" distB="0" distL="0" distR="0" wp14:anchorId="42B119C0" wp14:editId="141E108F">
            <wp:extent cx="5732145" cy="6265553"/>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9">
                      <a:extLst>
                        <a:ext uri="{28A0092B-C50C-407E-A947-70E740481C1C}">
                          <a14:useLocalDpi xmlns:a14="http://schemas.microsoft.com/office/drawing/2010/main" val="0"/>
                        </a:ext>
                      </a:extLst>
                    </a:blip>
                    <a:stretch>
                      <a:fillRect/>
                    </a:stretch>
                  </pic:blipFill>
                  <pic:spPr>
                    <a:xfrm>
                      <a:off x="0" y="0"/>
                      <a:ext cx="5732145" cy="6265553"/>
                    </a:xfrm>
                    <a:prstGeom prst="rect">
                      <a:avLst/>
                    </a:prstGeom>
                  </pic:spPr>
                </pic:pic>
              </a:graphicData>
            </a:graphic>
          </wp:inline>
        </w:drawing>
      </w:r>
    </w:p>
    <w:p w14:paraId="606DFDA4" w14:textId="77777777" w:rsidR="00EE7307" w:rsidRDefault="00EE7307" w:rsidP="00EE7307">
      <w:pPr>
        <w:spacing w:line="360" w:lineRule="auto"/>
        <w:jc w:val="lowKashida"/>
        <w:rPr>
          <w:rFonts w:ascii="IranianSerif" w:hAnsi="IranianSerif" w:cs="B Mitra"/>
          <w:sz w:val="26"/>
          <w:rtl/>
          <w:lang w:bidi="fa-IR"/>
        </w:rPr>
      </w:pPr>
    </w:p>
    <w:p w14:paraId="4773FF9A" w14:textId="77777777" w:rsidR="00EE7307" w:rsidRDefault="00EE7307" w:rsidP="00EE7307">
      <w:pPr>
        <w:spacing w:line="360" w:lineRule="auto"/>
        <w:jc w:val="lowKashida"/>
        <w:rPr>
          <w:rFonts w:ascii="IranianSerif" w:hAnsi="IranianSerif"/>
          <w:color w:val="000000" w:themeColor="text1"/>
          <w:sz w:val="26"/>
          <w:rtl/>
          <w:lang w:bidi="fa-IR"/>
        </w:rPr>
      </w:pPr>
      <w:r w:rsidRPr="00EE7307">
        <w:rPr>
          <w:rFonts w:ascii="IranianSerif" w:hAnsi="IranianSerif" w:hint="cs"/>
          <w:sz w:val="26"/>
          <w:rtl/>
          <w:lang w:bidi="fa-IR"/>
        </w:rPr>
        <w:lastRenderedPageBreak/>
        <w:t xml:space="preserve">به‌عنوان مثال، فهرست نور آفتاب ایالت اونتاریو در </w:t>
      </w:r>
      <w:hyperlink r:id="rId10" w:history="1">
        <w:r w:rsidRPr="00EE7307">
          <w:rPr>
            <w:rStyle w:val="Hyperlink"/>
            <w:rFonts w:ascii="IranianSerif" w:hAnsi="IranianSerif" w:hint="cs"/>
            <w:sz w:val="26"/>
            <w:rtl/>
            <w:lang w:bidi="fa-IR"/>
          </w:rPr>
          <w:t>آدرس مخصوص این فهرست</w:t>
        </w:r>
      </w:hyperlink>
      <w:r w:rsidRPr="00EE7307">
        <w:rPr>
          <w:rFonts w:ascii="IranianSerif" w:hAnsi="IranianSerif" w:hint="cs"/>
          <w:sz w:val="26"/>
          <w:rtl/>
          <w:lang w:bidi="fa-IR"/>
        </w:rPr>
        <w:t xml:space="preserve">  </w:t>
      </w:r>
      <w:r w:rsidRPr="00EE7307">
        <w:rPr>
          <w:rFonts w:ascii="IranianSerif" w:hAnsi="IranianSerif" w:hint="cs"/>
          <w:color w:val="000000" w:themeColor="text1"/>
          <w:sz w:val="26"/>
          <w:rtl/>
          <w:lang w:bidi="fa-IR"/>
        </w:rPr>
        <w:t>قابل دسترسی است، همان‌گونه که در تصویر بالا مشاهده می‌کنید، تمامی دریافتی‌های کارکنان بخش عمومی که بالای صدهزار دلار کانادا در سال دریافت می‌کنند با ذکر نام و نام خانوادگی، دستگاه و میزان پرداختی منتشر می‌شود.</w:t>
      </w:r>
    </w:p>
    <w:p w14:paraId="5FF5B701" w14:textId="3B4AE146" w:rsidR="00EE7307" w:rsidRDefault="009B4040" w:rsidP="009B4040">
      <w:pPr>
        <w:pStyle w:val="Heading2"/>
        <w:rPr>
          <w:rtl/>
          <w:lang w:bidi="fa-IR"/>
        </w:rPr>
      </w:pPr>
      <w:r>
        <w:rPr>
          <w:rFonts w:hint="cs"/>
          <w:rtl/>
          <w:lang w:bidi="fa-IR"/>
        </w:rPr>
        <w:t>شفافیت اموال و دارایی‌ها در فرانسه</w:t>
      </w:r>
    </w:p>
    <w:p w14:paraId="53238188" w14:textId="03EBD772" w:rsidR="009B4040" w:rsidRPr="009B4040" w:rsidRDefault="009B4040" w:rsidP="009B4040">
      <w:pPr>
        <w:rPr>
          <w:rtl/>
          <w:lang w:bidi="fa-IR"/>
        </w:rPr>
      </w:pPr>
      <w:r>
        <w:rPr>
          <w:rFonts w:ascii="Cambria" w:hAnsi="Cambria" w:cs="B Mitra" w:hint="cs"/>
          <w:noProof/>
          <w:color w:val="000000" w:themeColor="text1"/>
          <w:sz w:val="32"/>
          <w:szCs w:val="32"/>
          <w:rtl/>
        </w:rPr>
        <w:drawing>
          <wp:anchor distT="0" distB="0" distL="114300" distR="114300" simplePos="0" relativeHeight="251659264" behindDoc="0" locked="0" layoutInCell="1" allowOverlap="1" wp14:anchorId="5B114B02" wp14:editId="124DBB65">
            <wp:simplePos x="0" y="0"/>
            <wp:positionH relativeFrom="column">
              <wp:posOffset>-276225</wp:posOffset>
            </wp:positionH>
            <wp:positionV relativeFrom="paragraph">
              <wp:posOffset>395605</wp:posOffset>
            </wp:positionV>
            <wp:extent cx="6304915" cy="4457065"/>
            <wp:effectExtent l="0" t="0" r="635" b="635"/>
            <wp:wrapThrough wrapText="bothSides">
              <wp:wrapPolygon edited="0">
                <wp:start x="0" y="0"/>
                <wp:lineTo x="0" y="21511"/>
                <wp:lineTo x="21537" y="21511"/>
                <wp:lineTo x="2153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گزارش مصور دارایی ن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4915" cy="4457065"/>
                    </a:xfrm>
                    <a:prstGeom prst="rect">
                      <a:avLst/>
                    </a:prstGeom>
                  </pic:spPr>
                </pic:pic>
              </a:graphicData>
            </a:graphic>
            <wp14:sizeRelH relativeFrom="margin">
              <wp14:pctWidth>0</wp14:pctWidth>
            </wp14:sizeRelH>
            <wp14:sizeRelV relativeFrom="margin">
              <wp14:pctHeight>0</wp14:pctHeight>
            </wp14:sizeRelV>
          </wp:anchor>
        </w:drawing>
      </w:r>
    </w:p>
    <w:p w14:paraId="7CC6C66F" w14:textId="3A73B4CC" w:rsidR="009B4040" w:rsidRDefault="009B4040" w:rsidP="009B4040">
      <w:pPr>
        <w:spacing w:line="360" w:lineRule="auto"/>
        <w:jc w:val="lowKashida"/>
        <w:rPr>
          <w:rFonts w:ascii="Cambria" w:hAnsi="Cambria" w:cs="B Mitra"/>
          <w:color w:val="000000" w:themeColor="text1"/>
          <w:sz w:val="26"/>
          <w:rtl/>
          <w:lang w:bidi="fa-IR"/>
        </w:rPr>
      </w:pPr>
    </w:p>
    <w:p w14:paraId="5CE9C067" w14:textId="77777777" w:rsidR="009B4040" w:rsidRPr="009B4040" w:rsidRDefault="009B4040" w:rsidP="009B4040">
      <w:pPr>
        <w:spacing w:line="360" w:lineRule="auto"/>
        <w:jc w:val="lowKashida"/>
        <w:rPr>
          <w:rFonts w:ascii="Cambria" w:hAnsi="Cambria" w:cs="B Mitra"/>
          <w:color w:val="000000" w:themeColor="text1"/>
          <w:sz w:val="26"/>
          <w:rtl/>
          <w:lang w:bidi="fa-IR"/>
        </w:rPr>
      </w:pPr>
      <w:r w:rsidRPr="009B4040">
        <w:rPr>
          <w:rFonts w:ascii="Cambria" w:hAnsi="Cambria" w:cs="B Mitra" w:hint="cs"/>
          <w:color w:val="000000" w:themeColor="text1"/>
          <w:sz w:val="26"/>
          <w:rtl/>
          <w:lang w:bidi="fa-IR"/>
        </w:rPr>
        <w:t xml:space="preserve">همان‌گونه که در تصور بالا مشاهده می‌کنید، فهرست اموال و دارایی‌های یک مشاور عالی بانک فرانسه در سال 2014 قابل مشاهده است. اطلاعات کامل مالی این مقام مسئول را می‌توانید از </w:t>
      </w:r>
      <w:hyperlink r:id="rId12" w:history="1">
        <w:r w:rsidRPr="009B4040">
          <w:rPr>
            <w:rStyle w:val="Hyperlink"/>
            <w:rFonts w:ascii="Cambria" w:hAnsi="Cambria" w:cs="B Mitra" w:hint="cs"/>
            <w:sz w:val="26"/>
            <w:rtl/>
            <w:lang w:bidi="fa-IR"/>
          </w:rPr>
          <w:t>این نشانی</w:t>
        </w:r>
      </w:hyperlink>
      <w:r w:rsidRPr="009B4040">
        <w:rPr>
          <w:rFonts w:ascii="Cambria" w:hAnsi="Cambria" w:cs="B Mitra" w:hint="cs"/>
          <w:color w:val="FF0000"/>
          <w:sz w:val="26"/>
          <w:rtl/>
          <w:lang w:bidi="fa-IR"/>
        </w:rPr>
        <w:t xml:space="preserve"> </w:t>
      </w:r>
      <w:r w:rsidRPr="009B4040">
        <w:rPr>
          <w:rFonts w:ascii="Cambria" w:hAnsi="Cambria" w:cs="B Mitra" w:hint="cs"/>
          <w:color w:val="000000" w:themeColor="text1"/>
          <w:sz w:val="26"/>
          <w:rtl/>
          <w:lang w:bidi="fa-IR"/>
        </w:rPr>
        <w:t>مشاهده کنید.</w:t>
      </w:r>
    </w:p>
    <w:p w14:paraId="5F4972F3" w14:textId="77777777" w:rsidR="00EE7307" w:rsidRPr="00EE7307" w:rsidRDefault="00EE7307" w:rsidP="00EE7307">
      <w:pPr>
        <w:spacing w:line="360" w:lineRule="auto"/>
        <w:jc w:val="lowKashida"/>
        <w:rPr>
          <w:rFonts w:ascii="IranianSerif" w:hAnsi="IranianSerif" w:cs="B Mitra"/>
          <w:sz w:val="26"/>
          <w:rtl/>
          <w:lang w:bidi="fa-IR"/>
        </w:rPr>
      </w:pPr>
    </w:p>
    <w:p w14:paraId="7750F6E1" w14:textId="77777777" w:rsidR="00EE7307" w:rsidRDefault="00EE7307" w:rsidP="00EE7307">
      <w:pPr>
        <w:rPr>
          <w:rtl/>
          <w:lang w:bidi="fa-IR"/>
        </w:rPr>
      </w:pPr>
    </w:p>
    <w:p w14:paraId="6CAEEA1A" w14:textId="42C9E2D1" w:rsidR="009B4040" w:rsidRDefault="009B4040" w:rsidP="009B4040">
      <w:pPr>
        <w:pStyle w:val="Heading2"/>
        <w:rPr>
          <w:rtl/>
          <w:lang w:bidi="fa-IR"/>
        </w:rPr>
      </w:pPr>
      <w:r>
        <w:rPr>
          <w:rFonts w:hint="cs"/>
          <w:rtl/>
          <w:lang w:bidi="fa-IR"/>
        </w:rPr>
        <w:lastRenderedPageBreak/>
        <w:t>شفافیت پرداخت‌های ایالت نیویورک</w:t>
      </w:r>
    </w:p>
    <w:p w14:paraId="24671132" w14:textId="2E422B66" w:rsidR="009B4040" w:rsidRPr="009B4040" w:rsidRDefault="009B4040" w:rsidP="009B4040">
      <w:pPr>
        <w:spacing w:line="360" w:lineRule="auto"/>
        <w:jc w:val="lowKashida"/>
        <w:rPr>
          <w:rFonts w:ascii="Cambria" w:hAnsi="Cambria" w:cs="B Mitra"/>
          <w:color w:val="000000" w:themeColor="text1"/>
          <w:sz w:val="26"/>
          <w:rtl/>
          <w:lang w:bidi="fa-IR"/>
        </w:rPr>
      </w:pPr>
      <w:r>
        <w:rPr>
          <w:rFonts w:ascii="Cambria" w:hAnsi="Cambria" w:cs="B Mitra" w:hint="cs"/>
          <w:noProof/>
          <w:color w:val="000000" w:themeColor="text1"/>
          <w:sz w:val="32"/>
          <w:szCs w:val="32"/>
          <w:rtl/>
        </w:rPr>
        <w:drawing>
          <wp:anchor distT="0" distB="0" distL="114300" distR="114300" simplePos="0" relativeHeight="251661312" behindDoc="0" locked="0" layoutInCell="1" allowOverlap="1" wp14:anchorId="2C6E0C76" wp14:editId="33C15035">
            <wp:simplePos x="0" y="0"/>
            <wp:positionH relativeFrom="column">
              <wp:posOffset>-95250</wp:posOffset>
            </wp:positionH>
            <wp:positionV relativeFrom="paragraph">
              <wp:posOffset>922655</wp:posOffset>
            </wp:positionV>
            <wp:extent cx="5943600" cy="5264785"/>
            <wp:effectExtent l="0" t="0" r="0" b="0"/>
            <wp:wrapThrough wrapText="bothSides">
              <wp:wrapPolygon edited="0">
                <wp:start x="0" y="0"/>
                <wp:lineTo x="0" y="21493"/>
                <wp:lineTo x="21531" y="21493"/>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264785"/>
                    </a:xfrm>
                    <a:prstGeom prst="rect">
                      <a:avLst/>
                    </a:prstGeom>
                  </pic:spPr>
                </pic:pic>
              </a:graphicData>
            </a:graphic>
          </wp:anchor>
        </w:drawing>
      </w:r>
      <w:r w:rsidRPr="009B4040">
        <w:rPr>
          <w:rFonts w:ascii="Cambria" w:hAnsi="Cambria" w:cs="B Mitra" w:hint="cs"/>
          <w:color w:val="000000" w:themeColor="text1"/>
          <w:sz w:val="26"/>
          <w:rtl/>
          <w:lang w:bidi="fa-IR"/>
        </w:rPr>
        <w:t xml:space="preserve">سامانه اینترنتی </w:t>
      </w:r>
      <w:hyperlink r:id="rId14" w:history="1">
        <w:r w:rsidRPr="009B4040">
          <w:rPr>
            <w:rStyle w:val="Hyperlink"/>
            <w:rFonts w:ascii="Cambria" w:hAnsi="Cambria" w:cs="B Mitra"/>
            <w:sz w:val="26"/>
            <w:lang w:bidi="fa-IR"/>
          </w:rPr>
          <w:t>see through NY</w:t>
        </w:r>
      </w:hyperlink>
      <w:r w:rsidRPr="009B4040">
        <w:rPr>
          <w:rFonts w:ascii="Cambria" w:hAnsi="Cambria" w:cs="B Mitra" w:hint="cs"/>
          <w:color w:val="000000" w:themeColor="text1"/>
          <w:sz w:val="26"/>
          <w:rtl/>
          <w:lang w:bidi="fa-IR"/>
        </w:rPr>
        <w:t xml:space="preserve"> اطلاعات گسترده و قابل توجهی را از ایالت نیویورک منتشر می‌سازد. در یکی از بخش‌های این سایت می‌توانیم به اطلاعات پرداخت‌های حقوقی مقامات دولتی، اجرایی و قضایی این ایالت دست پیدا کنیم :</w:t>
      </w:r>
    </w:p>
    <w:p w14:paraId="5B61676F" w14:textId="76798076" w:rsidR="009B4040" w:rsidRPr="009B4040" w:rsidRDefault="009B4040" w:rsidP="009B4040">
      <w:pPr>
        <w:rPr>
          <w:rtl/>
          <w:lang w:bidi="fa-IR"/>
        </w:rPr>
      </w:pPr>
    </w:p>
    <w:p w14:paraId="0D57CFAD" w14:textId="03703BAA" w:rsidR="009B4040" w:rsidRPr="0039205E" w:rsidRDefault="009B4040" w:rsidP="00EE7307">
      <w:pPr>
        <w:rPr>
          <w:rFonts w:cs="B Mitra"/>
          <w:sz w:val="26"/>
          <w:rtl/>
          <w:lang w:bidi="fa-IR"/>
        </w:rPr>
      </w:pPr>
      <w:r w:rsidRPr="0039205E">
        <w:rPr>
          <w:rFonts w:ascii="Cambria" w:hAnsi="Cambria" w:cs="B Mitra" w:hint="cs"/>
          <w:color w:val="000000" w:themeColor="text1"/>
          <w:sz w:val="26"/>
          <w:rtl/>
          <w:lang w:bidi="fa-IR"/>
        </w:rPr>
        <w:t xml:space="preserve">مطابق تصور بالا مشاهده می‌کنید که مجموع دریافتی تمامی مقامات مسئول در این ایالت، با ذکر نام و محل فعالیت در </w:t>
      </w:r>
      <w:hyperlink r:id="rId15" w:history="1">
        <w:r w:rsidRPr="0039205E">
          <w:rPr>
            <w:rStyle w:val="Hyperlink"/>
            <w:rFonts w:ascii="Cambria" w:hAnsi="Cambria" w:cs="B Mitra" w:hint="cs"/>
            <w:sz w:val="26"/>
            <w:rtl/>
            <w:lang w:bidi="fa-IR"/>
          </w:rPr>
          <w:t>این نشانی</w:t>
        </w:r>
      </w:hyperlink>
      <w:r w:rsidRPr="0039205E">
        <w:rPr>
          <w:rFonts w:ascii="Cambria" w:hAnsi="Cambria" w:cs="B Mitra" w:hint="cs"/>
          <w:color w:val="FF0000"/>
          <w:sz w:val="26"/>
          <w:rtl/>
          <w:lang w:bidi="fa-IR"/>
        </w:rPr>
        <w:t xml:space="preserve"> </w:t>
      </w:r>
      <w:r w:rsidRPr="0039205E">
        <w:rPr>
          <w:rFonts w:ascii="Cambria" w:hAnsi="Cambria" w:cs="B Mitra" w:hint="cs"/>
          <w:color w:val="000000" w:themeColor="text1"/>
          <w:sz w:val="26"/>
          <w:rtl/>
          <w:lang w:bidi="fa-IR"/>
        </w:rPr>
        <w:t>آمده است. هم‌چنین در جعبه‌ی کناری سایت امکان جستجوی نام یک مسئول خاص، حوزه‌ی فعالیت مسئولین، پرداختی های بخش عمومی در یک سال مشخص و میزان پرداخت‌ها بر حسب یک مبلغ معین فراهم شده است. برای مثال فرض کنید که می‌خواهید تمام پرداخت‌های بیشتر از پانصدهزار دلار در این ایالت را مشاهده کنید، کافی است تا حداقل نشانگر طیف حقوق را بر روی پانصدهزار دلار بیاورید، نتیجه مانند شکل زیر خواهد بود :</w:t>
      </w:r>
    </w:p>
    <w:p w14:paraId="3B3D5838" w14:textId="77777777" w:rsidR="008D4682" w:rsidRPr="008D4682" w:rsidRDefault="008D4682" w:rsidP="008D4682">
      <w:pPr>
        <w:rPr>
          <w:rtl/>
          <w:lang w:bidi="fa-IR"/>
        </w:rPr>
      </w:pPr>
    </w:p>
    <w:p w14:paraId="3475B869" w14:textId="165D4552" w:rsidR="0039205E" w:rsidRDefault="0039205E" w:rsidP="00E00057">
      <w:pPr>
        <w:rPr>
          <w:rtl/>
          <w:lang w:bidi="fa-IR"/>
        </w:rPr>
      </w:pPr>
      <w:r>
        <w:rPr>
          <w:rFonts w:ascii="Cambria" w:hAnsi="Cambria" w:cs="B Mitra"/>
          <w:noProof/>
          <w:color w:val="000000" w:themeColor="text1"/>
          <w:sz w:val="32"/>
          <w:szCs w:val="32"/>
          <w:rtl/>
        </w:rPr>
        <w:lastRenderedPageBreak/>
        <w:drawing>
          <wp:anchor distT="0" distB="0" distL="114300" distR="114300" simplePos="0" relativeHeight="251663360" behindDoc="0" locked="0" layoutInCell="1" allowOverlap="1" wp14:anchorId="49909820" wp14:editId="12772F41">
            <wp:simplePos x="0" y="0"/>
            <wp:positionH relativeFrom="column">
              <wp:posOffset>28575</wp:posOffset>
            </wp:positionH>
            <wp:positionV relativeFrom="paragraph">
              <wp:posOffset>0</wp:posOffset>
            </wp:positionV>
            <wp:extent cx="5943600" cy="5589270"/>
            <wp:effectExtent l="0" t="0" r="0" b="0"/>
            <wp:wrapThrough wrapText="bothSides">
              <wp:wrapPolygon edited="0">
                <wp:start x="0" y="0"/>
                <wp:lineTo x="0" y="21497"/>
                <wp:lineTo x="21531" y="21497"/>
                <wp:lineTo x="2153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589270"/>
                    </a:xfrm>
                    <a:prstGeom prst="rect">
                      <a:avLst/>
                    </a:prstGeom>
                  </pic:spPr>
                </pic:pic>
              </a:graphicData>
            </a:graphic>
          </wp:anchor>
        </w:drawing>
      </w:r>
    </w:p>
    <w:p w14:paraId="0CC4222B" w14:textId="3D384240" w:rsidR="0039205E" w:rsidRDefault="0039205E" w:rsidP="0039205E">
      <w:pPr>
        <w:rPr>
          <w:rtl/>
          <w:lang w:bidi="fa-IR"/>
        </w:rPr>
      </w:pPr>
    </w:p>
    <w:p w14:paraId="4B82A153" w14:textId="77777777" w:rsidR="00EB1AC2" w:rsidRDefault="00EB1AC2" w:rsidP="0039205E">
      <w:pPr>
        <w:rPr>
          <w:rtl/>
          <w:lang w:bidi="fa-IR"/>
        </w:rPr>
      </w:pPr>
    </w:p>
    <w:p w14:paraId="6D73CBA2" w14:textId="77777777" w:rsidR="00EB1AC2" w:rsidRDefault="00EB1AC2" w:rsidP="0039205E">
      <w:pPr>
        <w:rPr>
          <w:rtl/>
          <w:lang w:bidi="fa-IR"/>
        </w:rPr>
      </w:pPr>
    </w:p>
    <w:p w14:paraId="0E5807EE" w14:textId="77777777" w:rsidR="00EB1AC2" w:rsidRDefault="00EB1AC2" w:rsidP="0039205E">
      <w:pPr>
        <w:rPr>
          <w:rtl/>
          <w:lang w:bidi="fa-IR"/>
        </w:rPr>
      </w:pPr>
    </w:p>
    <w:p w14:paraId="6234F586" w14:textId="77777777" w:rsidR="00EB1AC2" w:rsidRDefault="00EB1AC2" w:rsidP="0039205E">
      <w:pPr>
        <w:rPr>
          <w:rtl/>
          <w:lang w:bidi="fa-IR"/>
        </w:rPr>
      </w:pPr>
    </w:p>
    <w:p w14:paraId="24BBFB22" w14:textId="77777777" w:rsidR="00EB1AC2" w:rsidRDefault="00EB1AC2" w:rsidP="0039205E">
      <w:pPr>
        <w:rPr>
          <w:lang w:bidi="fa-IR"/>
        </w:rPr>
      </w:pPr>
    </w:p>
    <w:p w14:paraId="704F7227" w14:textId="53376B7E" w:rsidR="00E00057" w:rsidRDefault="00EB1AC2" w:rsidP="00EB1AC2">
      <w:pPr>
        <w:pStyle w:val="Heading2"/>
        <w:rPr>
          <w:rtl/>
          <w:lang w:bidi="fa-IR"/>
        </w:rPr>
      </w:pPr>
      <w:r>
        <w:rPr>
          <w:rFonts w:ascii="IranianSerif" w:hAnsi="IranianSerif" w:cs="B Mitra" w:hint="cs"/>
          <w:noProof/>
          <w:sz w:val="32"/>
          <w:szCs w:val="32"/>
          <w:rtl/>
        </w:rPr>
        <w:lastRenderedPageBreak/>
        <w:drawing>
          <wp:anchor distT="0" distB="0" distL="114300" distR="114300" simplePos="0" relativeHeight="251664384" behindDoc="0" locked="0" layoutInCell="1" allowOverlap="1" wp14:anchorId="7DBD1267" wp14:editId="16899E78">
            <wp:simplePos x="0" y="0"/>
            <wp:positionH relativeFrom="column">
              <wp:posOffset>-167005</wp:posOffset>
            </wp:positionH>
            <wp:positionV relativeFrom="paragraph">
              <wp:posOffset>586105</wp:posOffset>
            </wp:positionV>
            <wp:extent cx="6057900" cy="428244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گزارش مصور دارایی ن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7900" cy="4282440"/>
                    </a:xfrm>
                    <a:prstGeom prst="rect">
                      <a:avLst/>
                    </a:prstGeom>
                  </pic:spPr>
                </pic:pic>
              </a:graphicData>
            </a:graphic>
          </wp:anchor>
        </w:drawing>
      </w:r>
      <w:r w:rsidR="0039205E">
        <w:rPr>
          <w:rFonts w:hint="cs"/>
          <w:rtl/>
          <w:lang w:bidi="fa-IR"/>
        </w:rPr>
        <w:t xml:space="preserve"> </w:t>
      </w:r>
      <w:r>
        <w:rPr>
          <w:rFonts w:hint="cs"/>
          <w:rtl/>
          <w:lang w:bidi="fa-IR"/>
        </w:rPr>
        <w:t>شفافیت اموال و دارایی‌ها در لیتوانی</w:t>
      </w:r>
    </w:p>
    <w:p w14:paraId="52AE1649" w14:textId="77777777" w:rsidR="00EB1AC2" w:rsidRDefault="00EB1AC2" w:rsidP="00EB1AC2">
      <w:pPr>
        <w:rPr>
          <w:rtl/>
          <w:lang w:bidi="fa-IR"/>
        </w:rPr>
      </w:pPr>
    </w:p>
    <w:p w14:paraId="6A830A47" w14:textId="77777777" w:rsidR="00677A82" w:rsidRPr="00EB1AC2" w:rsidRDefault="00677A82" w:rsidP="00EB1AC2">
      <w:pPr>
        <w:rPr>
          <w:lang w:bidi="fa-IR"/>
        </w:rPr>
      </w:pPr>
    </w:p>
    <w:p w14:paraId="543573C7" w14:textId="337B9C2B" w:rsidR="00EB1AC2" w:rsidRDefault="00EB1AC2" w:rsidP="00EB1AC2">
      <w:pPr>
        <w:pStyle w:val="Heading1"/>
        <w:rPr>
          <w:rtl/>
          <w:lang w:bidi="fa-IR"/>
        </w:rPr>
      </w:pPr>
      <w:r>
        <w:rPr>
          <w:rFonts w:hint="cs"/>
          <w:rtl/>
          <w:lang w:bidi="fa-IR"/>
        </w:rPr>
        <w:t>سامانه نور آفتاب در ایران</w:t>
      </w:r>
    </w:p>
    <w:p w14:paraId="4A278E18" w14:textId="77777777" w:rsidR="00677A82" w:rsidRPr="00677A82" w:rsidRDefault="00677A82" w:rsidP="00677A82">
      <w:pPr>
        <w:spacing w:line="360" w:lineRule="auto"/>
        <w:jc w:val="lowKashida"/>
        <w:rPr>
          <w:rFonts w:ascii="IranianSerif" w:hAnsi="IranianSerif" w:cs="B Mitra"/>
          <w:sz w:val="26"/>
          <w:rtl/>
          <w:lang w:bidi="fa-IR"/>
        </w:rPr>
      </w:pPr>
      <w:r w:rsidRPr="00677A82">
        <w:rPr>
          <w:rFonts w:ascii="IranianSerif" w:hAnsi="IranianSerif" w:cs="B Mitra" w:hint="cs"/>
          <w:sz w:val="26"/>
          <w:rtl/>
          <w:lang w:bidi="fa-IR"/>
        </w:rPr>
        <w:t xml:space="preserve">به‌دنبال ناکارآمدی و عدم دستیابی نهادهای نظارتی ایران به اهداف مطلوب خود و هم‌چنین افشای پرداخت‌های غیرمتعارف از بخش عمومی، محققان مرکز پژوهش‌های مجلس درصدد این برآمدند تا با بهره‌گیری از تجربیات جهانی، سامانه‌ی مشابهی را در کشور طراحی کنند. در گزارش </w:t>
      </w:r>
      <w:hyperlink r:id="rId18" w:history="1">
        <w:r w:rsidRPr="00677A82">
          <w:rPr>
            <w:rStyle w:val="Hyperlink"/>
            <w:rFonts w:ascii="IranianSerif" w:hAnsi="IranianSerif" w:cs="B Mitra" w:hint="cs"/>
            <w:sz w:val="26"/>
            <w:rtl/>
            <w:lang w:bidi="fa-IR"/>
          </w:rPr>
          <w:t>شفافیت پرداخت‌ها در بخش عمومی</w:t>
        </w:r>
      </w:hyperlink>
      <w:r w:rsidRPr="00677A82">
        <w:rPr>
          <w:rFonts w:ascii="IranianSerif" w:hAnsi="IranianSerif" w:cs="B Mitra" w:hint="cs"/>
          <w:sz w:val="26"/>
          <w:rtl/>
          <w:lang w:bidi="fa-IR"/>
        </w:rPr>
        <w:t xml:space="preserve"> از مرکز پژوهش‌ها، ضمن اشاره به تجربیات جهانی در این حوزه، از </w:t>
      </w:r>
      <w:hyperlink r:id="rId19" w:history="1">
        <w:r w:rsidRPr="00677A82">
          <w:rPr>
            <w:rStyle w:val="Hyperlink"/>
            <w:rFonts w:ascii="IranianSerif" w:hAnsi="IranianSerif" w:cs="B Mitra" w:hint="cs"/>
            <w:sz w:val="26"/>
            <w:rtl/>
            <w:lang w:bidi="fa-IR"/>
          </w:rPr>
          <w:t>سامانه نور آفتاب</w:t>
        </w:r>
      </w:hyperlink>
      <w:r w:rsidRPr="00677A82">
        <w:rPr>
          <w:rFonts w:ascii="IranianSerif" w:hAnsi="IranianSerif" w:cs="B Mitra" w:hint="cs"/>
          <w:color w:val="FF0000"/>
          <w:sz w:val="26"/>
          <w:rtl/>
          <w:lang w:bidi="fa-IR"/>
        </w:rPr>
        <w:t xml:space="preserve"> </w:t>
      </w:r>
      <w:r w:rsidRPr="00677A82">
        <w:rPr>
          <w:rFonts w:ascii="IranianSerif" w:hAnsi="IranianSerif" w:cs="B Mitra" w:hint="cs"/>
          <w:sz w:val="26"/>
          <w:rtl/>
          <w:lang w:bidi="fa-IR"/>
        </w:rPr>
        <w:t xml:space="preserve">رونمایی کرده‌اند. </w:t>
      </w:r>
    </w:p>
    <w:p w14:paraId="31E4D993" w14:textId="77777777" w:rsidR="00EB1AC2" w:rsidRDefault="00EB1AC2" w:rsidP="00EB1AC2">
      <w:pPr>
        <w:rPr>
          <w:rtl/>
          <w:lang w:bidi="fa-IR"/>
        </w:rPr>
      </w:pPr>
    </w:p>
    <w:p w14:paraId="402E44A6" w14:textId="77777777" w:rsidR="00677A82" w:rsidRDefault="00677A82" w:rsidP="00EB1AC2">
      <w:pPr>
        <w:rPr>
          <w:rtl/>
          <w:lang w:bidi="fa-IR"/>
        </w:rPr>
      </w:pPr>
    </w:p>
    <w:p w14:paraId="4A0C5BA3" w14:textId="77777777" w:rsidR="00677A82" w:rsidRDefault="00677A82" w:rsidP="00EB1AC2">
      <w:pPr>
        <w:rPr>
          <w:rtl/>
          <w:lang w:bidi="fa-IR"/>
        </w:rPr>
      </w:pPr>
    </w:p>
    <w:p w14:paraId="5724530E" w14:textId="733C8B5D" w:rsidR="00677A82" w:rsidRPr="00EB1AC2" w:rsidRDefault="00677A82" w:rsidP="00EB1AC2">
      <w:pPr>
        <w:rPr>
          <w:lang w:bidi="fa-IR"/>
        </w:rPr>
      </w:pPr>
      <w:r>
        <w:rPr>
          <w:rFonts w:ascii="IranianSerif" w:hAnsi="IranianSerif" w:cs="B Mitra" w:hint="cs"/>
          <w:noProof/>
          <w:sz w:val="32"/>
          <w:szCs w:val="32"/>
          <w:rtl/>
        </w:rPr>
        <w:lastRenderedPageBreak/>
        <w:drawing>
          <wp:inline distT="0" distB="0" distL="0" distR="0" wp14:anchorId="74BB73C8" wp14:editId="5655A961">
            <wp:extent cx="5598795" cy="82296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20">
                      <a:extLst>
                        <a:ext uri="{28A0092B-C50C-407E-A947-70E740481C1C}">
                          <a14:useLocalDpi xmlns:a14="http://schemas.microsoft.com/office/drawing/2010/main" val="0"/>
                        </a:ext>
                      </a:extLst>
                    </a:blip>
                    <a:stretch>
                      <a:fillRect/>
                    </a:stretch>
                  </pic:blipFill>
                  <pic:spPr>
                    <a:xfrm>
                      <a:off x="0" y="0"/>
                      <a:ext cx="5598795" cy="8229600"/>
                    </a:xfrm>
                    <a:prstGeom prst="rect">
                      <a:avLst/>
                    </a:prstGeom>
                  </pic:spPr>
                </pic:pic>
              </a:graphicData>
            </a:graphic>
          </wp:inline>
        </w:drawing>
      </w:r>
    </w:p>
    <w:p w14:paraId="2F187B1D" w14:textId="77777777" w:rsidR="00EB1AC2" w:rsidRPr="00EB1AC2" w:rsidRDefault="00EB1AC2" w:rsidP="00EB1AC2">
      <w:pPr>
        <w:rPr>
          <w:lang w:bidi="fa-IR"/>
        </w:rPr>
      </w:pPr>
    </w:p>
    <w:p w14:paraId="78263542" w14:textId="77777777" w:rsidR="00A02842" w:rsidRPr="00A02842" w:rsidRDefault="00A02842" w:rsidP="00A02842">
      <w:pPr>
        <w:spacing w:line="360" w:lineRule="auto"/>
        <w:jc w:val="lowKashida"/>
        <w:rPr>
          <w:rFonts w:ascii="IranianSerif" w:hAnsi="IranianSerif" w:cs="B Mitra"/>
          <w:sz w:val="26"/>
          <w:rtl/>
          <w:lang w:bidi="fa-IR"/>
        </w:rPr>
      </w:pPr>
      <w:r w:rsidRPr="00A02842">
        <w:rPr>
          <w:rFonts w:ascii="IranianSerif" w:hAnsi="IranianSerif" w:cs="B Mitra" w:hint="cs"/>
          <w:sz w:val="26"/>
          <w:rtl/>
          <w:lang w:bidi="fa-IR"/>
        </w:rPr>
        <w:lastRenderedPageBreak/>
        <w:t>گرچه تمامی اسامی و ارقام موجود در این سامانه کاملا فرضی و برای تقریب به ذهن می‌باشند اما در طراحی آن کاملاً به اصول علمی و نیاز بومی کشور توجه شده است. گستره‌ی بخش عمومی در این سامانه تنها به دولت محدود نشده است و قوه‌ی مقننه، قوه‌ی قضائیه، شرکت‌های دولتی، نهادهای عمومی غیردولتی و سایرنهادهای وابسته به بخش عمومی را نیز دربرمی‌گیرد.</w:t>
      </w:r>
    </w:p>
    <w:p w14:paraId="6CD62314" w14:textId="77777777" w:rsidR="00A02842" w:rsidRPr="00A02842" w:rsidRDefault="00A02842" w:rsidP="00A02842">
      <w:pPr>
        <w:spacing w:line="360" w:lineRule="auto"/>
        <w:jc w:val="lowKashida"/>
        <w:rPr>
          <w:rFonts w:ascii="IranianSerif" w:hAnsi="IranianSerif" w:cs="B Mitra"/>
          <w:sz w:val="26"/>
          <w:rtl/>
          <w:lang w:bidi="fa-IR"/>
        </w:rPr>
      </w:pPr>
      <w:r w:rsidRPr="00A02842">
        <w:rPr>
          <w:rFonts w:ascii="IranianSerif" w:hAnsi="IranianSerif" w:cs="B Mitra" w:hint="cs"/>
          <w:sz w:val="26"/>
          <w:rtl/>
          <w:lang w:bidi="fa-IR"/>
        </w:rPr>
        <w:t>در این سامانه امکان مرور و جستجو بر اساس قوه‌های مجریه، مقننه و قضائیه و بر اساس بخش اعم از دولتی یا غیردولتی وابسته به بخش عمومی فراهم شده است. هم‌چنین می‌توان بر اساس اسم دستگاه یا مؤسسه یا نهاد و یا شرکتی خاص به میزان دریافتی‌ها دسترسی داشت.</w:t>
      </w:r>
    </w:p>
    <w:p w14:paraId="4C2A9B73" w14:textId="2C70283E" w:rsidR="00EB1AC2" w:rsidRDefault="00A02842" w:rsidP="00A02842">
      <w:pPr>
        <w:pStyle w:val="Heading2"/>
        <w:rPr>
          <w:rtl/>
          <w:lang w:bidi="fa-IR"/>
        </w:rPr>
      </w:pPr>
      <w:r>
        <w:rPr>
          <w:rFonts w:hint="cs"/>
          <w:rtl/>
          <w:lang w:bidi="fa-IR"/>
        </w:rPr>
        <w:t>تصویب قانون لازمه تابش نور آفتاب</w:t>
      </w:r>
    </w:p>
    <w:p w14:paraId="0E2CD9C9" w14:textId="41D3D67F" w:rsidR="00A02842" w:rsidRPr="00A02842" w:rsidRDefault="00A02842" w:rsidP="00A02842">
      <w:pPr>
        <w:spacing w:line="360" w:lineRule="auto"/>
        <w:jc w:val="lowKashida"/>
        <w:rPr>
          <w:rFonts w:ascii="IranianSerif" w:hAnsi="IranianSerif" w:cs="B Mitra"/>
          <w:sz w:val="26"/>
          <w:rtl/>
          <w:lang w:bidi="fa-IR"/>
        </w:rPr>
      </w:pPr>
      <w:r w:rsidRPr="00A02842">
        <w:rPr>
          <w:rFonts w:ascii="IranianSerif" w:hAnsi="IranianSerif" w:cs="B Mitra" w:hint="cs"/>
          <w:sz w:val="26"/>
          <w:rtl/>
          <w:lang w:bidi="fa-IR"/>
        </w:rPr>
        <w:t xml:space="preserve">مرور تجربیات جهانی در زمینه شفافیت اموال و دارایی‌ها پیش از هر دلیل دیگری، کارآمدی و اثربخشی این قبیل سامانه‌ها را برای مردم و دستگاه‌های نظارتی روشن کرده است. هم‌اکنون که تحقیقات متخصصان امر در کشور ما استفاده‌ی از این تجربه‌ی ذی‌قیمت جهانی را راهکاری مؤثر قلمداد کرده است، شکی نیست که باید در اولین فرصت و با همکاری تمام متصدیان کشوری، موانع تحقق آن با هوشمندی و دقت از سر راه برداشته شوند. </w:t>
      </w:r>
    </w:p>
    <w:p w14:paraId="69ABACF6" w14:textId="138D677A" w:rsidR="00A02842" w:rsidRPr="00A02842" w:rsidRDefault="00A02842" w:rsidP="00A02842">
      <w:pPr>
        <w:spacing w:line="360" w:lineRule="auto"/>
        <w:jc w:val="lowKashida"/>
        <w:rPr>
          <w:rFonts w:ascii="IranianSerif" w:hAnsi="IranianSerif" w:cs="B Mitra"/>
          <w:sz w:val="26"/>
          <w:rtl/>
          <w:lang w:bidi="fa-IR"/>
        </w:rPr>
      </w:pPr>
      <w:r w:rsidRPr="00A02842">
        <w:rPr>
          <w:rFonts w:ascii="IranianSerif" w:hAnsi="IranianSerif" w:cs="B Mitra" w:hint="cs"/>
          <w:sz w:val="26"/>
          <w:rtl/>
          <w:lang w:bidi="fa-IR"/>
        </w:rPr>
        <w:t>سامانه‌ی نور آفتاب زمانی می‌تواند در کنار سامانه‌های مشابه خود بدرخشد که مجلس شورای اسلامی قانون انتشار فهرست اموال و دارایی‌های مسئولین را به‌تصویب برساند. قانونی که با تصویب آن بار سنگینی از دوش نهادهای نظارتی برداشته شده و اعتماد مردم به نظام و پاک‌دستی مسئولین را به همراه می آورد. بدون شک آماده‌سازی و تصویب این قانون نیازمند دقت و ظرافت‌های حقوقی می‌باشد تا به بهترین شکل جامه‌ی عمل به خود بپوشد. مجموعه‌ی شفافیت برای ایران کوشیده است تا با بررسی تجارب بین‌المللی، متن پیشنهادی اولیه‌ای را در این حوزه تدارک ببیند.</w:t>
      </w:r>
    </w:p>
    <w:p w14:paraId="770BFEFF" w14:textId="482275F5" w:rsidR="00A02842" w:rsidRPr="00A02842" w:rsidRDefault="008F1069" w:rsidP="00A02842">
      <w:pPr>
        <w:jc w:val="center"/>
        <w:rPr>
          <w:rFonts w:cs="B Mitra"/>
          <w:sz w:val="26"/>
          <w:lang w:bidi="fa-IR"/>
        </w:rPr>
      </w:pPr>
      <w:hyperlink r:id="rId21" w:history="1">
        <w:r w:rsidR="00A02842" w:rsidRPr="00A02842">
          <w:rPr>
            <w:rStyle w:val="Hyperlink"/>
            <w:rFonts w:ascii="IranianSerif" w:hAnsi="IranianSerif" w:cs="B Mitra" w:hint="cs"/>
            <w:sz w:val="26"/>
            <w:rtl/>
            <w:lang w:bidi="fa-IR"/>
          </w:rPr>
          <w:t>مطالعه‌ی متن پیشنهادی قانون ثبت و اعلام عمومی فهرست درآمدها و دارایی‌ها</w:t>
        </w:r>
      </w:hyperlink>
    </w:p>
    <w:p w14:paraId="51E220C7" w14:textId="6D140ED8" w:rsidR="00EB1AC2" w:rsidRPr="00EB1AC2" w:rsidRDefault="00A02842" w:rsidP="00EB1AC2">
      <w:pPr>
        <w:rPr>
          <w:lang w:bidi="fa-IR"/>
        </w:rPr>
      </w:pPr>
      <w:r>
        <w:rPr>
          <w:rFonts w:ascii="IranianSerif" w:hAnsi="IranianSerif" w:cs="B Mitra" w:hint="cs"/>
          <w:noProof/>
          <w:color w:val="0070C0"/>
          <w:sz w:val="32"/>
          <w:szCs w:val="32"/>
          <w:rtl/>
        </w:rPr>
        <w:drawing>
          <wp:anchor distT="0" distB="0" distL="114300" distR="114300" simplePos="0" relativeHeight="251666432" behindDoc="0" locked="0" layoutInCell="1" allowOverlap="1" wp14:anchorId="3CB6572C" wp14:editId="28CD4D02">
            <wp:simplePos x="0" y="0"/>
            <wp:positionH relativeFrom="column">
              <wp:posOffset>1257300</wp:posOffset>
            </wp:positionH>
            <wp:positionV relativeFrom="paragraph">
              <wp:posOffset>102870</wp:posOffset>
            </wp:positionV>
            <wp:extent cx="3176270" cy="2114550"/>
            <wp:effectExtent l="0" t="0" r="5080" b="0"/>
            <wp:wrapThrough wrapText="bothSides">
              <wp:wrapPolygon edited="0">
                <wp:start x="0" y="0"/>
                <wp:lineTo x="0" y="21405"/>
                <wp:lineTo x="21505" y="21405"/>
                <wp:lineTo x="2150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22">
                      <a:extLst>
                        <a:ext uri="{28A0092B-C50C-407E-A947-70E740481C1C}">
                          <a14:useLocalDpi xmlns:a14="http://schemas.microsoft.com/office/drawing/2010/main" val="0"/>
                        </a:ext>
                      </a:extLst>
                    </a:blip>
                    <a:stretch>
                      <a:fillRect/>
                    </a:stretch>
                  </pic:blipFill>
                  <pic:spPr>
                    <a:xfrm>
                      <a:off x="0" y="0"/>
                      <a:ext cx="3176270" cy="2114550"/>
                    </a:xfrm>
                    <a:prstGeom prst="rect">
                      <a:avLst/>
                    </a:prstGeom>
                  </pic:spPr>
                </pic:pic>
              </a:graphicData>
            </a:graphic>
            <wp14:sizeRelH relativeFrom="margin">
              <wp14:pctWidth>0</wp14:pctWidth>
            </wp14:sizeRelH>
            <wp14:sizeRelV relativeFrom="margin">
              <wp14:pctHeight>0</wp14:pctHeight>
            </wp14:sizeRelV>
          </wp:anchor>
        </w:drawing>
      </w:r>
    </w:p>
    <w:p w14:paraId="6D6D6D31" w14:textId="38C02EFF" w:rsidR="00EB1AC2" w:rsidRPr="00EB1AC2" w:rsidRDefault="00EB1AC2" w:rsidP="00EB1AC2">
      <w:pPr>
        <w:rPr>
          <w:lang w:bidi="fa-IR"/>
        </w:rPr>
      </w:pPr>
    </w:p>
    <w:p w14:paraId="7A412F02" w14:textId="7557AAF1" w:rsidR="00EB1AC2" w:rsidRPr="00EB1AC2" w:rsidRDefault="00EB1AC2" w:rsidP="00EB1AC2">
      <w:pPr>
        <w:rPr>
          <w:lang w:bidi="fa-IR"/>
        </w:rPr>
      </w:pPr>
    </w:p>
    <w:p w14:paraId="1608A0F7" w14:textId="08655A48" w:rsidR="00EB1AC2" w:rsidRPr="00EB1AC2" w:rsidRDefault="00EB1AC2" w:rsidP="00EB1AC2">
      <w:pPr>
        <w:rPr>
          <w:lang w:bidi="fa-IR"/>
        </w:rPr>
      </w:pPr>
    </w:p>
    <w:p w14:paraId="6C80CC64" w14:textId="6511A63C" w:rsidR="00EB1AC2" w:rsidRPr="00EB1AC2" w:rsidRDefault="00EB1AC2" w:rsidP="00EB1AC2">
      <w:pPr>
        <w:rPr>
          <w:lang w:bidi="fa-IR"/>
        </w:rPr>
      </w:pPr>
    </w:p>
    <w:p w14:paraId="168CD54C" w14:textId="4C138483" w:rsidR="00EB1AC2" w:rsidRPr="00EB1AC2" w:rsidRDefault="00EB1AC2" w:rsidP="00EB1AC2">
      <w:pPr>
        <w:rPr>
          <w:lang w:bidi="fa-IR"/>
        </w:rPr>
      </w:pPr>
    </w:p>
    <w:p w14:paraId="21C9363D" w14:textId="6F19A928" w:rsidR="00EB1AC2" w:rsidRDefault="00AD0375" w:rsidP="00AD0375">
      <w:pPr>
        <w:pStyle w:val="Heading2"/>
        <w:rPr>
          <w:rtl/>
          <w:lang w:bidi="fa-IR"/>
        </w:rPr>
      </w:pPr>
      <w:r>
        <w:rPr>
          <w:rFonts w:hint="cs"/>
          <w:rtl/>
          <w:lang w:bidi="fa-IR"/>
        </w:rPr>
        <w:lastRenderedPageBreak/>
        <w:t>شفافیت کامل کلید حل مشکل کشور</w:t>
      </w:r>
    </w:p>
    <w:p w14:paraId="590D5243" w14:textId="3EBE6B0B" w:rsidR="00AD0375" w:rsidRPr="00970E23" w:rsidRDefault="00970E23" w:rsidP="00AD0375">
      <w:pPr>
        <w:rPr>
          <w:sz w:val="26"/>
          <w:lang w:bidi="fa-IR"/>
        </w:rPr>
      </w:pPr>
      <w:r w:rsidRPr="00970E23">
        <w:rPr>
          <w:rFonts w:ascii="IranianSerif" w:hAnsi="IranianSerif" w:cs="B Mitra" w:hint="cs"/>
          <w:sz w:val="26"/>
          <w:rtl/>
          <w:lang w:bidi="fa-IR"/>
        </w:rPr>
        <w:t>در گزارش مرکز پژوهش‌ها به نکته‌ای اشاره شده است که توجه به آن تکمیل‌کننده‌ی این مطلب است :</w:t>
      </w:r>
    </w:p>
    <w:p w14:paraId="5A642751" w14:textId="77777777" w:rsidR="00970E23" w:rsidRPr="00970E23" w:rsidRDefault="00970E23" w:rsidP="00970E23">
      <w:pPr>
        <w:spacing w:line="360" w:lineRule="auto"/>
        <w:ind w:left="720"/>
        <w:jc w:val="lowKashida"/>
        <w:rPr>
          <w:rFonts w:ascii="IranianSerif" w:hAnsi="IranianSerif" w:cs="B Mitra"/>
          <w:sz w:val="26"/>
          <w:rtl/>
          <w:lang w:bidi="fa-IR"/>
        </w:rPr>
      </w:pPr>
      <w:r w:rsidRPr="00970E23">
        <w:rPr>
          <w:rFonts w:ascii="IranianSerif" w:hAnsi="IranianSerif" w:cs="B Mitra" w:hint="cs"/>
          <w:sz w:val="26"/>
          <w:rtl/>
          <w:lang w:bidi="fa-IR"/>
        </w:rPr>
        <w:t>به‌منظور نیل به شفافیت مالی، استانداردها یا رویه‌های متعددی در حوزه‌های مختلف معطوف به شفافیت شامل شیوه حسابداری، شیوه‌ی نظارت، شیوه‌ی افشا و شیوه سنجش تدوین شده یا اعمال می شود. این استانداردها یا رویه‌ها تلاش می‌کنند ضمن یکدست و سیستمی کردن شفافیت در مدیریت بخش عمومی، از بروز مواد فسادزا نیز پیشگیری کنند. از همین رو تلاش می‌شود فرآیندهایی مانند « جریان دریافتی ها اعم از حقوق و دستمزد و ... »، « جریان ایجاد اموال و دارایی متصدیان »، « شیوه جابه‌جایی افراد از بیرون بخش عمومی به داخل آن و بالعکس »، « نحوه توزیع اطلاعات منفعت‌رسان »، « نحوه تصمیم‌سازی افراد ذینفع »، « نحوه لابی‌گری برای تصویب قوانین » و ... در بخش عمومی نظام‌مند شده و شفاف شود. ایجاد شفافیت در یک بخش، مثلا دریافتی‌ها و مسکوت ماندن در سایر حوزه‌ها مثلا دارایی‌ها، ممکن است به انتقال زمین‌های فساد منجر شود.</w:t>
      </w:r>
    </w:p>
    <w:p w14:paraId="2AD60DFF" w14:textId="17FEF29E" w:rsidR="00970E23" w:rsidRPr="00970E23" w:rsidRDefault="00970E23" w:rsidP="00970E23">
      <w:pPr>
        <w:spacing w:line="360" w:lineRule="auto"/>
        <w:jc w:val="lowKashida"/>
        <w:rPr>
          <w:rFonts w:ascii="IranianSerif" w:hAnsi="IranianSerif" w:cs="B Mitra"/>
          <w:sz w:val="26"/>
          <w:rtl/>
          <w:lang w:bidi="fa-IR"/>
        </w:rPr>
      </w:pPr>
      <w:r w:rsidRPr="00970E23">
        <w:rPr>
          <w:rFonts w:ascii="IranianSerif" w:hAnsi="IranianSerif" w:cs="B Mitra" w:hint="cs"/>
          <w:sz w:val="26"/>
          <w:rtl/>
          <w:lang w:bidi="fa-IR"/>
        </w:rPr>
        <w:t>پرواضح است که شفافیت مالی دولت و سایر دستگاه‌ها و نهادهای وابسته به بخش عمومی یک سیستم یکپارچه و به‌هم‌پیوسته است که مانند هر سیستم دیگری برای کارآمد بودن و دادن بهترین باز</w:t>
      </w:r>
      <w:r w:rsidR="008674E1">
        <w:rPr>
          <w:rFonts w:ascii="IranianSerif" w:hAnsi="IranianSerif" w:cs="B Mitra" w:hint="cs"/>
          <w:sz w:val="26"/>
          <w:rtl/>
          <w:lang w:bidi="fa-IR"/>
        </w:rPr>
        <w:t>د</w:t>
      </w:r>
      <w:bookmarkStart w:id="1" w:name="_GoBack"/>
      <w:bookmarkEnd w:id="1"/>
      <w:r w:rsidRPr="00970E23">
        <w:rPr>
          <w:rFonts w:ascii="IranianSerif" w:hAnsi="IranianSerif" w:cs="B Mitra" w:hint="cs"/>
          <w:sz w:val="26"/>
          <w:rtl/>
          <w:lang w:bidi="fa-IR"/>
        </w:rPr>
        <w:t>ه نیازمند وجود تک‌تک قسمت‌های خود می باشد. لذا شفافیت در پرداخت‌ها بدون شفافیت در موارد مذکور نمی‌تواند به‌تنهایی اثر مطلوب خود را که همان جلوگیری از سوءاستفاده از منابع بخش عمومی است محقق سازد. بدون شک عدم توجه‌ی به این نکته در مرحله تصویب قانون و اجرای شفافیت در پرداخت‌ها ما را از رسیدن به هدفمان باز می‌دارد.</w:t>
      </w:r>
    </w:p>
    <w:p w14:paraId="12EDE54E" w14:textId="6DAF5F40" w:rsidR="00EB1AC2" w:rsidRPr="00EB1AC2" w:rsidRDefault="00970E23" w:rsidP="00970E23">
      <w:pPr>
        <w:pStyle w:val="Heading1"/>
        <w:rPr>
          <w:lang w:bidi="fa-IR"/>
        </w:rPr>
      </w:pPr>
      <w:r>
        <w:rPr>
          <w:rFonts w:hint="cs"/>
          <w:rtl/>
          <w:lang w:bidi="fa-IR"/>
        </w:rPr>
        <w:t>مطالعه‌ی بیشتر</w:t>
      </w:r>
    </w:p>
    <w:p w14:paraId="7FDED59E" w14:textId="07724025" w:rsidR="00970E23" w:rsidRPr="00D743BD" w:rsidRDefault="00970E23" w:rsidP="00970E23">
      <w:pPr>
        <w:spacing w:line="360" w:lineRule="auto"/>
        <w:jc w:val="lowKashida"/>
        <w:rPr>
          <w:rFonts w:ascii="IranianSerif" w:hAnsi="IranianSerif" w:cs="B Mitra"/>
          <w:color w:val="0070C0"/>
          <w:sz w:val="26"/>
          <w:rtl/>
          <w:lang w:bidi="fa-IR"/>
        </w:rPr>
      </w:pPr>
      <w:r w:rsidRPr="00D743BD">
        <w:rPr>
          <w:noProof/>
          <w:sz w:val="26"/>
          <w:rtl/>
        </w:rPr>
        <w:drawing>
          <wp:anchor distT="0" distB="0" distL="114300" distR="114300" simplePos="0" relativeHeight="251668480" behindDoc="0" locked="0" layoutInCell="1" allowOverlap="1" wp14:anchorId="22B6047D" wp14:editId="3B74EFFA">
            <wp:simplePos x="0" y="0"/>
            <wp:positionH relativeFrom="column">
              <wp:posOffset>38100</wp:posOffset>
            </wp:positionH>
            <wp:positionV relativeFrom="paragraph">
              <wp:posOffset>624205</wp:posOffset>
            </wp:positionV>
            <wp:extent cx="2435052" cy="1095375"/>
            <wp:effectExtent l="0" t="0" r="3810" b="0"/>
            <wp:wrapThrough wrapText="bothSides">
              <wp:wrapPolygon edited="0">
                <wp:start x="0" y="0"/>
                <wp:lineTo x="0" y="21037"/>
                <wp:lineTo x="21465" y="21037"/>
                <wp:lineTo x="21465" y="0"/>
                <wp:lineTo x="0" y="0"/>
              </wp:wrapPolygon>
            </wp:wrapThrough>
            <wp:docPr id="13" name="Pictur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frence.jpg"/>
                    <pic:cNvPicPr/>
                  </pic:nvPicPr>
                  <pic:blipFill>
                    <a:blip r:embed="rId24">
                      <a:extLst>
                        <a:ext uri="{28A0092B-C50C-407E-A947-70E740481C1C}">
                          <a14:useLocalDpi xmlns:a14="http://schemas.microsoft.com/office/drawing/2010/main" val="0"/>
                        </a:ext>
                      </a:extLst>
                    </a:blip>
                    <a:stretch>
                      <a:fillRect/>
                    </a:stretch>
                  </pic:blipFill>
                  <pic:spPr>
                    <a:xfrm>
                      <a:off x="0" y="0"/>
                      <a:ext cx="2435052" cy="1095375"/>
                    </a:xfrm>
                    <a:prstGeom prst="rect">
                      <a:avLst/>
                    </a:prstGeom>
                  </pic:spPr>
                </pic:pic>
              </a:graphicData>
            </a:graphic>
            <wp14:sizeRelH relativeFrom="margin">
              <wp14:pctWidth>0</wp14:pctWidth>
            </wp14:sizeRelH>
            <wp14:sizeRelV relativeFrom="margin">
              <wp14:pctHeight>0</wp14:pctHeight>
            </wp14:sizeRelV>
          </wp:anchor>
        </w:drawing>
      </w:r>
      <w:r w:rsidRPr="00D743BD">
        <w:rPr>
          <w:rFonts w:ascii="IranianSerif" w:hAnsi="IranianSerif" w:cs="B Mitra" w:hint="cs"/>
          <w:sz w:val="26"/>
          <w:rtl/>
          <w:lang w:bidi="fa-IR"/>
        </w:rPr>
        <w:t>برای مطالعه و تحقیق بیشتر در زمینه‌ی شفافیت درآمدها و دارایی‌ها بر روی عکس زیر کلیک کنید تا مطالب موجود در این پرونده را مشاهده فرمایید.</w:t>
      </w:r>
      <w:r w:rsidRPr="00D743BD">
        <w:rPr>
          <w:noProof/>
          <w:sz w:val="26"/>
          <w:rtl/>
        </w:rPr>
        <w:t xml:space="preserve"> </w:t>
      </w:r>
    </w:p>
    <w:p w14:paraId="67F903B3" w14:textId="2A5DA8DF" w:rsidR="0039205E" w:rsidRPr="00EB1AC2" w:rsidRDefault="00970E23" w:rsidP="00EB1AC2">
      <w:pPr>
        <w:rPr>
          <w:lang w:bidi="fa-IR"/>
        </w:rPr>
      </w:pPr>
      <w:r>
        <w:rPr>
          <w:noProof/>
          <w:rtl/>
        </w:rPr>
        <w:drawing>
          <wp:anchor distT="0" distB="0" distL="114300" distR="114300" simplePos="0" relativeHeight="251670528" behindDoc="1" locked="0" layoutInCell="1" allowOverlap="1" wp14:anchorId="6624309A" wp14:editId="72EA1326">
            <wp:simplePos x="0" y="0"/>
            <wp:positionH relativeFrom="column">
              <wp:posOffset>2609850</wp:posOffset>
            </wp:positionH>
            <wp:positionV relativeFrom="paragraph">
              <wp:posOffset>1128395</wp:posOffset>
            </wp:positionV>
            <wp:extent cx="790575" cy="790575"/>
            <wp:effectExtent l="0" t="0" r="0" b="9525"/>
            <wp:wrapTight wrapText="bothSides">
              <wp:wrapPolygon edited="0">
                <wp:start x="2602" y="0"/>
                <wp:lineTo x="520" y="19258"/>
                <wp:lineTo x="2602" y="21340"/>
                <wp:lineTo x="16135" y="21340"/>
                <wp:lineTo x="20819" y="19258"/>
                <wp:lineTo x="18737" y="0"/>
                <wp:lineTo x="260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0925---TP-Main-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p>
    <w:sectPr w:rsidR="0039205E" w:rsidRPr="00EB1AC2" w:rsidSect="00F56A63">
      <w:headerReference w:type="default" r:id="rId26"/>
      <w:footerReference w:type="default" r:id="rId27"/>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FFC24" w14:textId="77777777" w:rsidR="008F1069" w:rsidRDefault="008F1069" w:rsidP="00E420FD">
      <w:pPr>
        <w:spacing w:after="0" w:line="240" w:lineRule="auto"/>
      </w:pPr>
      <w:r>
        <w:separator/>
      </w:r>
    </w:p>
  </w:endnote>
  <w:endnote w:type="continuationSeparator" w:id="0">
    <w:p w14:paraId="04C17996" w14:textId="77777777" w:rsidR="008F1069" w:rsidRDefault="008F1069" w:rsidP="00E42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B Titr">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IranianSerif">
    <w:panose1 w:val="02000503000000000000"/>
    <w:charset w:val="00"/>
    <w:family w:val="auto"/>
    <w:pitch w:val="variable"/>
    <w:sig w:usb0="80002003" w:usb1="80002042"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32772021"/>
      <w:docPartObj>
        <w:docPartGallery w:val="Page Numbers (Bottom of Page)"/>
        <w:docPartUnique/>
      </w:docPartObj>
    </w:sdtPr>
    <w:sdtEndPr/>
    <w:sdtContent>
      <w:p w14:paraId="08E0550F" w14:textId="77777777" w:rsidR="001271EA" w:rsidRDefault="001271EA">
        <w:pPr>
          <w:pStyle w:val="Footer"/>
          <w:jc w:val="center"/>
        </w:pPr>
        <w:r>
          <w:fldChar w:fldCharType="begin"/>
        </w:r>
        <w:r>
          <w:instrText xml:space="preserve"> PAGE   \* MERGEFORMAT </w:instrText>
        </w:r>
        <w:r>
          <w:fldChar w:fldCharType="separate"/>
        </w:r>
        <w:r w:rsidR="008674E1">
          <w:rPr>
            <w:noProof/>
            <w:rtl/>
          </w:rPr>
          <w:t>8</w:t>
        </w:r>
        <w:r>
          <w:rPr>
            <w:noProof/>
          </w:rPr>
          <w:fldChar w:fldCharType="end"/>
        </w:r>
      </w:p>
    </w:sdtContent>
  </w:sdt>
  <w:p w14:paraId="212BC338" w14:textId="77777777" w:rsidR="001271EA" w:rsidRDefault="00127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3E57D" w14:textId="77777777" w:rsidR="008F1069" w:rsidRDefault="008F1069" w:rsidP="00E420FD">
      <w:pPr>
        <w:spacing w:after="0" w:line="240" w:lineRule="auto"/>
      </w:pPr>
      <w:r>
        <w:separator/>
      </w:r>
    </w:p>
  </w:footnote>
  <w:footnote w:type="continuationSeparator" w:id="0">
    <w:p w14:paraId="74CE9625" w14:textId="77777777" w:rsidR="008F1069" w:rsidRDefault="008F1069" w:rsidP="00E420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C150C" w14:textId="3FCE3C4B" w:rsidR="001271EA" w:rsidRPr="00F56A63" w:rsidRDefault="001271EA" w:rsidP="00F56A63">
    <w:pPr>
      <w:pStyle w:val="Header"/>
      <w:spacing w:befor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6F67"/>
    <w:multiLevelType w:val="hybridMultilevel"/>
    <w:tmpl w:val="4A422556"/>
    <w:lvl w:ilvl="0" w:tplc="29249F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B0BEB"/>
    <w:multiLevelType w:val="multilevel"/>
    <w:tmpl w:val="BFFCB1FE"/>
    <w:styleLink w:val="Style1"/>
    <w:lvl w:ilvl="0">
      <w:start w:val="1"/>
      <w:numFmt w:val="decimal"/>
      <w:suff w:val="space"/>
      <w:lvlText w:val="%1."/>
      <w:lvlJc w:val="left"/>
      <w:pPr>
        <w:ind w:left="357" w:hanging="357"/>
      </w:pPr>
      <w:rPr>
        <w:rFonts w:hint="default"/>
      </w:rPr>
    </w:lvl>
    <w:lvl w:ilvl="1">
      <w:start w:val="1"/>
      <w:numFmt w:val="decimal"/>
      <w:suff w:val="space"/>
      <w:lvlText w:val="%2-%1."/>
      <w:lvlJc w:val="left"/>
      <w:pPr>
        <w:ind w:left="357" w:hanging="357"/>
      </w:pPr>
      <w:rPr>
        <w:rFonts w:hint="default"/>
      </w:rPr>
    </w:lvl>
    <w:lvl w:ilvl="2">
      <w:start w:val="1"/>
      <w:numFmt w:val="decimal"/>
      <w:suff w:val="space"/>
      <w:lvlText w:val="%3-%2-%1."/>
      <w:lvlJc w:val="left"/>
      <w:pPr>
        <w:ind w:left="357" w:hanging="357"/>
      </w:pPr>
      <w:rPr>
        <w:rFonts w:hint="default"/>
      </w:rPr>
    </w:lvl>
    <w:lvl w:ilvl="3">
      <w:start w:val="1"/>
      <w:numFmt w:val="decimal"/>
      <w:suff w:val="space"/>
      <w:lvlText w:val="%4-%3-%2-%1."/>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
    <w:nsid w:val="08AB30BC"/>
    <w:multiLevelType w:val="hybridMultilevel"/>
    <w:tmpl w:val="C1A4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A1A16"/>
    <w:multiLevelType w:val="hybridMultilevel"/>
    <w:tmpl w:val="1A7A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A6C4C"/>
    <w:multiLevelType w:val="hybridMultilevel"/>
    <w:tmpl w:val="DA14E1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E35752"/>
    <w:multiLevelType w:val="hybridMultilevel"/>
    <w:tmpl w:val="F9524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AB6A8F"/>
    <w:multiLevelType w:val="hybridMultilevel"/>
    <w:tmpl w:val="876CCCCC"/>
    <w:lvl w:ilvl="0" w:tplc="29249F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307EA"/>
    <w:multiLevelType w:val="hybridMultilevel"/>
    <w:tmpl w:val="9D04228E"/>
    <w:lvl w:ilvl="0" w:tplc="BB9E20E6">
      <w:start w:val="2"/>
      <w:numFmt w:val="bullet"/>
      <w:lvlText w:val=""/>
      <w:lvlJc w:val="left"/>
      <w:pPr>
        <w:ind w:left="720" w:hanging="360"/>
      </w:pPr>
      <w:rPr>
        <w:rFonts w:ascii="Symbol" w:eastAsiaTheme="minorHAnsi" w:hAnsi="Symbol" w:cstheme="minorBidi"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A4D72"/>
    <w:multiLevelType w:val="hybridMultilevel"/>
    <w:tmpl w:val="C9B6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771EA3"/>
    <w:multiLevelType w:val="multilevel"/>
    <w:tmpl w:val="A7B073E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298B0357"/>
    <w:multiLevelType w:val="hybridMultilevel"/>
    <w:tmpl w:val="B650AB90"/>
    <w:lvl w:ilvl="0" w:tplc="1312F146">
      <w:start w:val="6"/>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9C5839"/>
    <w:multiLevelType w:val="hybridMultilevel"/>
    <w:tmpl w:val="7BF86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3A6546"/>
    <w:multiLevelType w:val="hybridMultilevel"/>
    <w:tmpl w:val="0902F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551A40"/>
    <w:multiLevelType w:val="hybridMultilevel"/>
    <w:tmpl w:val="8A3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C1669B"/>
    <w:multiLevelType w:val="hybridMultilevel"/>
    <w:tmpl w:val="05A4D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8B0B1D"/>
    <w:multiLevelType w:val="hybridMultilevel"/>
    <w:tmpl w:val="7AB4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F72A33"/>
    <w:multiLevelType w:val="hybridMultilevel"/>
    <w:tmpl w:val="3E16368A"/>
    <w:lvl w:ilvl="0" w:tplc="29249FB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FF3499"/>
    <w:multiLevelType w:val="hybridMultilevel"/>
    <w:tmpl w:val="255A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1037BB"/>
    <w:multiLevelType w:val="hybridMultilevel"/>
    <w:tmpl w:val="8A545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B25807"/>
    <w:multiLevelType w:val="hybridMultilevel"/>
    <w:tmpl w:val="977AC114"/>
    <w:lvl w:ilvl="0" w:tplc="A386DA7C">
      <w:start w:val="1"/>
      <w:numFmt w:val="bullet"/>
      <w:lvlText w:val="•"/>
      <w:lvlJc w:val="left"/>
      <w:pPr>
        <w:tabs>
          <w:tab w:val="num" w:pos="720"/>
        </w:tabs>
        <w:ind w:left="720" w:hanging="360"/>
      </w:pPr>
      <w:rPr>
        <w:rFonts w:ascii="Times New Roman" w:hAnsi="Times New Roman" w:hint="default"/>
      </w:rPr>
    </w:lvl>
    <w:lvl w:ilvl="1" w:tplc="482E70C6">
      <w:start w:val="141"/>
      <w:numFmt w:val="bullet"/>
      <w:lvlText w:val="•"/>
      <w:lvlJc w:val="left"/>
      <w:pPr>
        <w:tabs>
          <w:tab w:val="num" w:pos="1440"/>
        </w:tabs>
        <w:ind w:left="1440" w:hanging="360"/>
      </w:pPr>
      <w:rPr>
        <w:rFonts w:ascii="Times New Roman" w:hAnsi="Times New Roman" w:hint="default"/>
      </w:rPr>
    </w:lvl>
    <w:lvl w:ilvl="2" w:tplc="D4C898D8" w:tentative="1">
      <w:start w:val="1"/>
      <w:numFmt w:val="bullet"/>
      <w:lvlText w:val="•"/>
      <w:lvlJc w:val="left"/>
      <w:pPr>
        <w:tabs>
          <w:tab w:val="num" w:pos="2160"/>
        </w:tabs>
        <w:ind w:left="2160" w:hanging="360"/>
      </w:pPr>
      <w:rPr>
        <w:rFonts w:ascii="Times New Roman" w:hAnsi="Times New Roman" w:hint="default"/>
      </w:rPr>
    </w:lvl>
    <w:lvl w:ilvl="3" w:tplc="2F541DCA" w:tentative="1">
      <w:start w:val="1"/>
      <w:numFmt w:val="bullet"/>
      <w:lvlText w:val="•"/>
      <w:lvlJc w:val="left"/>
      <w:pPr>
        <w:tabs>
          <w:tab w:val="num" w:pos="2880"/>
        </w:tabs>
        <w:ind w:left="2880" w:hanging="360"/>
      </w:pPr>
      <w:rPr>
        <w:rFonts w:ascii="Times New Roman" w:hAnsi="Times New Roman" w:hint="default"/>
      </w:rPr>
    </w:lvl>
    <w:lvl w:ilvl="4" w:tplc="2D547048" w:tentative="1">
      <w:start w:val="1"/>
      <w:numFmt w:val="bullet"/>
      <w:lvlText w:val="•"/>
      <w:lvlJc w:val="left"/>
      <w:pPr>
        <w:tabs>
          <w:tab w:val="num" w:pos="3600"/>
        </w:tabs>
        <w:ind w:left="3600" w:hanging="360"/>
      </w:pPr>
      <w:rPr>
        <w:rFonts w:ascii="Times New Roman" w:hAnsi="Times New Roman" w:hint="default"/>
      </w:rPr>
    </w:lvl>
    <w:lvl w:ilvl="5" w:tplc="EDFC7D0C" w:tentative="1">
      <w:start w:val="1"/>
      <w:numFmt w:val="bullet"/>
      <w:lvlText w:val="•"/>
      <w:lvlJc w:val="left"/>
      <w:pPr>
        <w:tabs>
          <w:tab w:val="num" w:pos="4320"/>
        </w:tabs>
        <w:ind w:left="4320" w:hanging="360"/>
      </w:pPr>
      <w:rPr>
        <w:rFonts w:ascii="Times New Roman" w:hAnsi="Times New Roman" w:hint="default"/>
      </w:rPr>
    </w:lvl>
    <w:lvl w:ilvl="6" w:tplc="CBC2706A" w:tentative="1">
      <w:start w:val="1"/>
      <w:numFmt w:val="bullet"/>
      <w:lvlText w:val="•"/>
      <w:lvlJc w:val="left"/>
      <w:pPr>
        <w:tabs>
          <w:tab w:val="num" w:pos="5040"/>
        </w:tabs>
        <w:ind w:left="5040" w:hanging="360"/>
      </w:pPr>
      <w:rPr>
        <w:rFonts w:ascii="Times New Roman" w:hAnsi="Times New Roman" w:hint="default"/>
      </w:rPr>
    </w:lvl>
    <w:lvl w:ilvl="7" w:tplc="32F4145E" w:tentative="1">
      <w:start w:val="1"/>
      <w:numFmt w:val="bullet"/>
      <w:lvlText w:val="•"/>
      <w:lvlJc w:val="left"/>
      <w:pPr>
        <w:tabs>
          <w:tab w:val="num" w:pos="5760"/>
        </w:tabs>
        <w:ind w:left="5760" w:hanging="360"/>
      </w:pPr>
      <w:rPr>
        <w:rFonts w:ascii="Times New Roman" w:hAnsi="Times New Roman" w:hint="default"/>
      </w:rPr>
    </w:lvl>
    <w:lvl w:ilvl="8" w:tplc="E1CE3A9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BF95B47"/>
    <w:multiLevelType w:val="hybridMultilevel"/>
    <w:tmpl w:val="4BC41A30"/>
    <w:lvl w:ilvl="0" w:tplc="84809FCE">
      <w:start w:val="6"/>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0C475F"/>
    <w:multiLevelType w:val="hybridMultilevel"/>
    <w:tmpl w:val="A946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7D6AEE"/>
    <w:multiLevelType w:val="hybridMultilevel"/>
    <w:tmpl w:val="D7D48A02"/>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3">
    <w:nsid w:val="55D62DAA"/>
    <w:multiLevelType w:val="hybridMultilevel"/>
    <w:tmpl w:val="FF70F1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C876056"/>
    <w:multiLevelType w:val="hybridMultilevel"/>
    <w:tmpl w:val="424817E2"/>
    <w:lvl w:ilvl="0" w:tplc="29249F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644569"/>
    <w:multiLevelType w:val="hybridMultilevel"/>
    <w:tmpl w:val="2842E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255FAF"/>
    <w:multiLevelType w:val="hybridMultilevel"/>
    <w:tmpl w:val="256629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BB96433"/>
    <w:multiLevelType w:val="hybridMultilevel"/>
    <w:tmpl w:val="7AB6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605F3C"/>
    <w:multiLevelType w:val="hybridMultilevel"/>
    <w:tmpl w:val="B74C7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8A073B"/>
    <w:multiLevelType w:val="hybridMultilevel"/>
    <w:tmpl w:val="4168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15056E"/>
    <w:multiLevelType w:val="hybridMultilevel"/>
    <w:tmpl w:val="11B0FA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055BD7"/>
    <w:multiLevelType w:val="hybridMultilevel"/>
    <w:tmpl w:val="0FB4BA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7F2C1C1E"/>
    <w:multiLevelType w:val="hybridMultilevel"/>
    <w:tmpl w:val="B40E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7"/>
  </w:num>
  <w:num w:numId="5">
    <w:abstractNumId w:val="19"/>
  </w:num>
  <w:num w:numId="6">
    <w:abstractNumId w:val="10"/>
  </w:num>
  <w:num w:numId="7">
    <w:abstractNumId w:val="20"/>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15"/>
  </w:num>
  <w:num w:numId="19">
    <w:abstractNumId w:val="28"/>
  </w:num>
  <w:num w:numId="20">
    <w:abstractNumId w:val="3"/>
  </w:num>
  <w:num w:numId="21">
    <w:abstractNumId w:val="2"/>
  </w:num>
  <w:num w:numId="22">
    <w:abstractNumId w:val="4"/>
  </w:num>
  <w:num w:numId="23">
    <w:abstractNumId w:val="30"/>
  </w:num>
  <w:num w:numId="24">
    <w:abstractNumId w:val="18"/>
  </w:num>
  <w:num w:numId="25">
    <w:abstractNumId w:val="22"/>
  </w:num>
  <w:num w:numId="26">
    <w:abstractNumId w:val="32"/>
  </w:num>
  <w:num w:numId="27">
    <w:abstractNumId w:val="21"/>
  </w:num>
  <w:num w:numId="28">
    <w:abstractNumId w:val="26"/>
  </w:num>
  <w:num w:numId="29">
    <w:abstractNumId w:val="11"/>
  </w:num>
  <w:num w:numId="30">
    <w:abstractNumId w:val="25"/>
  </w:num>
  <w:num w:numId="31">
    <w:abstractNumId w:val="23"/>
  </w:num>
  <w:num w:numId="32">
    <w:abstractNumId w:val="12"/>
  </w:num>
  <w:num w:numId="33">
    <w:abstractNumId w:val="17"/>
  </w:num>
  <w:num w:numId="34">
    <w:abstractNumId w:val="5"/>
  </w:num>
  <w:num w:numId="35">
    <w:abstractNumId w:val="29"/>
  </w:num>
  <w:num w:numId="36">
    <w:abstractNumId w:val="24"/>
  </w:num>
  <w:num w:numId="37">
    <w:abstractNumId w:val="6"/>
  </w:num>
  <w:num w:numId="38">
    <w:abstractNumId w:val="0"/>
  </w:num>
  <w:num w:numId="39">
    <w:abstractNumId w:val="16"/>
  </w:num>
  <w:num w:numId="40">
    <w:abstractNumId w:val="14"/>
  </w:num>
  <w:num w:numId="41">
    <w:abstractNumId w:val="13"/>
  </w:num>
  <w:num w:numId="42">
    <w:abstractNumId w:val="27"/>
  </w:num>
  <w:num w:numId="43">
    <w:abstractNumId w:val="8"/>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120"/>
    <w:rsid w:val="000142F3"/>
    <w:rsid w:val="00025B41"/>
    <w:rsid w:val="00032231"/>
    <w:rsid w:val="00037A86"/>
    <w:rsid w:val="00040202"/>
    <w:rsid w:val="00064A1C"/>
    <w:rsid w:val="00065DD2"/>
    <w:rsid w:val="000708D7"/>
    <w:rsid w:val="0007249E"/>
    <w:rsid w:val="0007342C"/>
    <w:rsid w:val="00090618"/>
    <w:rsid w:val="000B035F"/>
    <w:rsid w:val="000B62F7"/>
    <w:rsid w:val="000B6A71"/>
    <w:rsid w:val="000C00B3"/>
    <w:rsid w:val="000C3B2C"/>
    <w:rsid w:val="000D10C3"/>
    <w:rsid w:val="000F0A20"/>
    <w:rsid w:val="0010209C"/>
    <w:rsid w:val="001025CA"/>
    <w:rsid w:val="0010298F"/>
    <w:rsid w:val="00113771"/>
    <w:rsid w:val="00113C88"/>
    <w:rsid w:val="00123FFB"/>
    <w:rsid w:val="001271EA"/>
    <w:rsid w:val="00134306"/>
    <w:rsid w:val="00135214"/>
    <w:rsid w:val="001518E1"/>
    <w:rsid w:val="00161796"/>
    <w:rsid w:val="00186F2B"/>
    <w:rsid w:val="001B2594"/>
    <w:rsid w:val="001C184B"/>
    <w:rsid w:val="001C394F"/>
    <w:rsid w:val="001C3DB6"/>
    <w:rsid w:val="001C7F25"/>
    <w:rsid w:val="001D0538"/>
    <w:rsid w:val="001D1E81"/>
    <w:rsid w:val="001D3643"/>
    <w:rsid w:val="001E16C5"/>
    <w:rsid w:val="00200504"/>
    <w:rsid w:val="0020382B"/>
    <w:rsid w:val="0020442A"/>
    <w:rsid w:val="00207A73"/>
    <w:rsid w:val="0022184E"/>
    <w:rsid w:val="002428A0"/>
    <w:rsid w:val="00270FAA"/>
    <w:rsid w:val="00271FF6"/>
    <w:rsid w:val="00280D3D"/>
    <w:rsid w:val="00290133"/>
    <w:rsid w:val="00294508"/>
    <w:rsid w:val="002B29CE"/>
    <w:rsid w:val="002C1120"/>
    <w:rsid w:val="002D2C9E"/>
    <w:rsid w:val="002F2E8A"/>
    <w:rsid w:val="002F571B"/>
    <w:rsid w:val="00302758"/>
    <w:rsid w:val="00305059"/>
    <w:rsid w:val="0031139E"/>
    <w:rsid w:val="00322D61"/>
    <w:rsid w:val="00327487"/>
    <w:rsid w:val="0033409B"/>
    <w:rsid w:val="00353030"/>
    <w:rsid w:val="00356066"/>
    <w:rsid w:val="00363C45"/>
    <w:rsid w:val="00364327"/>
    <w:rsid w:val="00370069"/>
    <w:rsid w:val="0037303E"/>
    <w:rsid w:val="00377AC5"/>
    <w:rsid w:val="0039205E"/>
    <w:rsid w:val="003D0860"/>
    <w:rsid w:val="003D0EA7"/>
    <w:rsid w:val="003D4025"/>
    <w:rsid w:val="003E78BB"/>
    <w:rsid w:val="00414480"/>
    <w:rsid w:val="004155E3"/>
    <w:rsid w:val="00422778"/>
    <w:rsid w:val="00426C85"/>
    <w:rsid w:val="004375D6"/>
    <w:rsid w:val="0045354C"/>
    <w:rsid w:val="0045689F"/>
    <w:rsid w:val="0047123C"/>
    <w:rsid w:val="00477AFA"/>
    <w:rsid w:val="0049537D"/>
    <w:rsid w:val="00497709"/>
    <w:rsid w:val="00497933"/>
    <w:rsid w:val="004A1223"/>
    <w:rsid w:val="004A1D0B"/>
    <w:rsid w:val="004A618E"/>
    <w:rsid w:val="004A741A"/>
    <w:rsid w:val="004B2AA6"/>
    <w:rsid w:val="004B3DE0"/>
    <w:rsid w:val="004C7144"/>
    <w:rsid w:val="00525171"/>
    <w:rsid w:val="00532B70"/>
    <w:rsid w:val="0054085F"/>
    <w:rsid w:val="00552D2B"/>
    <w:rsid w:val="00554EE7"/>
    <w:rsid w:val="00555FC1"/>
    <w:rsid w:val="00560039"/>
    <w:rsid w:val="00561061"/>
    <w:rsid w:val="00562EF2"/>
    <w:rsid w:val="00574672"/>
    <w:rsid w:val="005811BE"/>
    <w:rsid w:val="005960A3"/>
    <w:rsid w:val="005A6262"/>
    <w:rsid w:val="005B3D7A"/>
    <w:rsid w:val="005C7A56"/>
    <w:rsid w:val="005D3292"/>
    <w:rsid w:val="005D7EFE"/>
    <w:rsid w:val="005F1127"/>
    <w:rsid w:val="005F600C"/>
    <w:rsid w:val="006200FA"/>
    <w:rsid w:val="00620CE1"/>
    <w:rsid w:val="00646B50"/>
    <w:rsid w:val="00655A95"/>
    <w:rsid w:val="006570EA"/>
    <w:rsid w:val="00660DF1"/>
    <w:rsid w:val="006638BD"/>
    <w:rsid w:val="00665283"/>
    <w:rsid w:val="006750BD"/>
    <w:rsid w:val="00677A82"/>
    <w:rsid w:val="00680135"/>
    <w:rsid w:val="00686106"/>
    <w:rsid w:val="006A7385"/>
    <w:rsid w:val="006B2A76"/>
    <w:rsid w:val="006C1A86"/>
    <w:rsid w:val="006D344C"/>
    <w:rsid w:val="006E2FB9"/>
    <w:rsid w:val="006F0ED3"/>
    <w:rsid w:val="006F5BC1"/>
    <w:rsid w:val="006F6168"/>
    <w:rsid w:val="00703BC3"/>
    <w:rsid w:val="00711228"/>
    <w:rsid w:val="00745DB7"/>
    <w:rsid w:val="00752535"/>
    <w:rsid w:val="00755043"/>
    <w:rsid w:val="0078156E"/>
    <w:rsid w:val="00782999"/>
    <w:rsid w:val="0079312A"/>
    <w:rsid w:val="007A0CB5"/>
    <w:rsid w:val="007A2201"/>
    <w:rsid w:val="007C32CB"/>
    <w:rsid w:val="007E0FC2"/>
    <w:rsid w:val="007E795F"/>
    <w:rsid w:val="007F3ED7"/>
    <w:rsid w:val="008076A7"/>
    <w:rsid w:val="00814A6A"/>
    <w:rsid w:val="008348CC"/>
    <w:rsid w:val="00844802"/>
    <w:rsid w:val="00845AB3"/>
    <w:rsid w:val="008674E1"/>
    <w:rsid w:val="00881B80"/>
    <w:rsid w:val="0089037D"/>
    <w:rsid w:val="00891020"/>
    <w:rsid w:val="008B645C"/>
    <w:rsid w:val="008B7708"/>
    <w:rsid w:val="008D124B"/>
    <w:rsid w:val="008D4682"/>
    <w:rsid w:val="008E5958"/>
    <w:rsid w:val="008F1069"/>
    <w:rsid w:val="008F38A7"/>
    <w:rsid w:val="00903060"/>
    <w:rsid w:val="00910D6E"/>
    <w:rsid w:val="00924B92"/>
    <w:rsid w:val="00942B8A"/>
    <w:rsid w:val="00970E23"/>
    <w:rsid w:val="00971188"/>
    <w:rsid w:val="00973830"/>
    <w:rsid w:val="009802AB"/>
    <w:rsid w:val="00985040"/>
    <w:rsid w:val="009919F9"/>
    <w:rsid w:val="009A3047"/>
    <w:rsid w:val="009B2655"/>
    <w:rsid w:val="009B4040"/>
    <w:rsid w:val="009C4416"/>
    <w:rsid w:val="009E6B17"/>
    <w:rsid w:val="009F21AE"/>
    <w:rsid w:val="00A02206"/>
    <w:rsid w:val="00A02842"/>
    <w:rsid w:val="00A0446F"/>
    <w:rsid w:val="00A04A7F"/>
    <w:rsid w:val="00A15D4F"/>
    <w:rsid w:val="00A2479B"/>
    <w:rsid w:val="00A509C8"/>
    <w:rsid w:val="00A73546"/>
    <w:rsid w:val="00A74F9E"/>
    <w:rsid w:val="00A80B66"/>
    <w:rsid w:val="00A81BCC"/>
    <w:rsid w:val="00AA3C92"/>
    <w:rsid w:val="00AA5B87"/>
    <w:rsid w:val="00AB2132"/>
    <w:rsid w:val="00AB7CC6"/>
    <w:rsid w:val="00AB7DEA"/>
    <w:rsid w:val="00AD0375"/>
    <w:rsid w:val="00AD5109"/>
    <w:rsid w:val="00AE333F"/>
    <w:rsid w:val="00B10EBD"/>
    <w:rsid w:val="00B16DBA"/>
    <w:rsid w:val="00B253AC"/>
    <w:rsid w:val="00B36CC7"/>
    <w:rsid w:val="00B50A46"/>
    <w:rsid w:val="00B54B24"/>
    <w:rsid w:val="00B62E81"/>
    <w:rsid w:val="00B62F25"/>
    <w:rsid w:val="00B7120B"/>
    <w:rsid w:val="00B749ED"/>
    <w:rsid w:val="00B76987"/>
    <w:rsid w:val="00B83D83"/>
    <w:rsid w:val="00BA1D8A"/>
    <w:rsid w:val="00BB02FF"/>
    <w:rsid w:val="00BB1F88"/>
    <w:rsid w:val="00BB5B84"/>
    <w:rsid w:val="00BD5614"/>
    <w:rsid w:val="00BE001D"/>
    <w:rsid w:val="00BE1F98"/>
    <w:rsid w:val="00BE4EC6"/>
    <w:rsid w:val="00BF7364"/>
    <w:rsid w:val="00C031B3"/>
    <w:rsid w:val="00C106A7"/>
    <w:rsid w:val="00C15DAF"/>
    <w:rsid w:val="00C25568"/>
    <w:rsid w:val="00C2625C"/>
    <w:rsid w:val="00C65BE5"/>
    <w:rsid w:val="00C93180"/>
    <w:rsid w:val="00CA3B7E"/>
    <w:rsid w:val="00CA5487"/>
    <w:rsid w:val="00CA60B1"/>
    <w:rsid w:val="00CB7FED"/>
    <w:rsid w:val="00CC0F2E"/>
    <w:rsid w:val="00CC352F"/>
    <w:rsid w:val="00CD2364"/>
    <w:rsid w:val="00CF4E6C"/>
    <w:rsid w:val="00CF5D82"/>
    <w:rsid w:val="00D0339C"/>
    <w:rsid w:val="00D07E59"/>
    <w:rsid w:val="00D12CD0"/>
    <w:rsid w:val="00D23152"/>
    <w:rsid w:val="00D36679"/>
    <w:rsid w:val="00D41F20"/>
    <w:rsid w:val="00D57D2B"/>
    <w:rsid w:val="00D7290A"/>
    <w:rsid w:val="00D743BD"/>
    <w:rsid w:val="00D92A7B"/>
    <w:rsid w:val="00DA329E"/>
    <w:rsid w:val="00DA5DF1"/>
    <w:rsid w:val="00DC3D72"/>
    <w:rsid w:val="00DD4CA9"/>
    <w:rsid w:val="00DE2908"/>
    <w:rsid w:val="00DF06BC"/>
    <w:rsid w:val="00DF6332"/>
    <w:rsid w:val="00E00057"/>
    <w:rsid w:val="00E106FB"/>
    <w:rsid w:val="00E16657"/>
    <w:rsid w:val="00E208E3"/>
    <w:rsid w:val="00E269DB"/>
    <w:rsid w:val="00E420FD"/>
    <w:rsid w:val="00E61895"/>
    <w:rsid w:val="00E65710"/>
    <w:rsid w:val="00E6620D"/>
    <w:rsid w:val="00E8463D"/>
    <w:rsid w:val="00E87BDA"/>
    <w:rsid w:val="00EA247E"/>
    <w:rsid w:val="00EA4A34"/>
    <w:rsid w:val="00EA630E"/>
    <w:rsid w:val="00EB1AC2"/>
    <w:rsid w:val="00EB3CDF"/>
    <w:rsid w:val="00EC235B"/>
    <w:rsid w:val="00EC61BA"/>
    <w:rsid w:val="00ED0AA9"/>
    <w:rsid w:val="00ED3095"/>
    <w:rsid w:val="00ED33AC"/>
    <w:rsid w:val="00EE7307"/>
    <w:rsid w:val="00EF604F"/>
    <w:rsid w:val="00F079D0"/>
    <w:rsid w:val="00F324F6"/>
    <w:rsid w:val="00F32BDE"/>
    <w:rsid w:val="00F47CBE"/>
    <w:rsid w:val="00F51352"/>
    <w:rsid w:val="00F515D7"/>
    <w:rsid w:val="00F51A95"/>
    <w:rsid w:val="00F56A63"/>
    <w:rsid w:val="00F740A2"/>
    <w:rsid w:val="00F839BC"/>
    <w:rsid w:val="00F83ABD"/>
    <w:rsid w:val="00F84941"/>
    <w:rsid w:val="00FA1F69"/>
    <w:rsid w:val="00FA2AA3"/>
    <w:rsid w:val="00FD1797"/>
    <w:rsid w:val="00FE402A"/>
    <w:rsid w:val="00FE77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F2A56"/>
  <w15:chartTrackingRefBased/>
  <w15:docId w15:val="{0E7C127D-E92F-422B-BC03-41D59D858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3AC"/>
    <w:pPr>
      <w:bidi/>
      <w:jc w:val="both"/>
    </w:pPr>
    <w:rPr>
      <w:sz w:val="24"/>
      <w:szCs w:val="26"/>
    </w:rPr>
  </w:style>
  <w:style w:type="paragraph" w:styleId="Heading1">
    <w:name w:val="heading 1"/>
    <w:basedOn w:val="Normal"/>
    <w:next w:val="Normal"/>
    <w:link w:val="Heading1Char"/>
    <w:uiPriority w:val="9"/>
    <w:qFormat/>
    <w:rsid w:val="00B253AC"/>
    <w:pPr>
      <w:numPr>
        <w:numId w:val="17"/>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olor w:val="FFFFFF" w:themeColor="background1"/>
      <w:sz w:val="26"/>
      <w:szCs w:val="28"/>
    </w:rPr>
  </w:style>
  <w:style w:type="paragraph" w:styleId="Heading2">
    <w:name w:val="heading 2"/>
    <w:basedOn w:val="Normal"/>
    <w:next w:val="Normal"/>
    <w:link w:val="Heading2Char"/>
    <w:uiPriority w:val="9"/>
    <w:unhideWhenUsed/>
    <w:qFormat/>
    <w:rsid w:val="00B253AC"/>
    <w:pPr>
      <w:numPr>
        <w:ilvl w:val="1"/>
        <w:numId w:val="17"/>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sz w:val="26"/>
      <w:szCs w:val="28"/>
    </w:rPr>
  </w:style>
  <w:style w:type="paragraph" w:styleId="Heading3">
    <w:name w:val="heading 3"/>
    <w:basedOn w:val="Normal"/>
    <w:next w:val="Normal"/>
    <w:link w:val="Heading3Char"/>
    <w:uiPriority w:val="9"/>
    <w:unhideWhenUsed/>
    <w:qFormat/>
    <w:rsid w:val="00B253AC"/>
    <w:pPr>
      <w:numPr>
        <w:ilvl w:val="2"/>
        <w:numId w:val="17"/>
      </w:numPr>
      <w:pBdr>
        <w:top w:val="single" w:sz="6" w:space="2" w:color="5B9BD5" w:themeColor="accent1"/>
      </w:pBdr>
      <w:spacing w:before="120" w:after="0"/>
      <w:outlineLvl w:val="2"/>
    </w:pPr>
    <w:rPr>
      <w:color w:val="1F4D78" w:themeColor="accent1" w:themeShade="7F"/>
      <w:sz w:val="26"/>
      <w:szCs w:val="28"/>
    </w:rPr>
  </w:style>
  <w:style w:type="paragraph" w:styleId="Heading4">
    <w:name w:val="heading 4"/>
    <w:basedOn w:val="Normal"/>
    <w:next w:val="Normal"/>
    <w:link w:val="Heading4Char"/>
    <w:uiPriority w:val="9"/>
    <w:unhideWhenUsed/>
    <w:qFormat/>
    <w:rsid w:val="00B253AC"/>
    <w:pPr>
      <w:numPr>
        <w:ilvl w:val="3"/>
        <w:numId w:val="17"/>
      </w:numPr>
      <w:pBdr>
        <w:top w:val="dotted" w:sz="6" w:space="2" w:color="5B9BD5" w:themeColor="accent1"/>
      </w:pBdr>
      <w:bidi w:val="0"/>
      <w:spacing w:before="200" w:after="0"/>
      <w:outlineLvl w:val="3"/>
    </w:pPr>
    <w:rPr>
      <w:color w:val="2E74B5" w:themeColor="accent1" w:themeShade="BF"/>
      <w:spacing w:val="10"/>
      <w:sz w:val="20"/>
      <w:szCs w:val="20"/>
    </w:rPr>
  </w:style>
  <w:style w:type="paragraph" w:styleId="Heading5">
    <w:name w:val="heading 5"/>
    <w:basedOn w:val="Normal"/>
    <w:next w:val="Normal"/>
    <w:link w:val="Heading5Char"/>
    <w:uiPriority w:val="9"/>
    <w:semiHidden/>
    <w:unhideWhenUsed/>
    <w:qFormat/>
    <w:rsid w:val="00B253AC"/>
    <w:pPr>
      <w:numPr>
        <w:ilvl w:val="4"/>
        <w:numId w:val="17"/>
      </w:numPr>
      <w:pBdr>
        <w:bottom w:val="single" w:sz="6" w:space="1" w:color="5B9BD5" w:themeColor="accent1"/>
      </w:pBdr>
      <w:bidi w:val="0"/>
      <w:spacing w:before="200" w:after="0"/>
      <w:outlineLvl w:val="4"/>
    </w:pPr>
    <w:rPr>
      <w:caps/>
      <w:color w:val="2E74B5" w:themeColor="accent1" w:themeShade="BF"/>
      <w:spacing w:val="10"/>
      <w:sz w:val="20"/>
      <w:szCs w:val="20"/>
    </w:rPr>
  </w:style>
  <w:style w:type="paragraph" w:styleId="Heading6">
    <w:name w:val="heading 6"/>
    <w:basedOn w:val="Normal"/>
    <w:next w:val="Normal"/>
    <w:link w:val="Heading6Char"/>
    <w:uiPriority w:val="9"/>
    <w:semiHidden/>
    <w:unhideWhenUsed/>
    <w:qFormat/>
    <w:rsid w:val="00B253AC"/>
    <w:pPr>
      <w:numPr>
        <w:ilvl w:val="5"/>
        <w:numId w:val="17"/>
      </w:numPr>
      <w:pBdr>
        <w:bottom w:val="dotted" w:sz="6" w:space="1" w:color="5B9BD5" w:themeColor="accent1"/>
      </w:pBdr>
      <w:bidi w:val="0"/>
      <w:spacing w:before="200" w:after="0"/>
      <w:outlineLvl w:val="5"/>
    </w:pPr>
    <w:rPr>
      <w:caps/>
      <w:color w:val="2E74B5" w:themeColor="accent1" w:themeShade="BF"/>
      <w:spacing w:val="10"/>
      <w:sz w:val="20"/>
      <w:szCs w:val="20"/>
    </w:rPr>
  </w:style>
  <w:style w:type="paragraph" w:styleId="Heading7">
    <w:name w:val="heading 7"/>
    <w:basedOn w:val="Normal"/>
    <w:next w:val="Normal"/>
    <w:link w:val="Heading7Char"/>
    <w:uiPriority w:val="9"/>
    <w:semiHidden/>
    <w:unhideWhenUsed/>
    <w:qFormat/>
    <w:rsid w:val="00B253AC"/>
    <w:pPr>
      <w:numPr>
        <w:ilvl w:val="6"/>
        <w:numId w:val="17"/>
      </w:numPr>
      <w:bidi w:val="0"/>
      <w:spacing w:before="200" w:after="0"/>
      <w:outlineLvl w:val="6"/>
    </w:pPr>
    <w:rPr>
      <w:caps/>
      <w:color w:val="2E74B5" w:themeColor="accent1" w:themeShade="BF"/>
      <w:spacing w:val="10"/>
      <w:sz w:val="20"/>
      <w:szCs w:val="20"/>
    </w:rPr>
  </w:style>
  <w:style w:type="paragraph" w:styleId="Heading8">
    <w:name w:val="heading 8"/>
    <w:basedOn w:val="Normal"/>
    <w:next w:val="Normal"/>
    <w:link w:val="Heading8Char"/>
    <w:uiPriority w:val="9"/>
    <w:semiHidden/>
    <w:unhideWhenUsed/>
    <w:qFormat/>
    <w:rsid w:val="00B253AC"/>
    <w:pPr>
      <w:numPr>
        <w:ilvl w:val="7"/>
        <w:numId w:val="17"/>
      </w:numPr>
      <w:bidi w:val="0"/>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253AC"/>
    <w:pPr>
      <w:numPr>
        <w:ilvl w:val="8"/>
        <w:numId w:val="17"/>
      </w:numPr>
      <w:bidi w:val="0"/>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3AC"/>
    <w:rPr>
      <w:b/>
      <w:bCs/>
      <w:color w:val="FFFFFF" w:themeColor="background1"/>
      <w:sz w:val="26"/>
      <w:szCs w:val="28"/>
      <w:shd w:val="clear" w:color="auto" w:fill="5B9BD5" w:themeFill="accent1"/>
    </w:rPr>
  </w:style>
  <w:style w:type="paragraph" w:styleId="Title">
    <w:name w:val="Title"/>
    <w:basedOn w:val="Normal"/>
    <w:next w:val="Normal"/>
    <w:link w:val="TitleChar"/>
    <w:uiPriority w:val="10"/>
    <w:qFormat/>
    <w:rsid w:val="00B253AC"/>
    <w:pPr>
      <w:spacing w:before="0" w:after="0"/>
    </w:pPr>
    <w:rPr>
      <w:rFonts w:asciiTheme="majorHAnsi" w:eastAsiaTheme="majorEastAsia" w:hAnsiTheme="majorHAnsi" w:cstheme="majorBidi"/>
      <w:caps/>
      <w:color w:val="5B9BD5" w:themeColor="accent1"/>
      <w:sz w:val="52"/>
      <w:szCs w:val="52"/>
    </w:rPr>
  </w:style>
  <w:style w:type="character" w:customStyle="1" w:styleId="TitleChar">
    <w:name w:val="Title Char"/>
    <w:basedOn w:val="DefaultParagraphFont"/>
    <w:link w:val="Title"/>
    <w:uiPriority w:val="10"/>
    <w:rsid w:val="00B253AC"/>
    <w:rPr>
      <w:rFonts w:asciiTheme="majorHAnsi" w:eastAsiaTheme="majorEastAsia" w:hAnsiTheme="majorHAnsi" w:cstheme="majorBidi"/>
      <w:caps/>
      <w:color w:val="5B9BD5" w:themeColor="accent1"/>
      <w:sz w:val="52"/>
      <w:szCs w:val="52"/>
    </w:rPr>
  </w:style>
  <w:style w:type="paragraph" w:styleId="ListParagraph">
    <w:name w:val="List Paragraph"/>
    <w:basedOn w:val="Normal"/>
    <w:uiPriority w:val="34"/>
    <w:qFormat/>
    <w:rsid w:val="00B253AC"/>
    <w:pPr>
      <w:ind w:left="720"/>
      <w:contextualSpacing/>
    </w:pPr>
  </w:style>
  <w:style w:type="numbering" w:customStyle="1" w:styleId="Style1">
    <w:name w:val="Style1"/>
    <w:uiPriority w:val="99"/>
    <w:rsid w:val="0033409B"/>
    <w:pPr>
      <w:numPr>
        <w:numId w:val="1"/>
      </w:numPr>
    </w:pPr>
  </w:style>
  <w:style w:type="paragraph" w:styleId="Header">
    <w:name w:val="header"/>
    <w:basedOn w:val="Normal"/>
    <w:link w:val="HeaderChar"/>
    <w:uiPriority w:val="99"/>
    <w:unhideWhenUsed/>
    <w:rsid w:val="00E42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0FD"/>
    <w:rPr>
      <w:sz w:val="26"/>
      <w:szCs w:val="28"/>
    </w:rPr>
  </w:style>
  <w:style w:type="paragraph" w:styleId="Footer">
    <w:name w:val="footer"/>
    <w:basedOn w:val="Normal"/>
    <w:link w:val="FooterChar"/>
    <w:uiPriority w:val="99"/>
    <w:unhideWhenUsed/>
    <w:rsid w:val="00E42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0FD"/>
    <w:rPr>
      <w:sz w:val="26"/>
      <w:szCs w:val="28"/>
    </w:rPr>
  </w:style>
  <w:style w:type="character" w:customStyle="1" w:styleId="Heading2Char">
    <w:name w:val="Heading 2 Char"/>
    <w:basedOn w:val="DefaultParagraphFont"/>
    <w:link w:val="Heading2"/>
    <w:uiPriority w:val="9"/>
    <w:rsid w:val="00B253AC"/>
    <w:rPr>
      <w:sz w:val="26"/>
      <w:szCs w:val="28"/>
      <w:shd w:val="clear" w:color="auto" w:fill="DEEAF6" w:themeFill="accent1" w:themeFillTint="33"/>
    </w:rPr>
  </w:style>
  <w:style w:type="character" w:customStyle="1" w:styleId="Heading3Char">
    <w:name w:val="Heading 3 Char"/>
    <w:basedOn w:val="DefaultParagraphFont"/>
    <w:link w:val="Heading3"/>
    <w:uiPriority w:val="9"/>
    <w:rsid w:val="00B253AC"/>
    <w:rPr>
      <w:color w:val="1F4D78" w:themeColor="accent1" w:themeShade="7F"/>
      <w:sz w:val="26"/>
      <w:szCs w:val="28"/>
    </w:rPr>
  </w:style>
  <w:style w:type="character" w:customStyle="1" w:styleId="Heading4Char">
    <w:name w:val="Heading 4 Char"/>
    <w:basedOn w:val="DefaultParagraphFont"/>
    <w:link w:val="Heading4"/>
    <w:uiPriority w:val="9"/>
    <w:rsid w:val="00B253AC"/>
    <w:rPr>
      <w:color w:val="2E74B5" w:themeColor="accent1" w:themeShade="BF"/>
      <w:spacing w:val="10"/>
    </w:rPr>
  </w:style>
  <w:style w:type="character" w:customStyle="1" w:styleId="Heading5Char">
    <w:name w:val="Heading 5 Char"/>
    <w:basedOn w:val="DefaultParagraphFont"/>
    <w:link w:val="Heading5"/>
    <w:uiPriority w:val="9"/>
    <w:semiHidden/>
    <w:rsid w:val="00B253AC"/>
    <w:rPr>
      <w:caps/>
      <w:color w:val="2E74B5" w:themeColor="accent1" w:themeShade="BF"/>
      <w:spacing w:val="10"/>
    </w:rPr>
  </w:style>
  <w:style w:type="character" w:customStyle="1" w:styleId="Heading6Char">
    <w:name w:val="Heading 6 Char"/>
    <w:basedOn w:val="DefaultParagraphFont"/>
    <w:link w:val="Heading6"/>
    <w:uiPriority w:val="9"/>
    <w:semiHidden/>
    <w:rsid w:val="00B253AC"/>
    <w:rPr>
      <w:caps/>
      <w:color w:val="2E74B5" w:themeColor="accent1" w:themeShade="BF"/>
      <w:spacing w:val="10"/>
    </w:rPr>
  </w:style>
  <w:style w:type="character" w:customStyle="1" w:styleId="Heading7Char">
    <w:name w:val="Heading 7 Char"/>
    <w:basedOn w:val="DefaultParagraphFont"/>
    <w:link w:val="Heading7"/>
    <w:uiPriority w:val="9"/>
    <w:semiHidden/>
    <w:rsid w:val="00B253AC"/>
    <w:rPr>
      <w:caps/>
      <w:color w:val="2E74B5" w:themeColor="accent1" w:themeShade="BF"/>
      <w:spacing w:val="10"/>
    </w:rPr>
  </w:style>
  <w:style w:type="character" w:customStyle="1" w:styleId="Heading8Char">
    <w:name w:val="Heading 8 Char"/>
    <w:basedOn w:val="DefaultParagraphFont"/>
    <w:link w:val="Heading8"/>
    <w:uiPriority w:val="9"/>
    <w:semiHidden/>
    <w:rsid w:val="00B253AC"/>
    <w:rPr>
      <w:caps/>
      <w:spacing w:val="10"/>
      <w:sz w:val="18"/>
      <w:szCs w:val="18"/>
    </w:rPr>
  </w:style>
  <w:style w:type="character" w:customStyle="1" w:styleId="Heading9Char">
    <w:name w:val="Heading 9 Char"/>
    <w:basedOn w:val="DefaultParagraphFont"/>
    <w:link w:val="Heading9"/>
    <w:uiPriority w:val="9"/>
    <w:semiHidden/>
    <w:rsid w:val="00B253AC"/>
    <w:rPr>
      <w:i/>
      <w:iCs/>
      <w:caps/>
      <w:spacing w:val="10"/>
      <w:sz w:val="18"/>
      <w:szCs w:val="18"/>
    </w:rPr>
  </w:style>
  <w:style w:type="paragraph" w:styleId="Caption">
    <w:name w:val="caption"/>
    <w:basedOn w:val="Normal"/>
    <w:next w:val="Normal"/>
    <w:uiPriority w:val="35"/>
    <w:semiHidden/>
    <w:unhideWhenUsed/>
    <w:qFormat/>
    <w:rsid w:val="00B253AC"/>
    <w:pPr>
      <w:bidi w:val="0"/>
    </w:pPr>
    <w:rPr>
      <w:b/>
      <w:bCs/>
      <w:color w:val="2E74B5" w:themeColor="accent1" w:themeShade="BF"/>
      <w:sz w:val="16"/>
      <w:szCs w:val="16"/>
    </w:rPr>
  </w:style>
  <w:style w:type="paragraph" w:styleId="Subtitle">
    <w:name w:val="Subtitle"/>
    <w:basedOn w:val="Normal"/>
    <w:next w:val="Normal"/>
    <w:link w:val="SubtitleChar"/>
    <w:uiPriority w:val="11"/>
    <w:qFormat/>
    <w:rsid w:val="00B253AC"/>
    <w:pPr>
      <w:bidi w:val="0"/>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253AC"/>
    <w:rPr>
      <w:caps/>
      <w:color w:val="595959" w:themeColor="text1" w:themeTint="A6"/>
      <w:spacing w:val="10"/>
      <w:sz w:val="21"/>
      <w:szCs w:val="21"/>
    </w:rPr>
  </w:style>
  <w:style w:type="character" w:styleId="Strong">
    <w:name w:val="Strong"/>
    <w:uiPriority w:val="22"/>
    <w:qFormat/>
    <w:rsid w:val="00B253AC"/>
    <w:rPr>
      <w:b/>
      <w:bCs/>
    </w:rPr>
  </w:style>
  <w:style w:type="character" w:styleId="Emphasis">
    <w:name w:val="Emphasis"/>
    <w:uiPriority w:val="20"/>
    <w:qFormat/>
    <w:rsid w:val="00B253AC"/>
    <w:rPr>
      <w:caps/>
      <w:color w:val="1F4D78" w:themeColor="accent1" w:themeShade="7F"/>
      <w:spacing w:val="5"/>
    </w:rPr>
  </w:style>
  <w:style w:type="paragraph" w:styleId="NoSpacing">
    <w:name w:val="No Spacing"/>
    <w:uiPriority w:val="1"/>
    <w:qFormat/>
    <w:rsid w:val="00B253AC"/>
    <w:pPr>
      <w:spacing w:after="0" w:line="240" w:lineRule="auto"/>
    </w:pPr>
  </w:style>
  <w:style w:type="paragraph" w:styleId="Quote">
    <w:name w:val="Quote"/>
    <w:basedOn w:val="Normal"/>
    <w:next w:val="Normal"/>
    <w:link w:val="QuoteChar"/>
    <w:uiPriority w:val="29"/>
    <w:qFormat/>
    <w:rsid w:val="00B253AC"/>
    <w:pPr>
      <w:bidi w:val="0"/>
    </w:pPr>
    <w:rPr>
      <w:i/>
      <w:iCs/>
      <w:szCs w:val="24"/>
    </w:rPr>
  </w:style>
  <w:style w:type="character" w:customStyle="1" w:styleId="QuoteChar">
    <w:name w:val="Quote Char"/>
    <w:basedOn w:val="DefaultParagraphFont"/>
    <w:link w:val="Quote"/>
    <w:uiPriority w:val="29"/>
    <w:rsid w:val="00B253AC"/>
    <w:rPr>
      <w:i/>
      <w:iCs/>
      <w:sz w:val="24"/>
      <w:szCs w:val="24"/>
    </w:rPr>
  </w:style>
  <w:style w:type="paragraph" w:styleId="IntenseQuote">
    <w:name w:val="Intense Quote"/>
    <w:basedOn w:val="Normal"/>
    <w:next w:val="Normal"/>
    <w:link w:val="IntenseQuoteChar"/>
    <w:uiPriority w:val="30"/>
    <w:qFormat/>
    <w:rsid w:val="00B253AC"/>
    <w:pPr>
      <w:bidi w:val="0"/>
      <w:spacing w:before="240" w:after="240" w:line="240" w:lineRule="auto"/>
      <w:ind w:left="1080" w:right="1080"/>
      <w:jc w:val="center"/>
    </w:pPr>
    <w:rPr>
      <w:color w:val="5B9BD5" w:themeColor="accent1"/>
      <w:szCs w:val="24"/>
    </w:rPr>
  </w:style>
  <w:style w:type="character" w:customStyle="1" w:styleId="IntenseQuoteChar">
    <w:name w:val="Intense Quote Char"/>
    <w:basedOn w:val="DefaultParagraphFont"/>
    <w:link w:val="IntenseQuote"/>
    <w:uiPriority w:val="30"/>
    <w:rsid w:val="00B253AC"/>
    <w:rPr>
      <w:color w:val="5B9BD5" w:themeColor="accent1"/>
      <w:sz w:val="24"/>
      <w:szCs w:val="24"/>
    </w:rPr>
  </w:style>
  <w:style w:type="character" w:styleId="SubtleEmphasis">
    <w:name w:val="Subtle Emphasis"/>
    <w:uiPriority w:val="19"/>
    <w:qFormat/>
    <w:rsid w:val="00B253AC"/>
    <w:rPr>
      <w:i/>
      <w:iCs/>
      <w:color w:val="1F4D78" w:themeColor="accent1" w:themeShade="7F"/>
    </w:rPr>
  </w:style>
  <w:style w:type="character" w:styleId="IntenseEmphasis">
    <w:name w:val="Intense Emphasis"/>
    <w:uiPriority w:val="21"/>
    <w:qFormat/>
    <w:rsid w:val="00B253AC"/>
    <w:rPr>
      <w:b/>
      <w:bCs/>
      <w:caps/>
      <w:color w:val="1F4D78" w:themeColor="accent1" w:themeShade="7F"/>
      <w:spacing w:val="10"/>
    </w:rPr>
  </w:style>
  <w:style w:type="character" w:styleId="SubtleReference">
    <w:name w:val="Subtle Reference"/>
    <w:uiPriority w:val="31"/>
    <w:qFormat/>
    <w:rsid w:val="00B253AC"/>
    <w:rPr>
      <w:b/>
      <w:bCs/>
      <w:color w:val="5B9BD5" w:themeColor="accent1"/>
    </w:rPr>
  </w:style>
  <w:style w:type="character" w:styleId="IntenseReference">
    <w:name w:val="Intense Reference"/>
    <w:uiPriority w:val="32"/>
    <w:qFormat/>
    <w:rsid w:val="00B253AC"/>
    <w:rPr>
      <w:b/>
      <w:bCs/>
      <w:i/>
      <w:iCs/>
      <w:caps/>
      <w:color w:val="5B9BD5" w:themeColor="accent1"/>
    </w:rPr>
  </w:style>
  <w:style w:type="character" w:styleId="BookTitle">
    <w:name w:val="Book Title"/>
    <w:uiPriority w:val="33"/>
    <w:qFormat/>
    <w:rsid w:val="00B253AC"/>
    <w:rPr>
      <w:b/>
      <w:bCs/>
      <w:i/>
      <w:iCs/>
      <w:spacing w:val="0"/>
    </w:rPr>
  </w:style>
  <w:style w:type="paragraph" w:styleId="TOCHeading">
    <w:name w:val="TOC Heading"/>
    <w:basedOn w:val="Heading1"/>
    <w:next w:val="Normal"/>
    <w:uiPriority w:val="39"/>
    <w:unhideWhenUsed/>
    <w:qFormat/>
    <w:rsid w:val="00B253AC"/>
    <w:pPr>
      <w:bidi w:val="0"/>
      <w:outlineLvl w:val="9"/>
    </w:pPr>
  </w:style>
  <w:style w:type="table" w:styleId="TableGrid">
    <w:name w:val="Table Grid"/>
    <w:basedOn w:val="TableNormal"/>
    <w:uiPriority w:val="39"/>
    <w:rsid w:val="00B76987"/>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3">
    <w:name w:val="Grid Table 4 Accent 3"/>
    <w:basedOn w:val="TableNormal"/>
    <w:uiPriority w:val="49"/>
    <w:rsid w:val="00CF5D8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CF5D82"/>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uiPriority w:val="99"/>
    <w:semiHidden/>
    <w:unhideWhenUsed/>
    <w:rsid w:val="005F112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F1127"/>
  </w:style>
  <w:style w:type="character" w:styleId="FootnoteReference">
    <w:name w:val="footnote reference"/>
    <w:basedOn w:val="DefaultParagraphFont"/>
    <w:uiPriority w:val="99"/>
    <w:semiHidden/>
    <w:unhideWhenUsed/>
    <w:rsid w:val="005F1127"/>
    <w:rPr>
      <w:vertAlign w:val="superscript"/>
    </w:rPr>
  </w:style>
  <w:style w:type="character" w:styleId="Hyperlink">
    <w:name w:val="Hyperlink"/>
    <w:basedOn w:val="DefaultParagraphFont"/>
    <w:uiPriority w:val="99"/>
    <w:unhideWhenUsed/>
    <w:rsid w:val="00CF4E6C"/>
    <w:rPr>
      <w:color w:val="0563C1" w:themeColor="hyperlink"/>
      <w:u w:val="single"/>
    </w:rPr>
  </w:style>
  <w:style w:type="paragraph" w:styleId="TOC1">
    <w:name w:val="toc 1"/>
    <w:basedOn w:val="Normal"/>
    <w:next w:val="Normal"/>
    <w:autoRedefine/>
    <w:uiPriority w:val="39"/>
    <w:unhideWhenUsed/>
    <w:rsid w:val="009E6B17"/>
    <w:pPr>
      <w:spacing w:after="100"/>
    </w:pPr>
  </w:style>
  <w:style w:type="paragraph" w:styleId="TOC2">
    <w:name w:val="toc 2"/>
    <w:basedOn w:val="Normal"/>
    <w:next w:val="Normal"/>
    <w:autoRedefine/>
    <w:uiPriority w:val="39"/>
    <w:unhideWhenUsed/>
    <w:rsid w:val="009E6B17"/>
    <w:pPr>
      <w:spacing w:after="100"/>
      <w:ind w:left="240"/>
    </w:pPr>
  </w:style>
  <w:style w:type="paragraph" w:styleId="TOC3">
    <w:name w:val="toc 3"/>
    <w:basedOn w:val="Normal"/>
    <w:next w:val="Normal"/>
    <w:autoRedefine/>
    <w:uiPriority w:val="39"/>
    <w:unhideWhenUsed/>
    <w:rsid w:val="009E6B17"/>
    <w:pPr>
      <w:spacing w:after="100"/>
      <w:ind w:left="480"/>
    </w:pPr>
  </w:style>
  <w:style w:type="character" w:styleId="CommentReference">
    <w:name w:val="annotation reference"/>
    <w:basedOn w:val="DefaultParagraphFont"/>
    <w:uiPriority w:val="99"/>
    <w:semiHidden/>
    <w:unhideWhenUsed/>
    <w:rsid w:val="005811BE"/>
    <w:rPr>
      <w:sz w:val="16"/>
      <w:szCs w:val="16"/>
    </w:rPr>
  </w:style>
  <w:style w:type="paragraph" w:styleId="CommentText">
    <w:name w:val="annotation text"/>
    <w:basedOn w:val="Normal"/>
    <w:link w:val="CommentTextChar"/>
    <w:uiPriority w:val="99"/>
    <w:semiHidden/>
    <w:unhideWhenUsed/>
    <w:rsid w:val="005811BE"/>
    <w:pPr>
      <w:spacing w:line="240" w:lineRule="auto"/>
    </w:pPr>
    <w:rPr>
      <w:sz w:val="20"/>
      <w:szCs w:val="20"/>
    </w:rPr>
  </w:style>
  <w:style w:type="character" w:customStyle="1" w:styleId="CommentTextChar">
    <w:name w:val="Comment Text Char"/>
    <w:basedOn w:val="DefaultParagraphFont"/>
    <w:link w:val="CommentText"/>
    <w:uiPriority w:val="99"/>
    <w:semiHidden/>
    <w:rsid w:val="005811BE"/>
  </w:style>
  <w:style w:type="paragraph" w:styleId="CommentSubject">
    <w:name w:val="annotation subject"/>
    <w:basedOn w:val="CommentText"/>
    <w:next w:val="CommentText"/>
    <w:link w:val="CommentSubjectChar"/>
    <w:uiPriority w:val="99"/>
    <w:semiHidden/>
    <w:unhideWhenUsed/>
    <w:rsid w:val="005811BE"/>
    <w:rPr>
      <w:b/>
      <w:bCs/>
    </w:rPr>
  </w:style>
  <w:style w:type="character" w:customStyle="1" w:styleId="CommentSubjectChar">
    <w:name w:val="Comment Subject Char"/>
    <w:basedOn w:val="CommentTextChar"/>
    <w:link w:val="CommentSubject"/>
    <w:uiPriority w:val="99"/>
    <w:semiHidden/>
    <w:rsid w:val="005811BE"/>
    <w:rPr>
      <w:b/>
      <w:bCs/>
    </w:rPr>
  </w:style>
  <w:style w:type="paragraph" w:styleId="BalloonText">
    <w:name w:val="Balloon Text"/>
    <w:basedOn w:val="Normal"/>
    <w:link w:val="BalloonTextChar"/>
    <w:uiPriority w:val="99"/>
    <w:semiHidden/>
    <w:unhideWhenUsed/>
    <w:rsid w:val="005811B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1BE"/>
    <w:rPr>
      <w:rFonts w:ascii="Segoe UI" w:hAnsi="Segoe UI" w:cs="Segoe UI"/>
      <w:sz w:val="18"/>
      <w:szCs w:val="18"/>
    </w:rPr>
  </w:style>
  <w:style w:type="paragraph" w:styleId="NormalWeb">
    <w:name w:val="Normal (Web)"/>
    <w:basedOn w:val="Normal"/>
    <w:uiPriority w:val="99"/>
    <w:semiHidden/>
    <w:unhideWhenUsed/>
    <w:rsid w:val="00BB1F88"/>
    <w:pPr>
      <w:bidi w:val="0"/>
      <w:spacing w:beforeAutospacing="1" w:after="100" w:afterAutospacing="1" w:line="240" w:lineRule="auto"/>
      <w:jc w:val="left"/>
    </w:pPr>
    <w:rPr>
      <w:rFonts w:ascii="Times New Roman" w:hAnsi="Times New Roman" w:cs="Times New Roman"/>
      <w:szCs w:val="24"/>
    </w:rPr>
  </w:style>
  <w:style w:type="table" w:styleId="GridTable4-Accent5">
    <w:name w:val="Grid Table 4 Accent 5"/>
    <w:basedOn w:val="TableNormal"/>
    <w:uiPriority w:val="49"/>
    <w:rsid w:val="001C7F2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12351">
      <w:bodyDiv w:val="1"/>
      <w:marLeft w:val="0"/>
      <w:marRight w:val="0"/>
      <w:marTop w:val="0"/>
      <w:marBottom w:val="0"/>
      <w:divBdr>
        <w:top w:val="none" w:sz="0" w:space="0" w:color="auto"/>
        <w:left w:val="none" w:sz="0" w:space="0" w:color="auto"/>
        <w:bottom w:val="none" w:sz="0" w:space="0" w:color="auto"/>
        <w:right w:val="none" w:sz="0" w:space="0" w:color="auto"/>
      </w:divBdr>
      <w:divsChild>
        <w:div w:id="110445718">
          <w:marLeft w:val="0"/>
          <w:marRight w:val="547"/>
          <w:marTop w:val="0"/>
          <w:marBottom w:val="0"/>
          <w:divBdr>
            <w:top w:val="none" w:sz="0" w:space="0" w:color="auto"/>
            <w:left w:val="none" w:sz="0" w:space="0" w:color="auto"/>
            <w:bottom w:val="none" w:sz="0" w:space="0" w:color="auto"/>
            <w:right w:val="none" w:sz="0" w:space="0" w:color="auto"/>
          </w:divBdr>
        </w:div>
        <w:div w:id="500046323">
          <w:marLeft w:val="0"/>
          <w:marRight w:val="547"/>
          <w:marTop w:val="0"/>
          <w:marBottom w:val="0"/>
          <w:divBdr>
            <w:top w:val="none" w:sz="0" w:space="0" w:color="auto"/>
            <w:left w:val="none" w:sz="0" w:space="0" w:color="auto"/>
            <w:bottom w:val="none" w:sz="0" w:space="0" w:color="auto"/>
            <w:right w:val="none" w:sz="0" w:space="0" w:color="auto"/>
          </w:divBdr>
        </w:div>
        <w:div w:id="640311587">
          <w:marLeft w:val="0"/>
          <w:marRight w:val="547"/>
          <w:marTop w:val="0"/>
          <w:marBottom w:val="0"/>
          <w:divBdr>
            <w:top w:val="none" w:sz="0" w:space="0" w:color="auto"/>
            <w:left w:val="none" w:sz="0" w:space="0" w:color="auto"/>
            <w:bottom w:val="none" w:sz="0" w:space="0" w:color="auto"/>
            <w:right w:val="none" w:sz="0" w:space="0" w:color="auto"/>
          </w:divBdr>
        </w:div>
        <w:div w:id="688289955">
          <w:marLeft w:val="0"/>
          <w:marRight w:val="547"/>
          <w:marTop w:val="0"/>
          <w:marBottom w:val="0"/>
          <w:divBdr>
            <w:top w:val="none" w:sz="0" w:space="0" w:color="auto"/>
            <w:left w:val="none" w:sz="0" w:space="0" w:color="auto"/>
            <w:bottom w:val="none" w:sz="0" w:space="0" w:color="auto"/>
            <w:right w:val="none" w:sz="0" w:space="0" w:color="auto"/>
          </w:divBdr>
        </w:div>
        <w:div w:id="1358506496">
          <w:marLeft w:val="0"/>
          <w:marRight w:val="547"/>
          <w:marTop w:val="0"/>
          <w:marBottom w:val="0"/>
          <w:divBdr>
            <w:top w:val="none" w:sz="0" w:space="0" w:color="auto"/>
            <w:left w:val="none" w:sz="0" w:space="0" w:color="auto"/>
            <w:bottom w:val="none" w:sz="0" w:space="0" w:color="auto"/>
            <w:right w:val="none" w:sz="0" w:space="0" w:color="auto"/>
          </w:divBdr>
        </w:div>
        <w:div w:id="1874078076">
          <w:marLeft w:val="547"/>
          <w:marRight w:val="0"/>
          <w:marTop w:val="0"/>
          <w:marBottom w:val="0"/>
          <w:divBdr>
            <w:top w:val="none" w:sz="0" w:space="0" w:color="auto"/>
            <w:left w:val="none" w:sz="0" w:space="0" w:color="auto"/>
            <w:bottom w:val="none" w:sz="0" w:space="0" w:color="auto"/>
            <w:right w:val="none" w:sz="0" w:space="0" w:color="auto"/>
          </w:divBdr>
        </w:div>
        <w:div w:id="1910917399">
          <w:marLeft w:val="0"/>
          <w:marRight w:val="1166"/>
          <w:marTop w:val="0"/>
          <w:marBottom w:val="0"/>
          <w:divBdr>
            <w:top w:val="none" w:sz="0" w:space="0" w:color="auto"/>
            <w:left w:val="none" w:sz="0" w:space="0" w:color="auto"/>
            <w:bottom w:val="none" w:sz="0" w:space="0" w:color="auto"/>
            <w:right w:val="none" w:sz="0" w:space="0" w:color="auto"/>
          </w:divBdr>
        </w:div>
        <w:div w:id="2040201868">
          <w:marLeft w:val="547"/>
          <w:marRight w:val="0"/>
          <w:marTop w:val="0"/>
          <w:marBottom w:val="0"/>
          <w:divBdr>
            <w:top w:val="none" w:sz="0" w:space="0" w:color="auto"/>
            <w:left w:val="none" w:sz="0" w:space="0" w:color="auto"/>
            <w:bottom w:val="none" w:sz="0" w:space="0" w:color="auto"/>
            <w:right w:val="none" w:sz="0" w:space="0" w:color="auto"/>
          </w:divBdr>
        </w:div>
        <w:div w:id="2043968995">
          <w:marLeft w:val="0"/>
          <w:marRight w:val="547"/>
          <w:marTop w:val="0"/>
          <w:marBottom w:val="0"/>
          <w:divBdr>
            <w:top w:val="none" w:sz="0" w:space="0" w:color="auto"/>
            <w:left w:val="none" w:sz="0" w:space="0" w:color="auto"/>
            <w:bottom w:val="none" w:sz="0" w:space="0" w:color="auto"/>
            <w:right w:val="none" w:sz="0" w:space="0" w:color="auto"/>
          </w:divBdr>
        </w:div>
        <w:div w:id="21438440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parency4iran.ir/post/316" TargetMode="External"/><Relationship Id="rId13" Type="http://schemas.openxmlformats.org/officeDocument/2006/relationships/image" Target="media/image3.png"/><Relationship Id="rId18" Type="http://schemas.openxmlformats.org/officeDocument/2006/relationships/hyperlink" Target="http://bayanbox.ir/view/6035035386556172518/sunshine-ps-iran.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transparency4iran.ir/post/317" TargetMode="External"/><Relationship Id="rId7" Type="http://schemas.openxmlformats.org/officeDocument/2006/relationships/endnotes" Target="endnotes.xml"/><Relationship Id="rId12" Type="http://schemas.openxmlformats.org/officeDocument/2006/relationships/hyperlink" Target="http://www.hatvp.fr/livraison/dossiers/baumel-laurent-dia-depute-37.pdf" TargetMode="Externa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eethroughny.net/payrolls/state-government" TargetMode="External"/><Relationship Id="rId23" Type="http://schemas.openxmlformats.org/officeDocument/2006/relationships/hyperlink" Target="http://yon.ir/Ev1B" TargetMode="External"/><Relationship Id="rId28" Type="http://schemas.openxmlformats.org/officeDocument/2006/relationships/fontTable" Target="fontTable.xml"/><Relationship Id="rId10" Type="http://schemas.openxmlformats.org/officeDocument/2006/relationships/hyperlink" Target="https://www.ontario.ca/page/public-sector-salary-disclosure-2015-all-sectors-and-seconded-employees" TargetMode="External"/><Relationship Id="rId19" Type="http://schemas.openxmlformats.org/officeDocument/2006/relationships/hyperlink" Target="http://rc.majlis.ir/fa/iran_sunshin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ethroughny.net/" TargetMode="External"/><Relationship Id="rId22" Type="http://schemas.openxmlformats.org/officeDocument/2006/relationships/image" Target="media/image7.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Book Antiqua"/>
        <a:ea typeface=""/>
        <a:cs typeface="B Titr"/>
      </a:majorFont>
      <a:minorFont>
        <a:latin typeface="Calibri"/>
        <a:ea typeface=""/>
        <a:cs typeface="B Mitr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F09B9-8448-4C2E-B391-92C483821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For Home</Company>
  <LinksUpToDate>false</LinksUpToDate>
  <CharactersWithSpaces>7403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 Sanaei</dc:creator>
  <cp:keywords/>
  <dc:description/>
  <cp:lastModifiedBy>mohammad</cp:lastModifiedBy>
  <cp:revision>13</cp:revision>
  <cp:lastPrinted>2016-03-06T19:41:00Z</cp:lastPrinted>
  <dcterms:created xsi:type="dcterms:W3CDTF">2016-04-04T14:48:00Z</dcterms:created>
  <dcterms:modified xsi:type="dcterms:W3CDTF">2016-07-13T17:04:00Z</dcterms:modified>
</cp:coreProperties>
</file>