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0B" w:rsidRDefault="00287C0B" w:rsidP="00287C0B">
      <w:pPr>
        <w:bidi w:val="0"/>
        <w:spacing w:before="0" w:after="160" w:line="259" w:lineRule="auto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-924971</wp:posOffset>
            </wp:positionH>
            <wp:positionV relativeFrom="paragraph">
              <wp:posOffset>-916955</wp:posOffset>
            </wp:positionV>
            <wp:extent cx="7560651" cy="10692000"/>
            <wp:effectExtent l="0" t="0" r="2540" b="0"/>
            <wp:wrapNone/>
            <wp:docPr id="1" name="Picture 1" descr="C:\Users\mhkhani\AppData\Local\Microsoft\Windows\INetCache\Content.Word\950428 - OGG Cover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khani\AppData\Local\Microsoft\Windows\INetCache\Content.Word\950428 - OGG Cover 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651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br w:type="page"/>
      </w:r>
      <w:bookmarkEnd w:id="0"/>
    </w:p>
    <w:p w:rsidR="004A0E5E" w:rsidRPr="004A0E5E" w:rsidRDefault="004A0E5E" w:rsidP="004A0E5E">
      <w:pPr>
        <w:numPr>
          <w:ilvl w:val="0"/>
          <w:numId w:val="23"/>
        </w:num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tabs>
          <w:tab w:val="num" w:pos="360"/>
        </w:tabs>
        <w:spacing w:after="0"/>
        <w:ind w:left="0" w:firstLine="0"/>
        <w:outlineLvl w:val="0"/>
        <w:rPr>
          <w:rFonts w:ascii="Calibri" w:eastAsia="NanumGothic" w:hAnsi="NanumGothic"/>
          <w:b/>
          <w:bCs/>
          <w:color w:val="FFFFFF"/>
          <w:sz w:val="26"/>
          <w:szCs w:val="28"/>
        </w:rPr>
      </w:pPr>
      <w:bookmarkStart w:id="1" w:name="_Toc456628241"/>
      <w:r w:rsidRPr="004A0E5E">
        <w:rPr>
          <w:rFonts w:ascii="Calibri" w:eastAsia="Malgun Gothic" w:hAnsi="Calibri" w:hint="cs"/>
          <w:b/>
          <w:bCs/>
          <w:color w:val="FFFFFF"/>
          <w:sz w:val="26"/>
          <w:szCs w:val="28"/>
          <w:rtl/>
        </w:rPr>
        <w:lastRenderedPageBreak/>
        <w:t>مقدمه</w:t>
      </w:r>
      <w:r w:rsidRPr="004A0E5E">
        <w:rPr>
          <w:rFonts w:ascii="Calibri" w:eastAsia="Malgun Gothic" w:hAnsi="Calibri"/>
          <w:b/>
          <w:bCs/>
          <w:color w:val="FFFFFF"/>
          <w:sz w:val="26"/>
          <w:szCs w:val="28"/>
          <w:vertAlign w:val="superscript"/>
          <w:rtl/>
        </w:rPr>
        <w:footnoteReference w:id="1"/>
      </w:r>
      <w:bookmarkEnd w:id="1"/>
    </w:p>
    <w:p w:rsidR="004A0E5E" w:rsidRPr="004A0E5E" w:rsidRDefault="004A0E5E" w:rsidP="00ED2B9D">
      <w:pPr>
        <w:spacing w:after="200"/>
        <w:rPr>
          <w:rFonts w:ascii="Calibri" w:eastAsia="NanumGothic" w:hAnsi="NanumGothic"/>
          <w:rtl/>
        </w:rPr>
      </w:pPr>
      <w:r>
        <w:rPr>
          <w:rFonts w:ascii="Calibri" w:eastAsia="Malgun Gothic" w:hAnsi="Calibri" w:hint="cs"/>
          <w:rtl/>
        </w:rPr>
        <w:t>استفاده‌ی شخصی مقامات از مناصب حکومتی</w:t>
      </w:r>
      <w:r w:rsidRPr="004A0E5E">
        <w:rPr>
          <w:rFonts w:ascii="Calibri" w:eastAsia="Malgun Gothic" w:hAnsi="Calibri" w:hint="cs"/>
          <w:rtl/>
        </w:rPr>
        <w:t xml:space="preserve"> باعث تضعیف نهادها، محرومیت شهروندان از خدمات ضر</w:t>
      </w:r>
      <w:r>
        <w:rPr>
          <w:rFonts w:ascii="Calibri" w:eastAsia="Malgun Gothic" w:hAnsi="Calibri" w:hint="cs"/>
          <w:rtl/>
        </w:rPr>
        <w:t>وری و انحراف توسعه اقتصادی خواهد شد. تعارض</w:t>
      </w:r>
      <w:r w:rsidR="00ED2B9D">
        <w:rPr>
          <w:rFonts w:ascii="Calibri" w:eastAsia="Malgun Gothic" w:hAnsi="Calibri" w:hint="cs"/>
          <w:rtl/>
        </w:rPr>
        <w:t xml:space="preserve"> منافع هنگامی رخ می‌دهد که</w:t>
      </w:r>
      <w:r w:rsidRPr="004A0E5E">
        <w:rPr>
          <w:rFonts w:ascii="Calibri" w:eastAsia="Malgun Gothic" w:hAnsi="Calibri" w:hint="cs"/>
          <w:rtl/>
        </w:rPr>
        <w:t xml:space="preserve"> مقام</w:t>
      </w:r>
      <w:r w:rsidR="00ED2B9D">
        <w:rPr>
          <w:rFonts w:ascii="Calibri" w:eastAsia="Malgun Gothic" w:hAnsi="Calibri" w:hint="cs"/>
          <w:rtl/>
        </w:rPr>
        <w:t>ی دولتی در</w:t>
      </w:r>
      <w:r w:rsidR="0038548C">
        <w:rPr>
          <w:rFonts w:ascii="Calibri" w:eastAsia="Malgun Gothic" w:hAnsi="Calibri" w:hint="cs"/>
          <w:rtl/>
        </w:rPr>
        <w:t xml:space="preserve"> </w:t>
      </w:r>
      <w:r w:rsidR="00ED2B9D">
        <w:rPr>
          <w:rFonts w:ascii="Calibri" w:eastAsia="Malgun Gothic" w:hAnsi="Calibri" w:hint="cs"/>
          <w:rtl/>
        </w:rPr>
        <w:t>جایگاهی قرار ‌گیرد که ب</w:t>
      </w:r>
      <w:r w:rsidRPr="004A0E5E">
        <w:rPr>
          <w:rFonts w:ascii="Calibri" w:eastAsia="Malgun Gothic" w:hAnsi="Calibri" w:hint="cs"/>
          <w:rtl/>
        </w:rPr>
        <w:t xml:space="preserve">تواند از (قدرت) آن مقام در جهت منافع شخصی خود یا دیگر احزاب </w:t>
      </w:r>
      <w:r w:rsidR="0038548C">
        <w:rPr>
          <w:rFonts w:ascii="Calibri" w:eastAsia="Malgun Gothic" w:hAnsi="Calibri" w:hint="cs"/>
          <w:rtl/>
        </w:rPr>
        <w:t>بهره‌گیری</w:t>
      </w:r>
      <w:r w:rsidRPr="004A0E5E">
        <w:rPr>
          <w:rFonts w:ascii="Calibri" w:eastAsia="Malgun Gothic" w:hAnsi="Calibri" w:hint="cs"/>
          <w:rtl/>
        </w:rPr>
        <w:t xml:space="preserve"> کند. این حالت به یک رفتار نامناسب بالقوه -که ضرورتاً روی نمی‌دهد-</w:t>
      </w:r>
      <w:r w:rsidR="00ED2B9D">
        <w:rPr>
          <w:rFonts w:ascii="Calibri" w:eastAsia="Malgun Gothic" w:hAnsi="Calibri" w:hint="cs"/>
          <w:rtl/>
        </w:rPr>
        <w:t xml:space="preserve"> به نام «تعارض منافع» اشاره دارد. به همین دلیل، سازوکاری</w:t>
      </w:r>
      <w:r w:rsidRPr="004A0E5E">
        <w:rPr>
          <w:rFonts w:ascii="Calibri" w:eastAsia="Malgun Gothic" w:hAnsi="Calibri" w:hint="cs"/>
          <w:rtl/>
        </w:rPr>
        <w:t xml:space="preserve"> نظارتی از قوانین، رهنمودها و اجرای (آن‌ها) به منظور کاهش (خطر) رفتارهای غ</w:t>
      </w:r>
      <w:r w:rsidR="00ED2B9D">
        <w:rPr>
          <w:rFonts w:ascii="Calibri" w:eastAsia="Malgun Gothic" w:hAnsi="Calibri" w:hint="cs"/>
          <w:rtl/>
        </w:rPr>
        <w:t xml:space="preserve">یراخلاقی و غیرقانونی </w:t>
      </w:r>
      <w:r w:rsidRPr="004A0E5E">
        <w:rPr>
          <w:rFonts w:ascii="Calibri" w:eastAsia="Malgun Gothic" w:hAnsi="Calibri" w:hint="cs"/>
          <w:rtl/>
        </w:rPr>
        <w:t xml:space="preserve">مورد نیاز است. </w:t>
      </w:r>
      <w:r w:rsidR="00ED2B9D">
        <w:rPr>
          <w:rFonts w:ascii="Calibri" w:eastAsia="Malgun Gothic" w:hAnsi="Calibri" w:hint="cs"/>
          <w:rtl/>
        </w:rPr>
        <w:t>این سازوکارها</w:t>
      </w:r>
      <w:r w:rsidRPr="004A0E5E">
        <w:rPr>
          <w:rFonts w:ascii="Calibri" w:eastAsia="Malgun Gothic" w:hAnsi="Calibri" w:hint="cs"/>
          <w:rtl/>
        </w:rPr>
        <w:t xml:space="preserve"> زمینه‌های ذیل را در </w:t>
      </w:r>
      <w:r w:rsidR="0038548C">
        <w:rPr>
          <w:rFonts w:ascii="Calibri" w:eastAsia="Malgun Gothic" w:hAnsi="Calibri" w:hint="cs"/>
          <w:rtl/>
        </w:rPr>
        <w:t>برمی‌گیرند</w:t>
      </w:r>
      <w:r w:rsidRPr="004A0E5E">
        <w:rPr>
          <w:rFonts w:ascii="Calibri" w:eastAsia="Malgun Gothic" w:hAnsi="Calibri" w:hint="cs"/>
          <w:rtl/>
        </w:rPr>
        <w:t>:</w:t>
      </w:r>
    </w:p>
    <w:p w:rsidR="004A0E5E" w:rsidRPr="004A0E5E" w:rsidRDefault="00592634" w:rsidP="00592634">
      <w:pPr>
        <w:numPr>
          <w:ilvl w:val="0"/>
          <w:numId w:val="24"/>
        </w:numPr>
        <w:spacing w:after="200"/>
        <w:contextualSpacing/>
        <w:rPr>
          <w:rFonts w:ascii="NanumGothic" w:eastAsia="NanumGothic" w:hAnsi="NanumGothic"/>
          <w:color w:val="000000"/>
          <w:rtl/>
        </w:rPr>
      </w:pPr>
      <w:r>
        <w:rPr>
          <w:rFonts w:ascii="NanumGothic" w:eastAsia="Malgun Gothic" w:hAnsi="Malgun Gothic" w:hint="cs"/>
          <w:b/>
          <w:bCs/>
          <w:color w:val="000000"/>
          <w:rtl/>
        </w:rPr>
        <w:t>الزام افشا</w:t>
      </w:r>
      <w:r w:rsidRPr="00592634">
        <w:rPr>
          <w:rFonts w:ascii="NanumGothic" w:eastAsia="Malgun Gothic" w:hAnsi="Malgun Gothic" w:hint="cs"/>
          <w:color w:val="000000"/>
          <w:rtl/>
        </w:rPr>
        <w:t>ی</w:t>
      </w:r>
      <w:r>
        <w:rPr>
          <w:rFonts w:ascii="NanumGothic" w:eastAsia="Malgun Gothic" w:hAnsi="Malgun Gothic" w:hint="cs"/>
          <w:b/>
          <w:bCs/>
          <w:color w:val="000000"/>
          <w:rtl/>
        </w:rPr>
        <w:t xml:space="preserve"> </w:t>
      </w:r>
      <w:r w:rsidRPr="00592634">
        <w:rPr>
          <w:rFonts w:ascii="NanumGothic" w:eastAsia="Malgun Gothic" w:hAnsi="Malgun Gothic" w:hint="cs"/>
          <w:color w:val="000000"/>
          <w:rtl/>
        </w:rPr>
        <w:t xml:space="preserve">درآمدها و </w:t>
      </w:r>
      <w:r w:rsidR="0038548C">
        <w:rPr>
          <w:rFonts w:ascii="NanumGothic" w:eastAsia="Malgun Gothic" w:hAnsi="Malgun Gothic" w:hint="cs"/>
          <w:color w:val="000000"/>
          <w:rtl/>
        </w:rPr>
        <w:t>دارایی‌ها</w:t>
      </w:r>
      <w:r w:rsidRPr="00592634">
        <w:rPr>
          <w:rFonts w:ascii="NanumGothic" w:eastAsia="Malgun Gothic" w:hAnsi="Malgun Gothic" w:hint="cs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به‌منظور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شفاف‌سازی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برای مردم</w:t>
      </w:r>
      <w:r w:rsidR="008230F5">
        <w:rPr>
          <w:rFonts w:ascii="NanumGothic" w:eastAsia="Malgun Gothic" w:hAnsi="Malgun Gothic" w:hint="cs"/>
          <w:color w:val="000000"/>
          <w:rtl/>
        </w:rPr>
        <w:t>.</w:t>
      </w:r>
    </w:p>
    <w:p w:rsidR="004A0E5E" w:rsidRPr="004A0E5E" w:rsidRDefault="004A0E5E" w:rsidP="00592634">
      <w:pPr>
        <w:numPr>
          <w:ilvl w:val="0"/>
          <w:numId w:val="24"/>
        </w:numPr>
        <w:spacing w:after="200"/>
        <w:contextualSpacing/>
        <w:rPr>
          <w:rFonts w:ascii="NanumGothic" w:eastAsia="NanumGothic" w:hAnsi="NanumGothic"/>
          <w:color w:val="000000"/>
          <w:rtl/>
        </w:rPr>
      </w:pPr>
      <w:r w:rsidRPr="004A0E5E">
        <w:rPr>
          <w:rFonts w:ascii="NanumGothic" w:eastAsia="Malgun Gothic" w:hAnsi="Malgun Gothic" w:hint="cs"/>
          <w:b/>
          <w:bCs/>
          <w:color w:val="000000"/>
          <w:rtl/>
        </w:rPr>
        <w:t>قوانینی برای</w:t>
      </w:r>
      <w:r w:rsidR="00592634">
        <w:rPr>
          <w:rFonts w:ascii="NanumGothic" w:eastAsia="Malgun Gothic" w:hAnsi="Malgun Gothic" w:hint="cs"/>
          <w:b/>
          <w:bCs/>
          <w:color w:val="000000"/>
          <w:rtl/>
        </w:rPr>
        <w:t xml:space="preserve"> مدیریت</w:t>
      </w:r>
      <w:r w:rsidRPr="004A0E5E">
        <w:rPr>
          <w:rFonts w:ascii="NanumGothic" w:eastAsia="Malgun Gothic" w:hAnsi="Malgun Gothic" w:hint="cs"/>
          <w:b/>
          <w:bCs/>
          <w:color w:val="000000"/>
          <w:rtl/>
        </w:rPr>
        <w:t xml:space="preserve"> تعارض منافع </w:t>
      </w:r>
      <w:r w:rsidRPr="004A0E5E">
        <w:rPr>
          <w:rFonts w:ascii="NanumGothic" w:eastAsia="Malgun Gothic" w:hAnsi="Malgun Gothic" w:hint="cs"/>
          <w:color w:val="000000"/>
          <w:rtl/>
        </w:rPr>
        <w:t>و راهکارهایی برای شناسایی و مدیریت آن‌ها</w:t>
      </w:r>
      <w:r w:rsidR="00592634">
        <w:rPr>
          <w:rFonts w:ascii="NanumGothic" w:eastAsia="Malgun Gothic" w:hAnsi="Malgun Gothic" w:hint="cs"/>
          <w:color w:val="000000"/>
          <w:rtl/>
        </w:rPr>
        <w:t xml:space="preserve"> و حصول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اطمینان از این</w:t>
      </w:r>
      <w:r w:rsidR="00592634">
        <w:rPr>
          <w:rFonts w:ascii="NanumGothic" w:eastAsia="Malgun Gothic" w:hAnsi="Malgun Gothic" w:hint="cs"/>
          <w:color w:val="000000"/>
          <w:rtl/>
        </w:rPr>
        <w:t>‌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که </w:t>
      </w:r>
      <w:r w:rsidR="00592634">
        <w:rPr>
          <w:rFonts w:ascii="NanumGothic" w:eastAsia="Malgun Gothic" w:hAnsi="Malgun Gothic" w:hint="cs"/>
          <w:color w:val="000000"/>
          <w:rtl/>
        </w:rPr>
        <w:t>سیاست‌ها و تصمیم‌های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مقامات د</w:t>
      </w:r>
      <w:r w:rsidR="00592634">
        <w:rPr>
          <w:rFonts w:ascii="NanumGothic" w:eastAsia="Malgun Gothic" w:hAnsi="Malgun Gothic" w:hint="cs"/>
          <w:color w:val="000000"/>
          <w:rtl/>
        </w:rPr>
        <w:t>ولتی تحت تأثیر منافع شخصی نیست.</w:t>
      </w:r>
    </w:p>
    <w:p w:rsidR="004A0E5E" w:rsidRPr="004A0E5E" w:rsidRDefault="004A0E5E" w:rsidP="004A0E5E">
      <w:pPr>
        <w:numPr>
          <w:ilvl w:val="0"/>
          <w:numId w:val="24"/>
        </w:numPr>
        <w:spacing w:after="200"/>
        <w:contextualSpacing/>
        <w:rPr>
          <w:rFonts w:ascii="NanumGothic" w:eastAsia="NanumGothic" w:hAnsi="NanumGothic"/>
          <w:color w:val="000000"/>
          <w:rtl/>
        </w:rPr>
      </w:pPr>
      <w:r w:rsidRPr="004A0E5E">
        <w:rPr>
          <w:rFonts w:ascii="NanumGothic" w:eastAsia="Malgun Gothic" w:hAnsi="Malgun Gothic" w:hint="cs"/>
          <w:b/>
          <w:bCs/>
          <w:color w:val="000000"/>
          <w:rtl/>
        </w:rPr>
        <w:t>قوانین درب‌های چرخان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به‌منظور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ریشه‌کن</w:t>
      </w:r>
      <w:r w:rsidR="008230F5">
        <w:rPr>
          <w:rFonts w:ascii="NanumGothic" w:eastAsia="Malgun Gothic" w:hAnsi="Malgun Gothic" w:hint="cs"/>
          <w:color w:val="000000"/>
          <w:rtl/>
        </w:rPr>
        <w:t xml:space="preserve"> کردن تضاد منافع برخاسته از جابه‌</w:t>
      </w:r>
      <w:r w:rsidRPr="004A0E5E">
        <w:rPr>
          <w:rFonts w:ascii="NanumGothic" w:eastAsia="Malgun Gothic" w:hAnsi="Malgun Gothic" w:hint="cs"/>
          <w:color w:val="000000"/>
          <w:rtl/>
        </w:rPr>
        <w:t>جایی افراد بین بخش‌های دولتی و خصوصی</w:t>
      </w:r>
      <w:r w:rsidR="008230F5">
        <w:rPr>
          <w:rFonts w:ascii="NanumGothic" w:eastAsia="Malgun Gothic" w:hAnsi="Malgun Gothic" w:hint="cs"/>
          <w:color w:val="000000"/>
          <w:rtl/>
        </w:rPr>
        <w:t>.</w:t>
      </w:r>
    </w:p>
    <w:p w:rsidR="00C14D30" w:rsidRDefault="004A0E5E" w:rsidP="00C14D30">
      <w:pPr>
        <w:numPr>
          <w:ilvl w:val="0"/>
          <w:numId w:val="24"/>
        </w:numPr>
        <w:spacing w:after="200"/>
        <w:contextualSpacing/>
        <w:rPr>
          <w:rFonts w:ascii="NanumGothic" w:eastAsia="NanumGothic" w:hAnsi="NanumGothic"/>
          <w:color w:val="000000"/>
        </w:rPr>
      </w:pPr>
      <w:r w:rsidRPr="004A0E5E">
        <w:rPr>
          <w:rFonts w:ascii="NanumGothic" w:eastAsia="Malgun Gothic" w:hAnsi="Malgun Gothic" w:hint="cs"/>
          <w:b/>
          <w:bCs/>
          <w:color w:val="000000"/>
          <w:rtl/>
        </w:rPr>
        <w:t>قوانین مربوط به هدیه دادن یا لطف کردن(بذل و بخشش) به مقامات دولتی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به‌منظور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جلوگیری از </w:t>
      </w:r>
      <w:r w:rsidR="008230F5">
        <w:rPr>
          <w:rFonts w:ascii="NanumGothic" w:eastAsia="Malgun Gothic" w:hAnsi="Malgun Gothic" w:hint="cs"/>
          <w:color w:val="000000"/>
          <w:rtl/>
        </w:rPr>
        <w:t xml:space="preserve">تحت تأثیر </w:t>
      </w:r>
      <w:r w:rsidR="0038548C">
        <w:rPr>
          <w:rFonts w:ascii="NanumGothic" w:eastAsia="Malgun Gothic" w:hAnsi="Malgun Gothic" w:hint="cs"/>
          <w:color w:val="000000"/>
          <w:rtl/>
        </w:rPr>
        <w:t>قرار</w:t>
      </w:r>
      <w:r w:rsidR="0038548C">
        <w:rPr>
          <w:rFonts w:ascii="NanumGothic" w:eastAsia="Malgun Gothic" w:hAnsi="Malgun Gothic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گرفتن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سیاست‌ها</w:t>
      </w:r>
      <w:r w:rsidR="008230F5">
        <w:rPr>
          <w:rFonts w:ascii="NanumGothic" w:eastAsia="Malgun Gothic" w:hAnsi="Malgun Gothic" w:hint="cs"/>
          <w:color w:val="000000"/>
          <w:rtl/>
        </w:rPr>
        <w:t xml:space="preserve"> و دستورات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در</w:t>
      </w:r>
      <w:r w:rsidR="0038548C">
        <w:rPr>
          <w:rFonts w:ascii="NanumGothic" w:eastAsia="Malgun Gothic" w:hAnsi="Malgun Gothic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جهت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منافعی</w:t>
      </w:r>
      <w:r w:rsidR="008230F5">
        <w:rPr>
          <w:rFonts w:ascii="NanumGothic" w:eastAsia="Malgun Gothic" w:hAnsi="Malgun Gothic" w:hint="cs"/>
          <w:color w:val="000000"/>
          <w:rtl/>
        </w:rPr>
        <w:t xml:space="preserve"> خاص</w:t>
      </w:r>
      <w:r w:rsidRPr="004A0E5E">
        <w:rPr>
          <w:rFonts w:ascii="NanumGothic" w:eastAsia="Malgun Gothic" w:hAnsi="Malgun Gothic" w:hint="cs"/>
          <w:color w:val="000000"/>
          <w:rtl/>
        </w:rPr>
        <w:t>.</w:t>
      </w:r>
    </w:p>
    <w:p w:rsidR="00C14D30" w:rsidRPr="00C14D30" w:rsidRDefault="004A0E5E" w:rsidP="00C14D30">
      <w:pPr>
        <w:spacing w:after="200"/>
        <w:contextualSpacing/>
        <w:rPr>
          <w:rFonts w:ascii="NanumGothic" w:eastAsia="NanumGothic" w:hAnsi="NanumGothic"/>
          <w:color w:val="000000"/>
          <w:rtl/>
        </w:rPr>
      </w:pPr>
      <w:r w:rsidRPr="004A0E5E">
        <w:rPr>
          <w:rFonts w:ascii="NanumGothic" w:eastAsia="Malgun Gothic" w:hAnsi="Malgun Gothic" w:hint="cs"/>
          <w:color w:val="000000"/>
          <w:rtl/>
        </w:rPr>
        <w:t xml:space="preserve">اعلام عمومی می‌تواند یک ابزار نیرومند </w:t>
      </w:r>
      <w:r w:rsidR="0038548C">
        <w:rPr>
          <w:rFonts w:ascii="NanumGothic" w:eastAsia="Malgun Gothic" w:hAnsi="Malgun Gothic" w:hint="cs"/>
          <w:color w:val="000000"/>
          <w:rtl/>
        </w:rPr>
        <w:t>در</w:t>
      </w:r>
      <w:r w:rsidR="0038548C">
        <w:rPr>
          <w:rFonts w:ascii="NanumGothic" w:eastAsia="Malgun Gothic" w:hAnsi="Malgun Gothic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جهت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تقویت صداقت دولت و جلوگیری از </w:t>
      </w:r>
      <w:r w:rsidR="0038548C">
        <w:rPr>
          <w:rFonts w:ascii="NanumGothic" w:eastAsia="Malgun Gothic" w:hAnsi="Malgun Gothic" w:hint="cs"/>
          <w:color w:val="000000"/>
          <w:rtl/>
        </w:rPr>
        <w:t>سوءاستفاده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از قدرت باشد. </w:t>
      </w:r>
      <w:r w:rsidR="0038548C">
        <w:rPr>
          <w:rFonts w:ascii="NanumGothic" w:eastAsia="Malgun Gothic" w:hAnsi="Malgun Gothic" w:hint="cs"/>
          <w:color w:val="000000"/>
          <w:rtl/>
        </w:rPr>
        <w:t>درحالی‌که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دولت‌ها محدودیت‌های مطلقی را بر برخی از رفتارهای خاص اعمال می‌کنند، اما این کار اغلب </w:t>
      </w:r>
      <w:r w:rsidR="0038548C">
        <w:rPr>
          <w:rFonts w:ascii="NanumGothic" w:eastAsia="Malgun Gothic" w:hAnsi="Malgun Gothic" w:hint="cs"/>
          <w:color w:val="000000"/>
          <w:rtl/>
        </w:rPr>
        <w:t>به‌وسیله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اعلام عمومی تکمیل می‌شود، که ابزاری برای نظارت و </w:t>
      </w:r>
      <w:r w:rsidR="0038548C">
        <w:rPr>
          <w:rFonts w:ascii="NanumGothic" w:eastAsia="Malgun Gothic" w:hAnsi="Malgun Gothic" w:hint="cs"/>
          <w:color w:val="000000"/>
          <w:rtl/>
        </w:rPr>
        <w:t>حل‌وفصل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تعارض منافع و شناسایی و جلوگیری از کسب منافع غیرقانونی را ارائه می‌کند.</w:t>
      </w:r>
    </w:p>
    <w:p w:rsidR="004A0E5E" w:rsidRPr="004A0E5E" w:rsidRDefault="0038548C" w:rsidP="00C14D30">
      <w:pPr>
        <w:spacing w:after="200"/>
        <w:rPr>
          <w:rFonts w:ascii="NanumGothic" w:eastAsia="NanumGothic" w:hAnsi="NanumGothic"/>
          <w:color w:val="000000"/>
          <w:rtl/>
        </w:rPr>
      </w:pPr>
      <w:r>
        <w:rPr>
          <w:rFonts w:ascii="NanumGothic" w:eastAsia="Malgun Gothic" w:hAnsi="Malgun Gothic" w:hint="cs"/>
          <w:color w:val="000000"/>
          <w:rtl/>
        </w:rPr>
        <w:t>راه‌های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متعددی برای افزایش صداقت مقامات دولتی </w:t>
      </w:r>
      <w:r>
        <w:rPr>
          <w:rFonts w:ascii="NanumGothic" w:eastAsia="Malgun Gothic" w:hAnsi="Malgun Gothic" w:hint="cs"/>
          <w:color w:val="000000"/>
          <w:rtl/>
        </w:rPr>
        <w:t>به‌وسیله‌ی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قوانین اعلام عمومی دارایی‌ها و تضاد منافع، وجود دارد. این قوانین، فرهنگ صداقت و درستکاری را </w:t>
      </w:r>
      <w:r>
        <w:rPr>
          <w:rFonts w:ascii="NanumGothic" w:eastAsia="Malgun Gothic" w:hAnsi="Malgun Gothic" w:hint="cs"/>
          <w:color w:val="000000"/>
          <w:rtl/>
        </w:rPr>
        <w:t>به‌وسیله‌ی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ایجاد استانداردهایی برای رفتار مقبول در مقامات دولتی و با ارائه‌ی قوانینی واضح و هدایت آن‌ها </w:t>
      </w:r>
      <w:r>
        <w:rPr>
          <w:rFonts w:ascii="NanumGothic" w:eastAsia="Malgun Gothic" w:hAnsi="Malgun Gothic" w:hint="cs"/>
          <w:color w:val="000000"/>
          <w:rtl/>
        </w:rPr>
        <w:t>به‌سوی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رفتاری اخلاقی، نهادینه می‌کنند. شفافیت بیشتر در افشاگری، عامل بازدارنده‌ی نیرومندی </w:t>
      </w:r>
      <w:r>
        <w:rPr>
          <w:rFonts w:ascii="NanumGothic" w:eastAsia="Malgun Gothic" w:hAnsi="Malgun Gothic" w:hint="cs"/>
          <w:color w:val="000000"/>
          <w:rtl/>
        </w:rPr>
        <w:t>در</w:t>
      </w:r>
      <w:r>
        <w:rPr>
          <w:rFonts w:ascii="NanumGothic" w:eastAsia="Malgun Gothic" w:hAnsi="Malgun Gothic"/>
          <w:color w:val="000000"/>
          <w:rtl/>
        </w:rPr>
        <w:t xml:space="preserve"> </w:t>
      </w:r>
      <w:r>
        <w:rPr>
          <w:rFonts w:ascii="NanumGothic" w:eastAsia="Malgun Gothic" w:hAnsi="Malgun Gothic" w:hint="cs"/>
          <w:color w:val="000000"/>
          <w:rtl/>
        </w:rPr>
        <w:t>برابر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رفتار غیراخلاقی است. این کار </w:t>
      </w:r>
      <w:r>
        <w:rPr>
          <w:rFonts w:ascii="NanumGothic" w:eastAsia="Malgun Gothic" w:hAnsi="Malgun Gothic" w:hint="cs"/>
          <w:color w:val="000000"/>
          <w:rtl/>
        </w:rPr>
        <w:t>به‌وسیله‌ی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یادآوری اینکه رفتار مقامات دولتی تحت بررسی دقیقی قرار دارد، صورت می‌گیرد. علاوه بر این، </w:t>
      </w:r>
      <w:r>
        <w:rPr>
          <w:rFonts w:ascii="NanumGothic" w:eastAsia="Malgun Gothic" w:hAnsi="Malgun Gothic" w:hint="cs"/>
          <w:color w:val="000000"/>
          <w:rtl/>
        </w:rPr>
        <w:t>این‌گونه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قوانین منابع ارزشمندی از اطلاعات را برای شناسایی </w:t>
      </w:r>
      <w:r>
        <w:rPr>
          <w:rFonts w:ascii="NanumGothic" w:eastAsia="Malgun Gothic" w:hAnsi="Malgun Gothic" w:hint="cs"/>
          <w:color w:val="000000"/>
          <w:rtl/>
        </w:rPr>
        <w:t>سوءاستفاده‌ها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و فسادها، در دسترس عموم قرار می‌دهند. (بانک جهانی،2013). هیچ الگوی واحدی، متناسب با همه‌ی رویکردها، برای طراحی رژیم مقتضی، وجود ندارد. غالباً، </w:t>
      </w:r>
      <w:r>
        <w:rPr>
          <w:rFonts w:ascii="NanumGothic" w:eastAsia="Malgun Gothic" w:hAnsi="Malgun Gothic" w:hint="cs"/>
          <w:color w:val="000000"/>
          <w:rtl/>
        </w:rPr>
        <w:t>پیاده‌سازی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محدودیت‌های مطلق، برای دولت‌ها بسیار آسان‌تر از </w:t>
      </w:r>
      <w:r>
        <w:rPr>
          <w:rFonts w:ascii="NanumGothic" w:eastAsia="Malgun Gothic" w:hAnsi="Malgun Gothic" w:hint="cs"/>
          <w:color w:val="000000"/>
          <w:rtl/>
        </w:rPr>
        <w:t>پیاده‌سازی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سیستم افشاگری است، بخصوص در زمینه‌هایی که ظرفیت‌ها و یا منابع دولت کم و محدود هستند. </w:t>
      </w:r>
      <w:r>
        <w:rPr>
          <w:rFonts w:ascii="NanumGothic" w:eastAsia="Malgun Gothic" w:hAnsi="Malgun Gothic" w:hint="cs"/>
          <w:color w:val="000000"/>
          <w:rtl/>
        </w:rPr>
        <w:t>بااین‌وجود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، (قوانین) افشاگری درآمدها و دارایی‌ها </w:t>
      </w:r>
      <w:r>
        <w:rPr>
          <w:rFonts w:ascii="NanumGothic" w:eastAsia="Malgun Gothic" w:hAnsi="Malgun Gothic" w:hint="cs"/>
          <w:color w:val="000000"/>
          <w:rtl/>
        </w:rPr>
        <w:t>به‌طور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</w:t>
      </w:r>
      <w:r>
        <w:rPr>
          <w:rFonts w:ascii="NanumGothic" w:eastAsia="Malgun Gothic" w:hAnsi="Malgun Gothic" w:hint="cs"/>
          <w:color w:val="000000"/>
          <w:rtl/>
        </w:rPr>
        <w:t>فزاینده‌ای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بکار گرفته می‌شوند، عملکردهایی رو به رشد، منجر به ایجاد </w:t>
      </w:r>
      <w:r>
        <w:rPr>
          <w:rFonts w:ascii="NanumGothic" w:eastAsia="Malgun Gothic" w:hAnsi="Malgun Gothic" w:hint="cs"/>
          <w:color w:val="000000"/>
          <w:rtl/>
        </w:rPr>
        <w:t>مجموعه‌ای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از اصول محوری و اصلی می‌شوند که می‌توانند مورد توجه دولت‌هایی باشند که </w:t>
      </w:r>
      <w:r>
        <w:rPr>
          <w:rFonts w:ascii="NanumGothic" w:eastAsia="Malgun Gothic" w:hAnsi="Malgun Gothic" w:hint="cs"/>
          <w:color w:val="000000"/>
          <w:rtl/>
        </w:rPr>
        <w:t>در</w:t>
      </w:r>
      <w:r>
        <w:rPr>
          <w:rFonts w:ascii="NanumGothic" w:eastAsia="Malgun Gothic" w:hAnsi="Malgun Gothic"/>
          <w:color w:val="000000"/>
          <w:rtl/>
        </w:rPr>
        <w:t xml:space="preserve"> </w:t>
      </w:r>
      <w:r>
        <w:rPr>
          <w:rFonts w:ascii="NanumGothic" w:eastAsia="Malgun Gothic" w:hAnsi="Malgun Gothic" w:hint="cs"/>
          <w:color w:val="000000"/>
          <w:rtl/>
        </w:rPr>
        <w:t>تلاش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برای اتخاذ اقدامات قوی و مؤثر افشاگری هستند.</w:t>
      </w:r>
    </w:p>
    <w:p w:rsidR="004A0E5E" w:rsidRPr="004A0E5E" w:rsidRDefault="004A0E5E" w:rsidP="004A0E5E">
      <w:pPr>
        <w:numPr>
          <w:ilvl w:val="0"/>
          <w:numId w:val="23"/>
        </w:num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tabs>
          <w:tab w:val="num" w:pos="360"/>
        </w:tabs>
        <w:spacing w:after="0"/>
        <w:ind w:left="0" w:firstLine="0"/>
        <w:outlineLvl w:val="0"/>
        <w:rPr>
          <w:rFonts w:ascii="Calibri" w:eastAsia="NanumGothic" w:hAnsi="NanumGothic"/>
          <w:b/>
          <w:bCs/>
          <w:color w:val="FFFFFF"/>
          <w:sz w:val="26"/>
          <w:szCs w:val="28"/>
          <w:rtl/>
        </w:rPr>
      </w:pPr>
      <w:bookmarkStart w:id="2" w:name="_Toc456628242"/>
      <w:r w:rsidRPr="004A0E5E">
        <w:rPr>
          <w:rFonts w:ascii="Calibri" w:eastAsia="Malgun Gothic" w:hAnsi="Calibri" w:hint="cs"/>
          <w:b/>
          <w:bCs/>
          <w:color w:val="FFFFFF"/>
          <w:sz w:val="26"/>
          <w:szCs w:val="28"/>
          <w:rtl/>
        </w:rPr>
        <w:t>اقدامات قابل انجام</w:t>
      </w:r>
      <w:bookmarkEnd w:id="2"/>
    </w:p>
    <w:p w:rsidR="004A0E5E" w:rsidRPr="004A0E5E" w:rsidRDefault="004A0E5E" w:rsidP="004A0E5E">
      <w:pPr>
        <w:numPr>
          <w:ilvl w:val="1"/>
          <w:numId w:val="23"/>
        </w:numPr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</w:pBdr>
        <w:shd w:val="clear" w:color="auto" w:fill="DEEAF6"/>
        <w:tabs>
          <w:tab w:val="num" w:pos="360"/>
        </w:tabs>
        <w:spacing w:after="0"/>
        <w:ind w:left="0" w:firstLine="0"/>
        <w:outlineLvl w:val="1"/>
        <w:rPr>
          <w:rFonts w:ascii="Calibri" w:eastAsia="Times New Roman" w:hAnsi="Calibri"/>
          <w:sz w:val="26"/>
          <w:szCs w:val="28"/>
          <w:rtl/>
        </w:rPr>
      </w:pPr>
      <w:bookmarkStart w:id="3" w:name="_Toc456628243"/>
      <w:r w:rsidRPr="004A0E5E">
        <w:rPr>
          <w:rFonts w:ascii="Calibri" w:eastAsia="Times New Roman" w:hAnsi="Calibri" w:hint="cs"/>
          <w:sz w:val="26"/>
          <w:szCs w:val="28"/>
          <w:rtl/>
        </w:rPr>
        <w:t>اقدامات اولیه</w:t>
      </w:r>
      <w:bookmarkEnd w:id="3"/>
    </w:p>
    <w:p w:rsidR="004A0E5E" w:rsidRPr="004A0E5E" w:rsidRDefault="004A0E5E" w:rsidP="004A0E5E">
      <w:pPr>
        <w:numPr>
          <w:ilvl w:val="2"/>
          <w:numId w:val="21"/>
        </w:numPr>
        <w:pBdr>
          <w:top w:val="single" w:sz="6" w:space="2" w:color="5B9BD5"/>
        </w:pBdr>
        <w:tabs>
          <w:tab w:val="num" w:pos="360"/>
        </w:tabs>
        <w:spacing w:before="120" w:after="0"/>
        <w:ind w:left="0" w:firstLine="0"/>
        <w:outlineLvl w:val="2"/>
        <w:rPr>
          <w:rFonts w:ascii="Calibri" w:eastAsia="NanumGothic" w:hAnsi="NanumGothic"/>
          <w:color w:val="1F4D78"/>
          <w:sz w:val="26"/>
          <w:szCs w:val="28"/>
          <w:rtl/>
        </w:rPr>
      </w:pPr>
      <w:bookmarkStart w:id="4" w:name="_Toc456628244"/>
      <w:r w:rsidRPr="004A0E5E">
        <w:rPr>
          <w:rFonts w:ascii="Calibri" w:eastAsia="Malgun Gothic" w:hAnsi="Calibri" w:hint="cs"/>
          <w:color w:val="1F4D78"/>
          <w:sz w:val="26"/>
          <w:szCs w:val="28"/>
          <w:rtl/>
        </w:rPr>
        <w:lastRenderedPageBreak/>
        <w:t>وضع قانونی که افشای عمومی درآمدها و دارایی‌ها توسط مقامات دولتی را الزامی می‌کند.</w:t>
      </w:r>
      <w:r w:rsidRPr="004A0E5E">
        <w:rPr>
          <w:rFonts w:ascii="Calibri" w:eastAsia="Malgun Gothic" w:hAnsi="Calibri"/>
          <w:color w:val="1F4D78"/>
          <w:sz w:val="26"/>
          <w:szCs w:val="28"/>
          <w:vertAlign w:val="superscript"/>
          <w:rtl/>
        </w:rPr>
        <w:footnoteReference w:id="2"/>
      </w:r>
      <w:bookmarkEnd w:id="4"/>
    </w:p>
    <w:p w:rsidR="004A0E5E" w:rsidRPr="004A0E5E" w:rsidRDefault="004A0E5E" w:rsidP="004A0E5E">
      <w:pPr>
        <w:pBdr>
          <w:top w:val="dotted" w:sz="6" w:space="2" w:color="5B9BD5"/>
        </w:pBdr>
        <w:spacing w:before="200" w:after="0"/>
        <w:outlineLvl w:val="3"/>
        <w:rPr>
          <w:rFonts w:ascii="Calibri" w:eastAsia="NanumGothic" w:hAnsi="NanumGothic"/>
          <w:color w:val="2E74B5"/>
          <w:spacing w:val="10"/>
          <w:sz w:val="20"/>
          <w:rtl/>
        </w:rPr>
      </w:pPr>
      <w:r w:rsidRPr="004A0E5E">
        <w:rPr>
          <w:rFonts w:ascii="Calibri" w:eastAsia="Malgun Gothic" w:hAnsi="Calibri" w:hint="cs"/>
          <w:color w:val="2E74B5"/>
          <w:spacing w:val="10"/>
          <w:sz w:val="20"/>
          <w:rtl/>
        </w:rPr>
        <w:t>توضیحات</w:t>
      </w:r>
    </w:p>
    <w:p w:rsidR="004A0E5E" w:rsidRPr="004A0E5E" w:rsidRDefault="004A0E5E" w:rsidP="00440206">
      <w:pPr>
        <w:spacing w:after="200"/>
        <w:rPr>
          <w:rFonts w:ascii="NanumGothic" w:eastAsia="NanumGothic" w:hAnsi="NanumGothic"/>
          <w:color w:val="000000"/>
          <w:rtl/>
        </w:rPr>
      </w:pPr>
      <w:r w:rsidRPr="004A0E5E">
        <w:rPr>
          <w:rFonts w:ascii="NanumGothic" w:eastAsia="Malgun Gothic" w:hAnsi="Malgun Gothic" w:hint="cs"/>
          <w:color w:val="000000"/>
          <w:rtl/>
        </w:rPr>
        <w:t xml:space="preserve">اعلام عمومی ارزش دارایی‌ها و بدهی‌ها و منابع کسب درآمد، </w:t>
      </w:r>
      <w:r w:rsidR="0038548C">
        <w:rPr>
          <w:rFonts w:ascii="NanumGothic" w:eastAsia="Malgun Gothic" w:hAnsi="Malgun Gothic" w:hint="cs"/>
          <w:color w:val="000000"/>
          <w:rtl/>
        </w:rPr>
        <w:t>به‌عنوان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یک عامل بازدارنده </w:t>
      </w:r>
      <w:r w:rsidR="0038548C">
        <w:rPr>
          <w:rFonts w:ascii="NanumGothic" w:eastAsia="Malgun Gothic" w:hAnsi="Malgun Gothic" w:hint="cs"/>
          <w:color w:val="000000"/>
          <w:rtl/>
        </w:rPr>
        <w:t>در</w:t>
      </w:r>
      <w:r w:rsidR="0038548C">
        <w:rPr>
          <w:rFonts w:ascii="NanumGothic" w:eastAsia="Malgun Gothic" w:hAnsi="Malgun Gothic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مقابل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اختلاس، تبانی و </w:t>
      </w:r>
      <w:r w:rsidR="0038548C">
        <w:rPr>
          <w:rFonts w:ascii="NanumGothic" w:eastAsia="Malgun Gothic" w:hAnsi="Malgun Gothic" w:hint="cs"/>
          <w:color w:val="000000"/>
          <w:rtl/>
        </w:rPr>
        <w:t>سوءاستفاده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از قدرت در بخش دولتی عمل می‌کند. افشای عمومی دارایی‌ها و درآمدها به جامعه‌ی مدنی اجازه می‌دهد تا در شناسایی نقض الزامات افشای مالی مشارکت داشته باشند و همچنین بررسی دقیق‌تری برای تکمیل نقش نهادهای نظارتی بر مقامات، حاصل شود. در یک نظرسنجی که در سال 2012 توسط بانک جهانی انجام شد مشخص گردید که %78 کشورها </w:t>
      </w:r>
      <w:r w:rsidR="00440206">
        <w:rPr>
          <w:rFonts w:ascii="NanumGothic" w:eastAsia="Malgun Gothic" w:hAnsi="Malgun Gothic" w:hint="cs"/>
          <w:color w:val="000000"/>
          <w:rtl/>
        </w:rPr>
        <w:t>سازوکارهای اعلام عمومی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را</w:t>
      </w:r>
      <w:r w:rsidR="00440206">
        <w:rPr>
          <w:rFonts w:ascii="NanumGothic" w:eastAsia="Malgun Gothic" w:hAnsi="Malgun Gothic" w:hint="cs"/>
          <w:color w:val="000000"/>
          <w:rtl/>
        </w:rPr>
        <w:t xml:space="preserve"> تدوین و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اعمال می‌کنند، اما تنها %43 آن‌ها این اطلاعات را اعلام عمومی می‌کنند.</w:t>
      </w:r>
    </w:p>
    <w:p w:rsidR="004A0E5E" w:rsidRPr="004A0E5E" w:rsidRDefault="004A0E5E" w:rsidP="00196FAB">
      <w:pPr>
        <w:spacing w:after="200"/>
        <w:rPr>
          <w:rFonts w:ascii="NanumGothic" w:eastAsia="NanumGothic" w:hAnsi="NanumGothic"/>
          <w:color w:val="000000"/>
          <w:rtl/>
        </w:rPr>
      </w:pPr>
      <w:r w:rsidRPr="004A0E5E">
        <w:rPr>
          <w:rFonts w:ascii="NanumGothic" w:eastAsia="Malgun Gothic" w:hAnsi="Malgun Gothic" w:hint="cs"/>
          <w:color w:val="000000"/>
          <w:u w:val="single"/>
          <w:rtl/>
        </w:rPr>
        <w:t>کنوانسیون مبارزه با فساد سازمان ملل متحد</w:t>
      </w:r>
      <w:r w:rsidRPr="004A0E5E">
        <w:rPr>
          <w:rFonts w:ascii="NanumGothic" w:eastAsia="Malgun Gothic" w:hAnsi="Malgun Gothic"/>
          <w:color w:val="000000"/>
          <w:u w:val="single"/>
          <w:vertAlign w:val="superscript"/>
          <w:rtl/>
        </w:rPr>
        <w:footnoteReference w:id="3"/>
      </w:r>
      <w:r w:rsidRPr="004A0E5E">
        <w:rPr>
          <w:rFonts w:ascii="NanumGothic" w:eastAsia="Malgun Gothic" w:hAnsi="Malgun Gothic" w:hint="cs"/>
          <w:color w:val="000000"/>
          <w:rtl/>
        </w:rPr>
        <w:t>، کشورها را ملزم به تدوین س</w:t>
      </w:r>
      <w:r w:rsidR="00440206">
        <w:rPr>
          <w:rFonts w:ascii="NanumGothic" w:eastAsia="Malgun Gothic" w:hAnsi="Malgun Gothic" w:hint="cs"/>
          <w:color w:val="000000"/>
          <w:rtl/>
        </w:rPr>
        <w:t xml:space="preserve">یاست‌هایی می‌کند که </w:t>
      </w:r>
      <w:r w:rsidR="0038548C">
        <w:rPr>
          <w:rFonts w:ascii="NanumGothic" w:eastAsia="Malgun Gothic" w:hAnsi="Malgun Gothic" w:hint="cs"/>
          <w:color w:val="000000"/>
          <w:rtl/>
        </w:rPr>
        <w:t>بر</w:t>
      </w:r>
      <w:r w:rsidR="0038548C">
        <w:rPr>
          <w:rFonts w:ascii="NanumGothic" w:eastAsia="Malgun Gothic" w:hAnsi="Malgun Gothic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طبق</w:t>
      </w:r>
      <w:r w:rsidR="00440206">
        <w:rPr>
          <w:rFonts w:ascii="NanumGothic" w:eastAsia="Malgun Gothic" w:hAnsi="Malgun Gothic" w:hint="cs"/>
          <w:color w:val="000000"/>
          <w:rtl/>
        </w:rPr>
        <w:t xml:space="preserve"> آن‌ها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مقامات موظف به </w:t>
      </w:r>
      <w:r w:rsidR="00196FAB">
        <w:rPr>
          <w:rFonts w:ascii="NanumGothic" w:eastAsia="Malgun Gothic" w:hAnsi="Malgun Gothic" w:hint="cs"/>
          <w:color w:val="000000"/>
          <w:rtl/>
        </w:rPr>
        <w:t>اعلام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فعالیت‌های </w:t>
      </w:r>
      <w:r w:rsidR="0038548C">
        <w:rPr>
          <w:rFonts w:ascii="NanumGothic" w:eastAsia="Malgun Gothic" w:hAnsi="Malgun Gothic" w:hint="cs"/>
          <w:color w:val="000000"/>
          <w:rtl/>
        </w:rPr>
        <w:t>غیردولتی</w:t>
      </w:r>
      <w:r w:rsidRPr="004A0E5E">
        <w:rPr>
          <w:rFonts w:ascii="NanumGothic" w:eastAsia="Malgun Gothic" w:hAnsi="Malgun Gothic" w:hint="cs"/>
          <w:color w:val="000000"/>
          <w:rtl/>
        </w:rPr>
        <w:t>، اش</w:t>
      </w:r>
      <w:r w:rsidR="00440206">
        <w:rPr>
          <w:rFonts w:ascii="NanumGothic" w:eastAsia="Malgun Gothic" w:hAnsi="Malgun Gothic" w:hint="cs"/>
          <w:color w:val="000000"/>
          <w:rtl/>
        </w:rPr>
        <w:t xml:space="preserve">تغال، </w:t>
      </w:r>
      <w:r w:rsidR="0038548C">
        <w:rPr>
          <w:rFonts w:ascii="NanumGothic" w:eastAsia="Malgun Gothic" w:hAnsi="Malgun Gothic" w:hint="cs"/>
          <w:color w:val="000000"/>
          <w:rtl/>
        </w:rPr>
        <w:t>سرمایه‌گذاری</w:t>
      </w:r>
      <w:r w:rsidR="00440206">
        <w:rPr>
          <w:rFonts w:ascii="NanumGothic" w:eastAsia="Malgun Gothic" w:hAnsi="Malgun Gothic" w:hint="cs"/>
          <w:color w:val="000000"/>
          <w:rtl/>
        </w:rPr>
        <w:t>، دارایی‌ها، هدایا و مزایای خود</w:t>
      </w:r>
      <w:r w:rsidR="00196FAB">
        <w:rPr>
          <w:rFonts w:ascii="NanumGothic" w:eastAsia="Malgun Gothic" w:hAnsi="Malgun Gothic" w:hint="cs"/>
          <w:color w:val="000000"/>
          <w:rtl/>
        </w:rPr>
        <w:t xml:space="preserve"> به مقامات بالاتر </w:t>
      </w:r>
      <w:r w:rsidRPr="004A0E5E">
        <w:rPr>
          <w:rFonts w:ascii="NanumGothic" w:eastAsia="Malgun Gothic" w:hAnsi="Malgun Gothic" w:hint="cs"/>
          <w:color w:val="000000"/>
          <w:rtl/>
        </w:rPr>
        <w:t>می‌شوند.</w:t>
      </w:r>
    </w:p>
    <w:p w:rsidR="004A0E5E" w:rsidRPr="004A0E5E" w:rsidRDefault="004A0E5E" w:rsidP="00732425">
      <w:pPr>
        <w:spacing w:after="200"/>
        <w:rPr>
          <w:rFonts w:ascii="NanumGothic" w:eastAsia="NanumGothic" w:hAnsi="NanumGothic"/>
          <w:color w:val="000000"/>
          <w:rtl/>
        </w:rPr>
      </w:pPr>
      <w:r w:rsidRPr="004A0E5E">
        <w:rPr>
          <w:rFonts w:ascii="NanumGothic" w:eastAsia="Malgun Gothic" w:hAnsi="Malgun Gothic" w:hint="cs"/>
          <w:color w:val="000000"/>
          <w:rtl/>
        </w:rPr>
        <w:t>اگرچه اعلام عمومی میزان درآمدها و دارایی‌ها ابزار قدرتمندی برای مبارزه با فساد است، اما اگر در چارچوب مناسب و با حمایت</w:t>
      </w:r>
      <w:r w:rsidR="00732425">
        <w:rPr>
          <w:rFonts w:ascii="NanumGothic" w:eastAsia="Malgun Gothic" w:hAnsi="Malgun Gothic" w:hint="cs"/>
          <w:color w:val="000000"/>
          <w:rtl/>
        </w:rPr>
        <w:t>‌ها‌ی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کافی اعمال نشود، می‌تواند با مقاومت سیاسی مواجه شده و به شکست بینجامد. سیستم‌های دست‌وپاگیری که ظرفیت </w:t>
      </w:r>
      <w:r w:rsidR="00732425">
        <w:rPr>
          <w:rFonts w:ascii="NanumGothic" w:eastAsia="Malgun Gothic" w:hAnsi="Malgun Gothic" w:hint="cs"/>
          <w:color w:val="000000"/>
          <w:rtl/>
        </w:rPr>
        <w:t xml:space="preserve">ساختاری </w:t>
      </w:r>
      <w:r w:rsidRPr="004A0E5E">
        <w:rPr>
          <w:rFonts w:ascii="NanumGothic" w:eastAsia="Malgun Gothic" w:hAnsi="Malgun Gothic" w:hint="cs"/>
          <w:color w:val="000000"/>
          <w:rtl/>
        </w:rPr>
        <w:t>کافی برای وادار</w:t>
      </w:r>
      <w:r w:rsidR="00732425">
        <w:rPr>
          <w:rFonts w:ascii="NanumGothic" w:eastAsia="Malgun Gothic" w:hAnsi="Malgun Gothic" w:hint="cs"/>
          <w:color w:val="000000"/>
          <w:rtl/>
        </w:rPr>
        <w:t xml:space="preserve"> کردن به پذیرش اعلام عمومی درآمدها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و </w:t>
      </w:r>
      <w:r w:rsidR="0038548C">
        <w:rPr>
          <w:rFonts w:ascii="NanumGothic" w:eastAsia="Malgun Gothic" w:hAnsi="Malgun Gothic" w:hint="cs"/>
          <w:color w:val="000000"/>
          <w:rtl/>
        </w:rPr>
        <w:t>دارایی‌ها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را ندارند، بیش از سیست</w:t>
      </w:r>
      <w:r w:rsidR="00732425">
        <w:rPr>
          <w:rFonts w:ascii="NanumGothic" w:eastAsia="Malgun Gothic" w:hAnsi="Malgun Gothic" w:hint="cs"/>
          <w:color w:val="000000"/>
          <w:rtl/>
        </w:rPr>
        <w:t>م‌های منطبق با اهداف قابل کنترل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با شکست مواجه می‌شوند. در طراحی یک سیستم افشاگری، باید به بافت منطقه‌ای(شرایط محلی) سیاسی، نهادی، اجتماعی و اقتصادی، توجه نمود.</w:t>
      </w:r>
    </w:p>
    <w:p w:rsidR="004A0E5E" w:rsidRPr="004A0E5E" w:rsidRDefault="004A0E5E" w:rsidP="004A0E5E">
      <w:pPr>
        <w:spacing w:after="200"/>
        <w:rPr>
          <w:rFonts w:ascii="NanumGothic" w:eastAsia="NanumGothic" w:hAnsi="NanumGothic"/>
          <w:color w:val="000000"/>
          <w:rtl/>
        </w:rPr>
      </w:pPr>
      <w:r w:rsidRPr="004A0E5E">
        <w:rPr>
          <w:rFonts w:ascii="NanumGothic" w:eastAsia="Malgun Gothic" w:hAnsi="Malgun Gothic" w:hint="cs"/>
          <w:color w:val="000000"/>
          <w:rtl/>
        </w:rPr>
        <w:t xml:space="preserve">توصیه می‌شود کشورها افشاگری را از مهم‌ترین حوزه‌ها آغاز کنند و </w:t>
      </w:r>
      <w:r w:rsidR="0038548C">
        <w:rPr>
          <w:rFonts w:ascii="NanumGothic" w:eastAsia="Malgun Gothic" w:hAnsi="Malgun Gothic" w:hint="cs"/>
          <w:color w:val="000000"/>
          <w:rtl/>
        </w:rPr>
        <w:t>پس‌ازآن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به ایجاد اراده و ظرفیت سیا</w:t>
      </w:r>
      <w:r w:rsidR="0038548C">
        <w:rPr>
          <w:rFonts w:ascii="NanumGothic" w:eastAsia="Malgun Gothic" w:hAnsi="Malgun Gothic" w:hint="cs"/>
          <w:color w:val="000000"/>
          <w:rtl/>
        </w:rPr>
        <w:t>سی برای اصلاحات بلندپروازانه‌تر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بپردارند. شاید برخی کشورها تمایل داشته باشند با افشاگری‌ها</w:t>
      </w:r>
      <w:r w:rsidR="00732425">
        <w:rPr>
          <w:rFonts w:ascii="NanumGothic" w:eastAsia="Malgun Gothic" w:hAnsi="Malgun Gothic" w:hint="cs"/>
          <w:color w:val="000000"/>
          <w:rtl/>
        </w:rPr>
        <w:t xml:space="preserve">ی اولیه و </w:t>
      </w:r>
      <w:r w:rsidR="0038548C">
        <w:rPr>
          <w:rFonts w:ascii="NanumGothic" w:eastAsia="Malgun Gothic" w:hAnsi="Malgun Gothic" w:hint="cs"/>
          <w:color w:val="000000"/>
          <w:rtl/>
        </w:rPr>
        <w:t>هدف‌گذاری</w:t>
      </w:r>
      <w:r w:rsidR="00732425">
        <w:rPr>
          <w:rFonts w:ascii="NanumGothic" w:eastAsia="Malgun Gothic" w:hAnsi="Malgun Gothic" w:hint="cs"/>
          <w:color w:val="000000"/>
          <w:rtl/>
        </w:rPr>
        <w:t xml:space="preserve"> شده‌ِ‌ی درآمدها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و دارایی‌های مقامات پرمخاطره یا خبرساز شروع کنند و به افشاگری درباره‌ی کارمندان ارشد دولتی و قضات برسند. کشورها همچنین می‌توانند از افشای درآمدها و دارایی‌ها فراتر رفته و به افشای فعالیت‌های تجاری و </w:t>
      </w:r>
      <w:r w:rsidR="00732425">
        <w:rPr>
          <w:rFonts w:ascii="NanumGothic" w:eastAsia="Malgun Gothic" w:hAnsi="Malgun Gothic" w:hint="cs"/>
          <w:color w:val="000000"/>
          <w:rtl/>
        </w:rPr>
        <w:t>فعالیت‌های پس از اشتغال به مناصب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دولتی بپردازند (بانک جهانی،2012).</w:t>
      </w:r>
    </w:p>
    <w:p w:rsidR="004A0E5E" w:rsidRPr="004A0E5E" w:rsidRDefault="004A0E5E" w:rsidP="004A0E5E">
      <w:pPr>
        <w:pBdr>
          <w:top w:val="dotted" w:sz="6" w:space="2" w:color="5B9BD5"/>
        </w:pBdr>
        <w:spacing w:before="200" w:after="0"/>
        <w:outlineLvl w:val="3"/>
        <w:rPr>
          <w:rFonts w:ascii="Calibri" w:eastAsia="NanumGothic" w:hAnsi="NanumGothic"/>
          <w:color w:val="2E74B5"/>
          <w:spacing w:val="10"/>
          <w:sz w:val="20"/>
          <w:rtl/>
        </w:rPr>
      </w:pPr>
      <w:r w:rsidRPr="004A0E5E">
        <w:rPr>
          <w:rFonts w:ascii="Calibri" w:eastAsia="Malgun Gothic" w:hAnsi="Calibri" w:hint="cs"/>
          <w:color w:val="2E74B5"/>
          <w:spacing w:val="10"/>
          <w:sz w:val="20"/>
          <w:rtl/>
        </w:rPr>
        <w:t>توصیه‌ها</w:t>
      </w:r>
    </w:p>
    <w:p w:rsidR="004A0E5E" w:rsidRPr="004A0E5E" w:rsidRDefault="00DE1756" w:rsidP="004A0E5E">
      <w:pPr>
        <w:numPr>
          <w:ilvl w:val="0"/>
          <w:numId w:val="25"/>
        </w:numPr>
        <w:spacing w:after="200"/>
        <w:contextualSpacing/>
        <w:rPr>
          <w:rFonts w:ascii="NanumGothic" w:eastAsia="Malgun Gothic" w:hAnsi="Malgun Gothic"/>
          <w:color w:val="000000"/>
          <w:rtl/>
        </w:rPr>
      </w:pPr>
      <w:r>
        <w:rPr>
          <w:rFonts w:ascii="NanumGothic" w:eastAsia="Malgun Gothic" w:hAnsi="Malgun Gothic" w:hint="cs"/>
          <w:b/>
          <w:bCs/>
          <w:color w:val="000000"/>
          <w:rtl/>
        </w:rPr>
        <w:t>ایجاد یک نقشه راه دقیق</w:t>
      </w:r>
      <w:r w:rsidR="004A0E5E" w:rsidRPr="004A0E5E">
        <w:rPr>
          <w:rFonts w:ascii="NanumGothic" w:eastAsia="Malgun Gothic" w:hAnsi="Malgun Gothic" w:hint="cs"/>
          <w:b/>
          <w:bCs/>
          <w:color w:val="000000"/>
          <w:rtl/>
        </w:rPr>
        <w:t xml:space="preserve"> برای ت</w:t>
      </w:r>
      <w:r w:rsidR="00576599">
        <w:rPr>
          <w:rFonts w:ascii="NanumGothic" w:eastAsia="Malgun Gothic" w:hAnsi="Malgun Gothic" w:hint="cs"/>
          <w:b/>
          <w:bCs/>
          <w:color w:val="000000"/>
          <w:rtl/>
        </w:rPr>
        <w:t>وسعه دامنه و پوشش سازوکارهای اعلام عمومی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: </w:t>
      </w:r>
    </w:p>
    <w:p w:rsidR="004A0E5E" w:rsidRPr="004A0E5E" w:rsidRDefault="0038548C" w:rsidP="004A0E5E">
      <w:pPr>
        <w:spacing w:after="200"/>
        <w:ind w:left="720"/>
        <w:contextualSpacing/>
        <w:rPr>
          <w:rFonts w:ascii="NanumGothic" w:eastAsia="Malgun Gothic" w:hAnsi="Malgun Gothic"/>
          <w:color w:val="000000"/>
        </w:rPr>
      </w:pPr>
      <w:r>
        <w:rPr>
          <w:rFonts w:ascii="NanumGothic" w:eastAsia="Malgun Gothic" w:hAnsi="Malgun Gothic" w:hint="cs"/>
          <w:color w:val="000000"/>
          <w:rtl/>
        </w:rPr>
        <w:t>ظرفیت</w:t>
      </w:r>
      <w:r>
        <w:rPr>
          <w:rFonts w:ascii="NanumGothic" w:eastAsia="Malgun Gothic" w:hAnsi="Malgun Gothic"/>
          <w:color w:val="000000"/>
          <w:rtl/>
        </w:rPr>
        <w:t xml:space="preserve"> </w:t>
      </w:r>
      <w:r>
        <w:rPr>
          <w:rFonts w:ascii="NanumGothic" w:eastAsia="Malgun Gothic" w:hAnsi="Malgun Gothic" w:hint="cs"/>
          <w:color w:val="000000"/>
          <w:rtl/>
        </w:rPr>
        <w:t>آفرینی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تدریجی و مدیریت وضعیت افکار عمومی </w:t>
      </w:r>
      <w:r>
        <w:rPr>
          <w:rFonts w:ascii="NanumGothic" w:eastAsia="Malgun Gothic" w:hAnsi="Malgun Gothic" w:hint="cs"/>
          <w:color w:val="000000"/>
          <w:rtl/>
        </w:rPr>
        <w:t>در</w:t>
      </w:r>
      <w:r>
        <w:rPr>
          <w:rFonts w:ascii="NanumGothic" w:eastAsia="Malgun Gothic" w:hAnsi="Malgun Gothic"/>
          <w:color w:val="000000"/>
          <w:rtl/>
        </w:rPr>
        <w:t xml:space="preserve"> </w:t>
      </w:r>
      <w:r>
        <w:rPr>
          <w:rFonts w:ascii="NanumGothic" w:eastAsia="Malgun Gothic" w:hAnsi="Malgun Gothic" w:hint="cs"/>
          <w:color w:val="000000"/>
          <w:rtl/>
        </w:rPr>
        <w:t>مورد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آنچه سیستم در عمل می‌تواند تأمین کند، بسیار مهم است. </w:t>
      </w:r>
      <w:r>
        <w:rPr>
          <w:rFonts w:ascii="NanumGothic" w:eastAsia="Malgun Gothic" w:hAnsi="Malgun Gothic" w:hint="cs"/>
          <w:color w:val="000000"/>
          <w:rtl/>
        </w:rPr>
        <w:t>هم‌زمان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که</w:t>
      </w:r>
      <w:r w:rsidR="00160E52">
        <w:rPr>
          <w:rFonts w:ascii="NanumGothic" w:eastAsia="Malgun Gothic" w:hAnsi="Malgun Gothic" w:hint="cs"/>
          <w:color w:val="000000"/>
          <w:rtl/>
        </w:rPr>
        <w:t xml:space="preserve"> ظرفیت منجر به اعلام عمومی درآمدها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و دارایی‌ها بهبود می‌یابد، سیستم می‌تواند </w:t>
      </w:r>
      <w:r>
        <w:rPr>
          <w:rFonts w:ascii="NanumGothic" w:eastAsia="Malgun Gothic" w:hAnsi="Malgun Gothic" w:hint="cs"/>
          <w:color w:val="000000"/>
          <w:rtl/>
        </w:rPr>
        <w:t>به‌تدریج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</w:t>
      </w:r>
      <w:r>
        <w:rPr>
          <w:rFonts w:ascii="NanumGothic" w:eastAsia="Malgun Gothic" w:hAnsi="Malgun Gothic" w:hint="cs"/>
          <w:color w:val="000000"/>
          <w:rtl/>
        </w:rPr>
        <w:t>گسترش‌یافته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و تقویت شود تا (سازوکار اعلام عمومی در</w:t>
      </w:r>
      <w:r w:rsidR="00160E52">
        <w:rPr>
          <w:rFonts w:ascii="NanumGothic" w:eastAsia="Malgun Gothic" w:hAnsi="Malgun Gothic" w:hint="cs"/>
          <w:color w:val="000000"/>
          <w:rtl/>
        </w:rPr>
        <w:t xml:space="preserve"> مورد) افراد بیشتری اعمال شود</w:t>
      </w:r>
      <w:r w:rsidR="004A0E5E" w:rsidRPr="004A0E5E">
        <w:rPr>
          <w:rFonts w:ascii="NanumGothic" w:eastAsia="Malgun Gothic" w:hAnsi="Malgun Gothic" w:hint="cs"/>
          <w:color w:val="000000"/>
          <w:rtl/>
        </w:rPr>
        <w:t>، رویه‌های بازبینی و رسیدگی(نظارت عمومی) تقویت شود و در نهایت دسترسی عمومی به اطلاعات کامل شود.</w:t>
      </w:r>
    </w:p>
    <w:p w:rsidR="004A0E5E" w:rsidRPr="004A0E5E" w:rsidRDefault="004A0E5E" w:rsidP="0001697C">
      <w:pPr>
        <w:numPr>
          <w:ilvl w:val="0"/>
          <w:numId w:val="25"/>
        </w:numPr>
        <w:spacing w:after="200"/>
        <w:contextualSpacing/>
        <w:rPr>
          <w:rFonts w:ascii="NanumGothic" w:eastAsia="Malgun Gothic" w:hAnsi="Malgun Gothic"/>
          <w:color w:val="000000"/>
          <w:rtl/>
        </w:rPr>
      </w:pPr>
      <w:r w:rsidRPr="004A0E5E">
        <w:rPr>
          <w:rFonts w:ascii="NanumGothic" w:eastAsia="Malgun Gothic" w:hAnsi="Malgun Gothic" w:hint="cs"/>
          <w:b/>
          <w:bCs/>
          <w:color w:val="000000"/>
          <w:rtl/>
        </w:rPr>
        <w:t>لزوم فراگیر</w:t>
      </w:r>
      <w:r w:rsidR="0001697C">
        <w:rPr>
          <w:rFonts w:ascii="NanumGothic" w:eastAsia="Malgun Gothic" w:hAnsi="Malgun Gothic" w:hint="cs"/>
          <w:b/>
          <w:bCs/>
          <w:color w:val="000000"/>
          <w:rtl/>
        </w:rPr>
        <w:t xml:space="preserve"> بودن</w:t>
      </w:r>
      <w:r w:rsidRPr="004A0E5E">
        <w:rPr>
          <w:rFonts w:ascii="NanumGothic" w:eastAsia="Malgun Gothic" w:hAnsi="Malgun Gothic" w:hint="cs"/>
          <w:b/>
          <w:bCs/>
          <w:color w:val="000000"/>
          <w:rtl/>
        </w:rPr>
        <w:t xml:space="preserve"> الزامات اعلام عمومی اموال و دارایی‌ها</w:t>
      </w:r>
      <w:r w:rsidRPr="004A0E5E">
        <w:rPr>
          <w:rFonts w:ascii="NanumGothic" w:eastAsia="Malgun Gothic" w:hAnsi="Malgun Gothic" w:hint="cs"/>
          <w:color w:val="000000"/>
          <w:rtl/>
        </w:rPr>
        <w:t>:</w:t>
      </w:r>
    </w:p>
    <w:p w:rsidR="004A0E5E" w:rsidRPr="004A0E5E" w:rsidRDefault="0038548C" w:rsidP="00414639">
      <w:pPr>
        <w:spacing w:after="200"/>
        <w:ind w:left="720"/>
        <w:contextualSpacing/>
        <w:rPr>
          <w:rFonts w:ascii="NanumGothic" w:eastAsia="Malgun Gothic" w:hAnsi="Malgun Gothic"/>
          <w:color w:val="000000"/>
        </w:rPr>
      </w:pPr>
      <w:r>
        <w:rPr>
          <w:rFonts w:ascii="NanumGothic" w:eastAsia="Malgun Gothic" w:hAnsi="Malgun Gothic" w:hint="cs"/>
          <w:color w:val="000000"/>
          <w:rtl/>
        </w:rPr>
        <w:t>به‌عنوان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یک قانون کلی، الزامات اعلام عمومی اموال و دارایی‌ها باید شامل سران قوای </w:t>
      </w:r>
      <w:r>
        <w:rPr>
          <w:rFonts w:ascii="NanumGothic" w:eastAsia="Malgun Gothic" w:hAnsi="Malgun Gothic" w:hint="cs"/>
          <w:color w:val="000000"/>
          <w:rtl/>
        </w:rPr>
        <w:t>سه‌گانه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(مجریه، مقننه و قضای</w:t>
      </w:r>
      <w:r w:rsidR="00414639">
        <w:rPr>
          <w:rFonts w:ascii="NanumGothic" w:eastAsia="Malgun Gothic" w:hAnsi="Malgun Gothic" w:hint="cs"/>
          <w:color w:val="000000"/>
          <w:rtl/>
        </w:rPr>
        <w:t xml:space="preserve">یه) و </w:t>
      </w:r>
      <w:r>
        <w:rPr>
          <w:rFonts w:ascii="NanumGothic" w:eastAsia="Malgun Gothic" w:hAnsi="Malgun Gothic" w:hint="cs"/>
          <w:color w:val="000000"/>
          <w:rtl/>
        </w:rPr>
        <w:t>همین‌طور</w:t>
      </w:r>
      <w:r w:rsidR="00414639">
        <w:rPr>
          <w:rFonts w:ascii="NanumGothic" w:eastAsia="Malgun Gothic" w:hAnsi="Malgun Gothic" w:hint="cs"/>
          <w:color w:val="000000"/>
          <w:rtl/>
        </w:rPr>
        <w:t xml:space="preserve"> کارمندان ارشد تمام بخش‌ها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شود.</w:t>
      </w:r>
    </w:p>
    <w:p w:rsidR="004A0E5E" w:rsidRPr="004A0E5E" w:rsidRDefault="004A0E5E" w:rsidP="00402908">
      <w:pPr>
        <w:numPr>
          <w:ilvl w:val="0"/>
          <w:numId w:val="25"/>
        </w:numPr>
        <w:spacing w:after="200"/>
        <w:contextualSpacing/>
        <w:rPr>
          <w:rFonts w:ascii="NanumGothic" w:eastAsia="Malgun Gothic" w:hAnsi="Malgun Gothic"/>
          <w:color w:val="000000"/>
          <w:rtl/>
        </w:rPr>
      </w:pPr>
      <w:r w:rsidRPr="004A0E5E">
        <w:rPr>
          <w:rFonts w:ascii="NanumGothic" w:eastAsia="Malgun Gothic" w:hAnsi="Malgun Gothic" w:hint="cs"/>
          <w:b/>
          <w:bCs/>
          <w:color w:val="000000"/>
          <w:rtl/>
        </w:rPr>
        <w:lastRenderedPageBreak/>
        <w:t xml:space="preserve">بیشترین </w:t>
      </w:r>
      <w:r w:rsidR="0038548C">
        <w:rPr>
          <w:rFonts w:ascii="NanumGothic" w:eastAsia="Malgun Gothic" w:hAnsi="Malgun Gothic" w:hint="cs"/>
          <w:b/>
          <w:bCs/>
          <w:color w:val="000000"/>
          <w:rtl/>
        </w:rPr>
        <w:t>تأثیرگذاری</w:t>
      </w:r>
      <w:r w:rsidRPr="004A0E5E">
        <w:rPr>
          <w:rFonts w:ascii="NanumGothic" w:eastAsia="Malgun Gothic" w:hAnsi="Malgun Gothic" w:hint="cs"/>
          <w:b/>
          <w:bCs/>
          <w:color w:val="000000"/>
          <w:rtl/>
        </w:rPr>
        <w:t xml:space="preserve"> </w:t>
      </w:r>
      <w:r w:rsidR="00402908">
        <w:rPr>
          <w:rFonts w:ascii="NanumGothic" w:eastAsia="Malgun Gothic" w:hAnsi="Malgun Gothic" w:hint="cs"/>
          <w:b/>
          <w:bCs/>
          <w:color w:val="000000"/>
          <w:rtl/>
        </w:rPr>
        <w:t>اعلام عمومی درآمد</w:t>
      </w:r>
      <w:r w:rsidRPr="004A0E5E">
        <w:rPr>
          <w:rFonts w:ascii="NanumGothic" w:eastAsia="Malgun Gothic" w:hAnsi="Malgun Gothic" w:hint="cs"/>
          <w:b/>
          <w:bCs/>
          <w:color w:val="000000"/>
          <w:rtl/>
        </w:rPr>
        <w:t xml:space="preserve"> و دارایی‌ها</w:t>
      </w:r>
      <w:r w:rsidRPr="004A0E5E">
        <w:rPr>
          <w:rFonts w:ascii="NanumGothic" w:eastAsia="Malgun Gothic" w:hAnsi="Malgun Gothic" w:hint="cs"/>
          <w:color w:val="000000"/>
          <w:rtl/>
        </w:rPr>
        <w:t>:</w:t>
      </w:r>
    </w:p>
    <w:p w:rsidR="004A0E5E" w:rsidRPr="004A0E5E" w:rsidRDefault="004A0E5E" w:rsidP="005979C3">
      <w:pPr>
        <w:spacing w:after="200"/>
        <w:ind w:left="720"/>
        <w:contextualSpacing/>
        <w:rPr>
          <w:rFonts w:ascii="NanumGothic" w:eastAsia="Malgun Gothic" w:hAnsi="Malgun Gothic"/>
          <w:color w:val="000000"/>
        </w:rPr>
      </w:pPr>
      <w:r w:rsidRPr="004A0E5E">
        <w:rPr>
          <w:rFonts w:ascii="NanumGothic" w:eastAsia="Malgun Gothic" w:hAnsi="Malgun Gothic" w:hint="cs"/>
          <w:color w:val="000000"/>
          <w:rtl/>
        </w:rPr>
        <w:t>برای حص</w:t>
      </w:r>
      <w:r w:rsidR="005979C3">
        <w:rPr>
          <w:rFonts w:ascii="NanumGothic" w:eastAsia="Malgun Gothic" w:hAnsi="Malgun Gothic" w:hint="cs"/>
          <w:color w:val="000000"/>
          <w:rtl/>
        </w:rPr>
        <w:t xml:space="preserve">ول </w:t>
      </w:r>
      <w:r w:rsidR="0038548C">
        <w:rPr>
          <w:rFonts w:ascii="NanumGothic" w:eastAsia="Malgun Gothic" w:hAnsi="Malgun Gothic" w:hint="cs"/>
          <w:color w:val="000000"/>
          <w:rtl/>
        </w:rPr>
        <w:t>تأثیر</w:t>
      </w:r>
      <w:r w:rsidR="00402908">
        <w:rPr>
          <w:rFonts w:ascii="NanumGothic" w:eastAsia="Malgun Gothic" w:hAnsi="Malgun Gothic" w:hint="cs"/>
          <w:color w:val="000000"/>
          <w:rtl/>
        </w:rPr>
        <w:t xml:space="preserve"> حداکثری اعلام عمومی درآمد و دارایی‌ها</w:t>
      </w:r>
      <w:r w:rsidR="005979C3">
        <w:rPr>
          <w:rFonts w:ascii="NanumGothic" w:eastAsia="Malgun Gothic" w:hAnsi="Malgun Gothic" w:hint="cs"/>
          <w:color w:val="000000"/>
          <w:rtl/>
        </w:rPr>
        <w:t>ی مسئولین، باید در بازه‌های زمانی مشخص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و منظم </w:t>
      </w:r>
      <w:r w:rsidR="005979C3">
        <w:rPr>
          <w:rFonts w:ascii="NanumGothic" w:eastAsia="Malgun Gothic" w:hAnsi="Malgun Gothic" w:hint="cs"/>
          <w:color w:val="000000"/>
          <w:rtl/>
        </w:rPr>
        <w:t>مجموعه‌ داده‌هایی</w:t>
      </w:r>
      <w:r w:rsidR="00402908">
        <w:rPr>
          <w:rFonts w:ascii="NanumGothic" w:eastAsia="Malgun Gothic" w:hAnsi="Malgun Gothic" w:hint="cs"/>
          <w:color w:val="000000"/>
          <w:rtl/>
        </w:rPr>
        <w:t xml:space="preserve"> که موارد زیر را در </w:t>
      </w:r>
      <w:r w:rsidR="0038548C">
        <w:rPr>
          <w:rFonts w:ascii="NanumGothic" w:eastAsia="Malgun Gothic" w:hAnsi="Malgun Gothic" w:hint="cs"/>
          <w:color w:val="000000"/>
          <w:rtl/>
        </w:rPr>
        <w:t>برمی‌گیرند</w:t>
      </w:r>
      <w:r w:rsidR="00402908">
        <w:rPr>
          <w:rFonts w:ascii="NanumGothic" w:eastAsia="Malgun Gothic" w:hAnsi="Malgun Gothic" w:hint="cs"/>
          <w:color w:val="000000"/>
          <w:rtl/>
        </w:rPr>
        <w:t xml:space="preserve"> اعلام عمومی شوند:</w:t>
      </w:r>
    </w:p>
    <w:p w:rsidR="004A0E5E" w:rsidRPr="004A0E5E" w:rsidRDefault="007B1D44" w:rsidP="0070784D">
      <w:pPr>
        <w:numPr>
          <w:ilvl w:val="0"/>
          <w:numId w:val="26"/>
        </w:numPr>
        <w:spacing w:after="200"/>
        <w:ind w:left="1080"/>
        <w:contextualSpacing/>
        <w:rPr>
          <w:rFonts w:ascii="NanumGothic" w:eastAsia="Malgun Gothic" w:hAnsi="Malgun Gothic"/>
          <w:color w:val="000000"/>
          <w:rtl/>
        </w:rPr>
      </w:pPr>
      <w:r>
        <w:rPr>
          <w:rFonts w:ascii="NanumGothic" w:eastAsia="Malgun Gothic" w:hAnsi="Malgun Gothic" w:hint="cs"/>
          <w:color w:val="000000"/>
          <w:rtl/>
        </w:rPr>
        <w:t>دارایی‌ها (خانه‌ها، زمین‌ها، املاک و مستغلات،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انواع ساختمان‌ها، مزارع، </w:t>
      </w:r>
      <w:r w:rsidR="0038548C">
        <w:rPr>
          <w:rFonts w:ascii="NanumGothic" w:eastAsia="Malgun Gothic" w:hAnsi="Malgun Gothic" w:hint="cs"/>
          <w:color w:val="000000"/>
          <w:rtl/>
        </w:rPr>
        <w:t>سرمایه‌گذاری‌های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مالی (مانند اوراق مربوط به سهام، تراست‌ها، اختیارات و معاملات، حواله‌ها، وجوه</w:t>
      </w:r>
      <w:r>
        <w:rPr>
          <w:rFonts w:ascii="NanumGothic" w:eastAsia="Malgun Gothic" w:hAnsi="Malgun Gothic" w:hint="cs"/>
          <w:color w:val="000000"/>
          <w:rtl/>
        </w:rPr>
        <w:t xml:space="preserve"> مشترک، معاملات سلف، وجوه قرضی، پس‌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>انداز</w:t>
      </w:r>
      <w:r>
        <w:rPr>
          <w:rFonts w:ascii="NanumGothic" w:eastAsia="Malgun Gothic" w:hAnsi="Malgun Gothic" w:hint="cs"/>
          <w:color w:val="000000"/>
          <w:rtl/>
        </w:rPr>
        <w:t>ها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، </w:t>
      </w:r>
      <w:r w:rsidR="0038548C">
        <w:rPr>
          <w:rFonts w:ascii="NanumGothic" w:eastAsia="Malgun Gothic" w:hAnsi="Malgun Gothic" w:hint="cs"/>
          <w:color w:val="000000"/>
          <w:rtl/>
        </w:rPr>
        <w:t>بیمه‌نامه‌ها</w:t>
      </w:r>
      <w:r w:rsidR="0070784D">
        <w:rPr>
          <w:rFonts w:ascii="NanumGothic" w:eastAsia="Malgun Gothic" w:hAnsi="Malgun Gothic" w:hint="cs"/>
          <w:color w:val="000000"/>
          <w:rtl/>
        </w:rPr>
        <w:t xml:space="preserve"> و حساب‌های بازنشستگی)، 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حساب‌های بانکی، وجه نقد و هر سند سودآور، وسایل </w:t>
      </w:r>
      <w:r w:rsidR="0038548C">
        <w:rPr>
          <w:rFonts w:ascii="NanumGothic" w:eastAsia="Malgun Gothic" w:hAnsi="Malgun Gothic" w:hint="cs"/>
          <w:color w:val="000000"/>
          <w:rtl/>
        </w:rPr>
        <w:t>حمل‌ونقل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(مانند </w:t>
      </w:r>
      <w:r w:rsidR="0038548C">
        <w:rPr>
          <w:rFonts w:ascii="NanumGothic" w:eastAsia="Malgun Gothic" w:hAnsi="Malgun Gothic" w:hint="cs"/>
          <w:color w:val="000000"/>
          <w:rtl/>
        </w:rPr>
        <w:t>اتومبیل</w:t>
      </w:r>
      <w:r w:rsidR="004A0E5E" w:rsidRPr="004A0E5E">
        <w:rPr>
          <w:rFonts w:ascii="NanumGothic" w:eastAsia="Malgun Gothic" w:hAnsi="Malgun Gothic" w:hint="cs"/>
          <w:color w:val="000000"/>
          <w:rtl/>
        </w:rPr>
        <w:t>،</w:t>
      </w:r>
      <w:r w:rsidR="0070784D">
        <w:rPr>
          <w:rFonts w:ascii="NanumGothic" w:eastAsia="Malgun Gothic" w:hAnsi="Malgun Gothic" w:hint="cs"/>
          <w:color w:val="000000"/>
          <w:rtl/>
        </w:rPr>
        <w:t xml:space="preserve"> کشتی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>، هواپیما</w:t>
      </w:r>
      <w:r w:rsidR="0070784D">
        <w:rPr>
          <w:rFonts w:ascii="NanumGothic" w:eastAsia="Malgun Gothic" w:hAnsi="Malgun Gothic" w:hint="cs"/>
          <w:color w:val="000000"/>
          <w:rtl/>
        </w:rPr>
        <w:t xml:space="preserve"> و ...</w:t>
      </w:r>
      <w:r w:rsidR="004A0E5E" w:rsidRPr="004A0E5E">
        <w:rPr>
          <w:rFonts w:ascii="NanumGothic" w:eastAsia="Malgun Gothic" w:hAnsi="Malgun Gothic" w:hint="cs"/>
          <w:color w:val="000000"/>
          <w:rtl/>
        </w:rPr>
        <w:t>) و دیگر دارایی‌های منقول (مانند جواهرات، اثرهای هنری، مبلمان و احشام)</w:t>
      </w:r>
      <w:r w:rsidR="0070784D">
        <w:rPr>
          <w:rFonts w:ascii="NanumGothic" w:eastAsia="Malgun Gothic" w:hAnsi="Malgun Gothic" w:hint="cs"/>
          <w:color w:val="000000"/>
          <w:rtl/>
        </w:rPr>
        <w:t xml:space="preserve"> و غیرمنقول دیگر.</w:t>
      </w:r>
    </w:p>
    <w:p w:rsidR="004A0E5E" w:rsidRPr="004A0E5E" w:rsidRDefault="004A0E5E" w:rsidP="004A0E5E">
      <w:pPr>
        <w:numPr>
          <w:ilvl w:val="0"/>
          <w:numId w:val="26"/>
        </w:numPr>
        <w:spacing w:after="200"/>
        <w:ind w:left="1080"/>
        <w:contextualSpacing/>
        <w:rPr>
          <w:rFonts w:ascii="NanumGothic" w:eastAsia="Malgun Gothic" w:hAnsi="Malgun Gothic"/>
          <w:color w:val="000000"/>
          <w:rtl/>
        </w:rPr>
      </w:pPr>
      <w:r w:rsidRPr="004A0E5E">
        <w:rPr>
          <w:rFonts w:ascii="NanumGothic" w:eastAsia="Malgun Gothic" w:hAnsi="Malgun Gothic" w:hint="cs"/>
          <w:color w:val="000000"/>
          <w:rtl/>
        </w:rPr>
        <w:t>بدهی‌ها (تمامی بدهی‌ها، تعهدات، کارت‌های اعتباری، انواع وام‌ها، وثیقه‌ها و موارد امضای تعهدات مشترک)</w:t>
      </w:r>
    </w:p>
    <w:p w:rsidR="004A0E5E" w:rsidRPr="004A0E5E" w:rsidRDefault="0070784D" w:rsidP="004A0E5E">
      <w:pPr>
        <w:numPr>
          <w:ilvl w:val="0"/>
          <w:numId w:val="26"/>
        </w:numPr>
        <w:spacing w:after="200"/>
        <w:ind w:left="1080"/>
        <w:contextualSpacing/>
        <w:rPr>
          <w:rFonts w:ascii="NanumGothic" w:eastAsia="Malgun Gothic" w:hAnsi="Malgun Gothic"/>
          <w:color w:val="000000"/>
          <w:rtl/>
        </w:rPr>
      </w:pPr>
      <w:r>
        <w:rPr>
          <w:rFonts w:ascii="NanumGothic" w:eastAsia="Malgun Gothic" w:hAnsi="Malgun Gothic" w:hint="cs"/>
          <w:color w:val="000000"/>
          <w:rtl/>
        </w:rPr>
        <w:t>منابع درآ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مد و </w:t>
      </w:r>
      <w:r w:rsidR="0038548C">
        <w:rPr>
          <w:rFonts w:ascii="NanumGothic" w:eastAsia="Malgun Gothic" w:hAnsi="Malgun Gothic" w:hint="cs"/>
          <w:color w:val="000000"/>
          <w:rtl/>
        </w:rPr>
        <w:t>سرمایه‌گذاری‌های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 xml:space="preserve"> مالی (مانند سودها، سود سهام، مقرری‌ها، حقوق بازنشستگی و مزایا)</w:t>
      </w:r>
    </w:p>
    <w:p w:rsidR="004A0E5E" w:rsidRPr="004A0E5E" w:rsidRDefault="004A0E5E" w:rsidP="004A0E5E">
      <w:pPr>
        <w:numPr>
          <w:ilvl w:val="0"/>
          <w:numId w:val="27"/>
        </w:numPr>
        <w:spacing w:after="200"/>
        <w:ind w:left="1080"/>
        <w:contextualSpacing/>
        <w:rPr>
          <w:rFonts w:ascii="NanumGothic" w:eastAsia="Malgun Gothic" w:hAnsi="Malgun Gothic"/>
          <w:color w:val="000000"/>
          <w:rtl/>
        </w:rPr>
      </w:pPr>
      <w:r w:rsidRPr="004A0E5E">
        <w:rPr>
          <w:rFonts w:ascii="NanumGothic" w:eastAsia="Malgun Gothic" w:hAnsi="Malgun Gothic" w:hint="cs"/>
          <w:color w:val="000000"/>
          <w:rtl/>
        </w:rPr>
        <w:t>دارایی‌های تجاری (مانند شرکت‌ها</w:t>
      </w:r>
      <w:r w:rsidR="0070784D">
        <w:rPr>
          <w:rFonts w:ascii="NanumGothic" w:eastAsia="Malgun Gothic" w:hAnsi="Malgun Gothic" w:hint="cs"/>
          <w:color w:val="000000"/>
          <w:rtl/>
        </w:rPr>
        <w:t>ی خصوصی و مشارکتی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، شراکت، مزارع، املاک </w:t>
      </w:r>
      <w:r w:rsidR="0038548C">
        <w:rPr>
          <w:rFonts w:ascii="NanumGothic" w:eastAsia="Malgun Gothic" w:hAnsi="Malgun Gothic" w:hint="cs"/>
          <w:color w:val="000000"/>
          <w:rtl/>
        </w:rPr>
        <w:t>اجاره‌ای</w:t>
      </w:r>
      <w:r w:rsidRPr="004A0E5E">
        <w:rPr>
          <w:rFonts w:ascii="NanumGothic" w:eastAsia="Malgun Gothic" w:hAnsi="Malgun Gothic" w:hint="cs"/>
          <w:color w:val="000000"/>
          <w:rtl/>
        </w:rPr>
        <w:t>، امتیازات انحصاری)،</w:t>
      </w:r>
    </w:p>
    <w:p w:rsidR="004A0E5E" w:rsidRPr="0070784D" w:rsidRDefault="004A0E5E" w:rsidP="0070784D">
      <w:pPr>
        <w:numPr>
          <w:ilvl w:val="0"/>
          <w:numId w:val="27"/>
        </w:numPr>
        <w:spacing w:after="200"/>
        <w:ind w:left="1080"/>
        <w:contextualSpacing/>
        <w:rPr>
          <w:rFonts w:ascii="NanumGothic" w:eastAsia="Malgun Gothic" w:hAnsi="Malgun Gothic"/>
          <w:color w:val="000000"/>
          <w:rtl/>
        </w:rPr>
      </w:pPr>
      <w:r w:rsidRPr="004A0E5E">
        <w:rPr>
          <w:rFonts w:ascii="NanumGothic" w:eastAsia="Malgun Gothic" w:hAnsi="Malgun Gothic" w:hint="cs"/>
          <w:color w:val="000000"/>
          <w:rtl/>
        </w:rPr>
        <w:t>اشتغال</w:t>
      </w:r>
      <w:r w:rsidR="0070784D">
        <w:rPr>
          <w:rFonts w:ascii="NanumGothic" w:eastAsia="Malgun Gothic" w:hAnsi="Malgun Gothic" w:hint="cs"/>
          <w:color w:val="000000"/>
          <w:rtl/>
        </w:rPr>
        <w:t xml:space="preserve"> یا دخالت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در بخش خصوص</w:t>
      </w:r>
      <w:r w:rsidR="0070784D">
        <w:rPr>
          <w:rFonts w:ascii="NanumGothic" w:eastAsia="Malgun Gothic" w:hAnsi="Malgun Gothic" w:hint="cs"/>
          <w:color w:val="000000"/>
          <w:rtl/>
        </w:rPr>
        <w:t>ی یا بخش خدماتی (مانند مشاوره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یا دیگر عایدی‌ها </w:t>
      </w:r>
      <w:r w:rsidR="0070784D">
        <w:rPr>
          <w:rFonts w:ascii="NanumGothic" w:eastAsia="Malgun Gothic" w:hAnsi="Malgun Gothic" w:hint="cs"/>
          <w:color w:val="000000"/>
          <w:rtl/>
        </w:rPr>
        <w:t>از هر بخشی</w:t>
      </w:r>
      <w:r w:rsidRPr="004A0E5E">
        <w:rPr>
          <w:rFonts w:ascii="NanumGothic" w:eastAsia="Malgun Gothic" w:hAnsi="Malgun Gothic" w:hint="cs"/>
          <w:color w:val="000000"/>
          <w:rtl/>
        </w:rPr>
        <w:t>)</w:t>
      </w:r>
      <w:r w:rsidR="0070784D">
        <w:rPr>
          <w:rFonts w:ascii="NanumGothic" w:eastAsia="Malgun Gothic" w:hAnsi="Malgun Gothic" w:hint="cs"/>
          <w:color w:val="000000"/>
          <w:rtl/>
        </w:rPr>
        <w:t xml:space="preserve">، </w:t>
      </w:r>
      <w:r w:rsidRPr="0070784D">
        <w:rPr>
          <w:rFonts w:ascii="NanumGothic" w:eastAsia="Malgun Gothic" w:hAnsi="Malgun Gothic" w:hint="cs"/>
          <w:color w:val="000000"/>
          <w:rtl/>
        </w:rPr>
        <w:t>عضویت د</w:t>
      </w:r>
      <w:r w:rsidR="0070784D">
        <w:rPr>
          <w:rFonts w:ascii="NanumGothic" w:eastAsia="Malgun Gothic" w:hAnsi="Malgun Gothic" w:hint="cs"/>
          <w:color w:val="000000"/>
          <w:rtl/>
        </w:rPr>
        <w:t>ر هیئت‌های مدیره و مدیریت عاملی و</w:t>
      </w:r>
      <w:r w:rsidRPr="0070784D">
        <w:rPr>
          <w:rFonts w:ascii="NanumGothic" w:eastAsia="Malgun Gothic" w:hAnsi="Malgun Gothic" w:hint="cs"/>
          <w:color w:val="000000"/>
          <w:rtl/>
        </w:rPr>
        <w:t xml:space="preserve"> دیگر اشتغال‌ه</w:t>
      </w:r>
      <w:r w:rsidR="0070784D">
        <w:rPr>
          <w:rFonts w:ascii="NanumGothic" w:eastAsia="Malgun Gothic" w:hAnsi="Malgun Gothic" w:hint="cs"/>
          <w:color w:val="000000"/>
          <w:rtl/>
        </w:rPr>
        <w:t>ای ممکن.</w:t>
      </w:r>
    </w:p>
    <w:p w:rsidR="004A0E5E" w:rsidRPr="004A0E5E" w:rsidRDefault="004A0E5E" w:rsidP="004A0E5E">
      <w:pPr>
        <w:numPr>
          <w:ilvl w:val="0"/>
          <w:numId w:val="27"/>
        </w:numPr>
        <w:spacing w:after="200"/>
        <w:ind w:left="1080"/>
        <w:contextualSpacing/>
        <w:rPr>
          <w:rFonts w:ascii="NanumGothic" w:eastAsia="Malgun Gothic" w:hAnsi="Malgun Gothic"/>
          <w:color w:val="000000"/>
          <w:rtl/>
        </w:rPr>
      </w:pPr>
      <w:r w:rsidRPr="004A0E5E">
        <w:rPr>
          <w:rFonts w:ascii="NanumGothic" w:eastAsia="Malgun Gothic" w:hAnsi="Malgun Gothic" w:hint="cs"/>
          <w:color w:val="000000"/>
          <w:rtl/>
        </w:rPr>
        <w:t xml:space="preserve">هدایا (هرگونه هدایا و مزایای </w:t>
      </w:r>
      <w:r w:rsidR="0038548C">
        <w:rPr>
          <w:rFonts w:ascii="NanumGothic" w:eastAsia="Malgun Gothic" w:hAnsi="Malgun Gothic" w:hint="cs"/>
          <w:color w:val="000000"/>
          <w:rtl/>
        </w:rPr>
        <w:t>فراوانی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که شخص به </w:t>
      </w:r>
      <w:r w:rsidR="0038548C">
        <w:rPr>
          <w:rFonts w:ascii="NanumGothic" w:eastAsia="Malgun Gothic" w:hAnsi="Malgun Gothic" w:hint="cs"/>
          <w:color w:val="000000"/>
          <w:rtl/>
        </w:rPr>
        <w:t>هر</w:t>
      </w:r>
      <w:r w:rsidR="0038548C">
        <w:rPr>
          <w:rFonts w:ascii="NanumGothic" w:eastAsia="Malgun Gothic" w:hAnsi="Malgun Gothic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دلیلی</w:t>
      </w:r>
      <w:r w:rsidR="0070784D">
        <w:rPr>
          <w:rFonts w:ascii="NanumGothic" w:eastAsia="Malgun Gothic" w:hAnsi="Malgun Gothic" w:hint="cs"/>
          <w:color w:val="000000"/>
          <w:rtl/>
        </w:rPr>
        <w:t xml:space="preserve"> از هر شخص یا سازمانی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دریافت می‌کند.)</w:t>
      </w:r>
    </w:p>
    <w:p w:rsidR="004A0E5E" w:rsidRPr="004A0E5E" w:rsidRDefault="004A0E5E" w:rsidP="0070784D">
      <w:pPr>
        <w:numPr>
          <w:ilvl w:val="0"/>
          <w:numId w:val="27"/>
        </w:numPr>
        <w:spacing w:after="200"/>
        <w:ind w:left="1080"/>
        <w:contextualSpacing/>
        <w:rPr>
          <w:rFonts w:ascii="NanumGothic" w:eastAsia="Malgun Gothic" w:hAnsi="Malgun Gothic"/>
          <w:color w:val="000000"/>
          <w:rtl/>
        </w:rPr>
      </w:pPr>
      <w:r w:rsidRPr="004A0E5E">
        <w:rPr>
          <w:rFonts w:ascii="NanumGothic" w:eastAsia="Malgun Gothic" w:hAnsi="Malgun Gothic" w:hint="cs"/>
          <w:color w:val="000000"/>
          <w:rtl/>
        </w:rPr>
        <w:t xml:space="preserve">احتمال‌های ممکن برای تعارض منافع (حقوق مربوط به قراردادها و خدمات و </w:t>
      </w:r>
      <w:r w:rsidR="0038548C">
        <w:rPr>
          <w:rFonts w:ascii="NanumGothic" w:eastAsia="Malgun Gothic" w:hAnsi="Malgun Gothic" w:hint="cs"/>
          <w:color w:val="000000"/>
          <w:rtl/>
        </w:rPr>
        <w:t>هیئت‌مدیره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و مدیریت عامل که تأدیه نشده‌اند، عضویت در انجمن‌ها، سازمان‌های </w:t>
      </w:r>
      <w:r w:rsidR="0038548C">
        <w:rPr>
          <w:rFonts w:ascii="NanumGothic" w:eastAsia="Malgun Gothic" w:hAnsi="Malgun Gothic" w:hint="cs"/>
          <w:color w:val="000000"/>
          <w:rtl/>
        </w:rPr>
        <w:t>غیرانتفاعی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و اتحادیه‌های کارگری، وضعیت شغلی فرد بعد از اتمام دوران مسئولیت </w:t>
      </w:r>
      <w:r w:rsidR="0070784D">
        <w:rPr>
          <w:rFonts w:ascii="NanumGothic" w:eastAsia="Malgun Gothic" w:hAnsi="Malgun Gothic" w:hint="cs"/>
          <w:color w:val="000000"/>
          <w:rtl/>
        </w:rPr>
        <w:t>حاکمیتی</w:t>
      </w:r>
      <w:r w:rsidRPr="004A0E5E">
        <w:rPr>
          <w:rFonts w:ascii="NanumGothic" w:eastAsia="Malgun Gothic" w:hAnsi="Malgun Gothic" w:hint="cs"/>
          <w:color w:val="000000"/>
          <w:rtl/>
        </w:rPr>
        <w:t>)</w:t>
      </w:r>
    </w:p>
    <w:p w:rsidR="004A0E5E" w:rsidRPr="004A0E5E" w:rsidRDefault="0070784D" w:rsidP="004A0E5E">
      <w:pPr>
        <w:numPr>
          <w:ilvl w:val="0"/>
          <w:numId w:val="25"/>
        </w:numPr>
        <w:spacing w:after="200"/>
        <w:contextualSpacing/>
        <w:rPr>
          <w:rFonts w:ascii="NanumGothic" w:eastAsia="Malgun Gothic" w:hAnsi="Malgun Gothic"/>
          <w:color w:val="000000"/>
          <w:rtl/>
        </w:rPr>
      </w:pPr>
      <w:r>
        <w:rPr>
          <w:rFonts w:ascii="NanumGothic" w:eastAsia="Malgun Gothic" w:hAnsi="Malgun Gothic" w:hint="cs"/>
          <w:b/>
          <w:bCs/>
          <w:color w:val="000000"/>
          <w:rtl/>
        </w:rPr>
        <w:t>کارایی</w:t>
      </w:r>
      <w:r w:rsidR="004A0E5E" w:rsidRPr="004A0E5E">
        <w:rPr>
          <w:rFonts w:ascii="NanumGothic" w:eastAsia="Malgun Gothic" w:hAnsi="Malgun Gothic" w:hint="cs"/>
          <w:b/>
          <w:bCs/>
          <w:color w:val="000000"/>
          <w:rtl/>
        </w:rPr>
        <w:t xml:space="preserve"> سازوکار‌های اعلام عمومی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>:</w:t>
      </w:r>
    </w:p>
    <w:p w:rsidR="004A0E5E" w:rsidRPr="004A0E5E" w:rsidRDefault="004A0E5E" w:rsidP="004A0E5E">
      <w:pPr>
        <w:spacing w:after="200"/>
        <w:ind w:left="720"/>
        <w:contextualSpacing/>
        <w:rPr>
          <w:rFonts w:ascii="NanumGothic" w:eastAsia="Malgun Gothic" w:hAnsi="Malgun Gothic"/>
          <w:color w:val="000000"/>
        </w:rPr>
      </w:pPr>
      <w:r w:rsidRPr="004A0E5E">
        <w:rPr>
          <w:rFonts w:ascii="NanumGothic" w:eastAsia="Malgun Gothic" w:hAnsi="Malgun Gothic" w:hint="cs"/>
          <w:color w:val="000000"/>
          <w:rtl/>
        </w:rPr>
        <w:t xml:space="preserve">ساده و </w:t>
      </w:r>
      <w:r w:rsidR="0038548C">
        <w:rPr>
          <w:rFonts w:ascii="NanumGothic" w:eastAsia="Malgun Gothic" w:hAnsi="Malgun Gothic" w:hint="cs"/>
          <w:color w:val="000000"/>
          <w:rtl/>
        </w:rPr>
        <w:t>روان</w:t>
      </w:r>
      <w:r w:rsidR="0038548C">
        <w:rPr>
          <w:rFonts w:ascii="NanumGothic" w:eastAsia="Malgun Gothic" w:hAnsi="Malgun Gothic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بودن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در عین کامل و جامع بودن فرآیندهای اعلام عمومی(مثل فرم‌ها و نحوه </w:t>
      </w:r>
      <w:r w:rsidR="0038548C">
        <w:rPr>
          <w:rFonts w:ascii="NanumGothic" w:eastAsia="Malgun Gothic" w:hAnsi="Malgun Gothic" w:hint="cs"/>
          <w:color w:val="000000"/>
          <w:rtl/>
        </w:rPr>
        <w:t>پر</w:t>
      </w:r>
      <w:r w:rsidR="0038548C">
        <w:rPr>
          <w:rFonts w:ascii="NanumGothic" w:eastAsia="Malgun Gothic" w:hAnsi="Malgun Gothic"/>
          <w:color w:val="000000"/>
          <w:rtl/>
        </w:rPr>
        <w:t xml:space="preserve"> </w:t>
      </w:r>
      <w:r w:rsidR="0038548C">
        <w:rPr>
          <w:rFonts w:ascii="NanumGothic" w:eastAsia="Malgun Gothic" w:hAnsi="Malgun Gothic" w:hint="cs"/>
          <w:color w:val="000000"/>
          <w:rtl/>
        </w:rPr>
        <w:t>کردن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آن‌ها) بسیار مهم است. اطلاعات </w:t>
      </w:r>
      <w:r w:rsidR="0038548C">
        <w:rPr>
          <w:rFonts w:ascii="NanumGothic" w:eastAsia="Malgun Gothic" w:hAnsi="Malgun Gothic" w:hint="cs"/>
          <w:color w:val="000000"/>
          <w:rtl/>
        </w:rPr>
        <w:t>خواسته‌شده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باید دقیق و </w:t>
      </w:r>
      <w:r w:rsidR="0038548C">
        <w:rPr>
          <w:rFonts w:ascii="NanumGothic" w:eastAsia="Malgun Gothic" w:hAnsi="Malgun Gothic" w:hint="cs"/>
          <w:color w:val="000000"/>
          <w:rtl/>
        </w:rPr>
        <w:t>به‌دوراز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ابه</w:t>
      </w:r>
      <w:r w:rsidR="0070784D">
        <w:rPr>
          <w:rFonts w:ascii="NanumGothic" w:eastAsia="Malgun Gothic" w:hAnsi="Malgun Gothic" w:hint="cs"/>
          <w:color w:val="000000"/>
          <w:rtl/>
        </w:rPr>
        <w:t>ام دریافت شوند تا سازوکارها کارا</w:t>
      </w:r>
      <w:r w:rsidRPr="004A0E5E">
        <w:rPr>
          <w:rFonts w:ascii="NanumGothic" w:eastAsia="Malgun Gothic" w:hAnsi="Malgun Gothic" w:hint="cs"/>
          <w:color w:val="000000"/>
          <w:rtl/>
        </w:rPr>
        <w:t>یی خود را حفظ کنند.</w:t>
      </w:r>
    </w:p>
    <w:p w:rsidR="004A0E5E" w:rsidRPr="004A0E5E" w:rsidRDefault="0038548C" w:rsidP="004A0E5E">
      <w:pPr>
        <w:numPr>
          <w:ilvl w:val="0"/>
          <w:numId w:val="25"/>
        </w:numPr>
        <w:spacing w:after="200"/>
        <w:contextualSpacing/>
        <w:rPr>
          <w:rFonts w:ascii="NanumGothic" w:eastAsia="Malgun Gothic" w:hAnsi="Malgun Gothic"/>
          <w:color w:val="000000"/>
          <w:rtl/>
        </w:rPr>
      </w:pPr>
      <w:r>
        <w:rPr>
          <w:rFonts w:ascii="NanumGothic" w:eastAsia="Malgun Gothic" w:hAnsi="Malgun Gothic" w:hint="cs"/>
          <w:b/>
          <w:bCs/>
          <w:color w:val="000000"/>
          <w:rtl/>
        </w:rPr>
        <w:t>تعیین</w:t>
      </w:r>
      <w:r w:rsidR="004A0E5E" w:rsidRPr="004A0E5E">
        <w:rPr>
          <w:rFonts w:ascii="NanumGothic" w:eastAsia="Malgun Gothic" w:hAnsi="Malgun Gothic" w:hint="cs"/>
          <w:b/>
          <w:bCs/>
          <w:color w:val="000000"/>
          <w:rtl/>
        </w:rPr>
        <w:t>‌ نهاد مسئول اعلام عمومی</w:t>
      </w:r>
      <w:r w:rsidR="004A0E5E" w:rsidRPr="004A0E5E">
        <w:rPr>
          <w:rFonts w:ascii="NanumGothic" w:eastAsia="Malgun Gothic" w:hAnsi="Malgun Gothic" w:hint="cs"/>
          <w:color w:val="000000"/>
          <w:rtl/>
        </w:rPr>
        <w:t>:</w:t>
      </w:r>
    </w:p>
    <w:p w:rsidR="004A0E5E" w:rsidRPr="004A0E5E" w:rsidRDefault="004A0E5E" w:rsidP="0070784D">
      <w:pPr>
        <w:spacing w:after="200"/>
        <w:ind w:left="720"/>
        <w:contextualSpacing/>
        <w:rPr>
          <w:rFonts w:ascii="NanumGothic" w:eastAsia="Malgun Gothic" w:hAnsi="Malgun Gothic"/>
          <w:color w:val="000000"/>
        </w:rPr>
      </w:pPr>
      <w:r w:rsidRPr="004A0E5E">
        <w:rPr>
          <w:rFonts w:ascii="NanumGothic" w:eastAsia="Malgun Gothic" w:hAnsi="Malgun Gothic" w:hint="cs"/>
          <w:color w:val="000000"/>
          <w:rtl/>
        </w:rPr>
        <w:t xml:space="preserve">تعیین </w:t>
      </w:r>
      <w:r w:rsidR="0070784D">
        <w:rPr>
          <w:rFonts w:ascii="NanumGothic" w:eastAsia="Malgun Gothic" w:hAnsi="Malgun Gothic" w:hint="cs"/>
          <w:color w:val="000000"/>
          <w:rtl/>
        </w:rPr>
        <w:t xml:space="preserve">نهادی </w:t>
      </w:r>
      <w:r w:rsidR="0038548C">
        <w:rPr>
          <w:rFonts w:ascii="NanumGothic" w:eastAsia="Malgun Gothic" w:hAnsi="Malgun Gothic" w:hint="cs"/>
          <w:color w:val="000000"/>
          <w:rtl/>
        </w:rPr>
        <w:t>به‌عنوان</w:t>
      </w:r>
      <w:r w:rsidR="0070784D">
        <w:rPr>
          <w:rFonts w:ascii="NanumGothic" w:eastAsia="Malgun Gothic" w:hAnsi="Malgun Gothic" w:hint="cs"/>
          <w:color w:val="000000"/>
          <w:rtl/>
        </w:rPr>
        <w:t xml:space="preserve"> مسئول جمع‌آوری و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اعلام عمومی </w:t>
      </w:r>
      <w:r w:rsidR="0070784D">
        <w:rPr>
          <w:rFonts w:ascii="NanumGothic" w:eastAsia="Malgun Gothic" w:hAnsi="Malgun Gothic" w:hint="cs"/>
          <w:color w:val="000000"/>
          <w:rtl/>
        </w:rPr>
        <w:t>درآمدها</w:t>
      </w:r>
      <w:r w:rsidRPr="004A0E5E">
        <w:rPr>
          <w:rFonts w:ascii="NanumGothic" w:eastAsia="Malgun Gothic" w:hAnsi="Malgun Gothic" w:hint="cs"/>
          <w:color w:val="000000"/>
          <w:rtl/>
        </w:rPr>
        <w:t xml:space="preserve"> و دارایی‌ها که دارای اختیار، مهارت، ظرفیت و منابع کافی برای بررسی و درخواست اطلاعات از مقامات دولتی یا دیگر نهادهای دولتی یا خصوصی و همچنین بررسی شکایات مردم است.</w:t>
      </w:r>
    </w:p>
    <w:p w:rsidR="004A0E5E" w:rsidRPr="004A0E5E" w:rsidRDefault="004A0E5E" w:rsidP="0070784D">
      <w:pPr>
        <w:numPr>
          <w:ilvl w:val="2"/>
          <w:numId w:val="21"/>
        </w:numPr>
        <w:pBdr>
          <w:top w:val="single" w:sz="6" w:space="2" w:color="5B9BD5"/>
        </w:pBdr>
        <w:tabs>
          <w:tab w:val="num" w:pos="360"/>
        </w:tabs>
        <w:spacing w:before="120" w:after="0"/>
        <w:ind w:left="0" w:firstLine="0"/>
        <w:outlineLvl w:val="2"/>
        <w:rPr>
          <w:rFonts w:ascii="Calibri" w:eastAsia="Malgun Gothic" w:hAnsi="Calibri"/>
          <w:color w:val="1F4D78"/>
          <w:sz w:val="26"/>
          <w:szCs w:val="28"/>
          <w:rtl/>
        </w:rPr>
      </w:pPr>
      <w:bookmarkStart w:id="5" w:name="_Toc456628245"/>
      <w:r w:rsidRPr="004A0E5E">
        <w:rPr>
          <w:rFonts w:ascii="Calibri" w:eastAsia="Malgun Gothic" w:hAnsi="Calibri" w:hint="cs"/>
          <w:color w:val="1F4D78"/>
          <w:sz w:val="26"/>
          <w:szCs w:val="28"/>
          <w:rtl/>
        </w:rPr>
        <w:t xml:space="preserve">وضع مقرراتی برای مدیریت </w:t>
      </w:r>
      <w:r w:rsidR="0038548C">
        <w:rPr>
          <w:rFonts w:ascii="Calibri" w:eastAsia="Malgun Gothic" w:hAnsi="Calibri" w:hint="cs"/>
          <w:color w:val="1F4D78"/>
          <w:sz w:val="26"/>
          <w:szCs w:val="28"/>
          <w:rtl/>
        </w:rPr>
        <w:t>به‌کارگیری</w:t>
      </w:r>
      <w:r w:rsidRPr="004A0E5E">
        <w:rPr>
          <w:rFonts w:ascii="Calibri" w:eastAsia="Malgun Gothic" w:hAnsi="Calibri" w:hint="cs"/>
          <w:color w:val="1F4D78"/>
          <w:sz w:val="26"/>
          <w:szCs w:val="28"/>
          <w:rtl/>
        </w:rPr>
        <w:t xml:space="preserve"> مقامات در بخش خصوصی پس از خدمت در </w:t>
      </w:r>
      <w:r w:rsidR="0070784D">
        <w:rPr>
          <w:rFonts w:ascii="Calibri" w:eastAsia="Malgun Gothic" w:hAnsi="Calibri" w:hint="cs"/>
          <w:color w:val="1F4D78"/>
          <w:sz w:val="26"/>
          <w:szCs w:val="28"/>
          <w:rtl/>
        </w:rPr>
        <w:t>حاکمیت</w:t>
      </w:r>
      <w:r w:rsidRPr="004A0E5E">
        <w:rPr>
          <w:rFonts w:ascii="Calibri" w:eastAsia="Malgun Gothic" w:hAnsi="Calibri"/>
          <w:color w:val="1F4D78"/>
          <w:sz w:val="26"/>
          <w:szCs w:val="28"/>
          <w:vertAlign w:val="superscript"/>
          <w:rtl/>
        </w:rPr>
        <w:footnoteReference w:id="4"/>
      </w:r>
      <w:bookmarkEnd w:id="5"/>
    </w:p>
    <w:p w:rsidR="004A0E5E" w:rsidRPr="004A0E5E" w:rsidRDefault="004A0E5E" w:rsidP="004A0E5E">
      <w:pPr>
        <w:pBdr>
          <w:top w:val="dotted" w:sz="6" w:space="2" w:color="5B9BD5"/>
        </w:pBdr>
        <w:spacing w:before="200" w:after="0"/>
        <w:outlineLvl w:val="3"/>
        <w:rPr>
          <w:rFonts w:ascii="Calibri" w:eastAsia="Malgun Gothic" w:hAnsi="Calibri"/>
          <w:color w:val="2E74B5"/>
          <w:spacing w:val="10"/>
          <w:sz w:val="20"/>
        </w:rPr>
      </w:pPr>
      <w:r w:rsidRPr="004A0E5E">
        <w:rPr>
          <w:rFonts w:ascii="Calibri" w:eastAsia="Malgun Gothic" w:hAnsi="Calibri" w:hint="cs"/>
          <w:color w:val="2E74B5"/>
          <w:spacing w:val="10"/>
          <w:sz w:val="20"/>
          <w:rtl/>
        </w:rPr>
        <w:t>توضیحات</w:t>
      </w:r>
    </w:p>
    <w:p w:rsidR="004A0E5E" w:rsidRPr="004A0E5E" w:rsidRDefault="004A0E5E" w:rsidP="004A0E5E">
      <w:pPr>
        <w:spacing w:after="200"/>
        <w:rPr>
          <w:rFonts w:ascii="Calibri" w:eastAsia="Malgun Gothic" w:hAnsi="Calibri"/>
          <w:rtl/>
        </w:rPr>
      </w:pPr>
      <w:r w:rsidRPr="004A0E5E">
        <w:rPr>
          <w:rFonts w:ascii="Calibri" w:eastAsia="Malgun Gothic" w:hAnsi="Calibri" w:hint="cs"/>
          <w:rtl/>
        </w:rPr>
        <w:t xml:space="preserve">لازم است در فرآیند سیاست‌گذاری عمومی، سیاست‌گذاران و قانون‌گذاران مستقل از یکدیگر عمل کنند. وعده‌ی اشتغال در بخش خصوصی پس از فراغت از بخش عمومی مثل عضویت در </w:t>
      </w:r>
      <w:r w:rsidR="0038548C">
        <w:rPr>
          <w:rFonts w:ascii="Calibri" w:eastAsia="Malgun Gothic" w:hAnsi="Calibri" w:hint="cs"/>
          <w:rtl/>
        </w:rPr>
        <w:t>هیئت‌مدیره</w:t>
      </w:r>
      <w:r w:rsidRPr="004A0E5E">
        <w:rPr>
          <w:rFonts w:ascii="Calibri" w:eastAsia="Malgun Gothic" w:hAnsi="Calibri" w:hint="cs"/>
          <w:rtl/>
        </w:rPr>
        <w:t xml:space="preserve"> یا دیگر منابع درآمدی</w:t>
      </w:r>
      <w:r w:rsidR="006E4A35">
        <w:rPr>
          <w:rFonts w:ascii="Calibri" w:eastAsia="Malgun Gothic" w:hAnsi="Calibri" w:hint="cs"/>
          <w:rtl/>
        </w:rPr>
        <w:t xml:space="preserve"> پیشنهادی</w:t>
      </w:r>
      <w:r w:rsidRPr="004A0E5E">
        <w:rPr>
          <w:rFonts w:ascii="Calibri" w:eastAsia="Malgun Gothic" w:hAnsi="Calibri" w:hint="cs"/>
          <w:rtl/>
        </w:rPr>
        <w:t xml:space="preserve"> می‌توانند </w:t>
      </w:r>
      <w:r w:rsidR="0038548C">
        <w:rPr>
          <w:rFonts w:ascii="Calibri" w:eastAsia="Malgun Gothic" w:hAnsi="Calibri" w:hint="cs"/>
          <w:rtl/>
        </w:rPr>
        <w:t>به‌صورت</w:t>
      </w:r>
      <w:r w:rsidRPr="004A0E5E">
        <w:rPr>
          <w:rFonts w:ascii="Calibri" w:eastAsia="Malgun Gothic" w:hAnsi="Calibri" w:hint="cs"/>
          <w:rtl/>
        </w:rPr>
        <w:t xml:space="preserve"> بالقوه باعث </w:t>
      </w:r>
      <w:r w:rsidR="0038548C">
        <w:rPr>
          <w:rFonts w:ascii="Calibri" w:eastAsia="Malgun Gothic" w:hAnsi="Calibri" w:hint="cs"/>
          <w:rtl/>
        </w:rPr>
        <w:t>تأثیر</w:t>
      </w:r>
      <w:r w:rsidRPr="004A0E5E">
        <w:rPr>
          <w:rFonts w:ascii="Calibri" w:eastAsia="Malgun Gothic" w:hAnsi="Calibri" w:hint="cs"/>
          <w:rtl/>
        </w:rPr>
        <w:t xml:space="preserve"> بر تصمیم مقامات</w:t>
      </w:r>
      <w:r w:rsidR="006E4A35">
        <w:rPr>
          <w:rFonts w:ascii="Calibri" w:eastAsia="Malgun Gothic" w:hAnsi="Calibri" w:hint="cs"/>
          <w:rtl/>
        </w:rPr>
        <w:t xml:space="preserve"> حاکمیتی</w:t>
      </w:r>
      <w:r w:rsidRPr="004A0E5E">
        <w:rPr>
          <w:rFonts w:ascii="Calibri" w:eastAsia="Malgun Gothic" w:hAnsi="Calibri" w:hint="cs"/>
          <w:rtl/>
        </w:rPr>
        <w:t xml:space="preserve"> شوند. قوانین «درب‌های چرخان» بدین منظور </w:t>
      </w:r>
      <w:r w:rsidR="0038548C">
        <w:rPr>
          <w:rFonts w:ascii="Calibri" w:eastAsia="Malgun Gothic" w:hAnsi="Calibri" w:hint="cs"/>
          <w:rtl/>
        </w:rPr>
        <w:t>تدوین‌شده‌اند</w:t>
      </w:r>
      <w:r w:rsidRPr="004A0E5E">
        <w:rPr>
          <w:rFonts w:ascii="Calibri" w:eastAsia="Malgun Gothic" w:hAnsi="Calibri" w:hint="cs"/>
          <w:rtl/>
        </w:rPr>
        <w:t xml:space="preserve"> که از تعارض منافع ناشی از </w:t>
      </w:r>
      <w:r w:rsidRPr="004A0E5E">
        <w:rPr>
          <w:rFonts w:ascii="Calibri" w:eastAsia="Malgun Gothic" w:hAnsi="Calibri" w:hint="cs"/>
          <w:rtl/>
        </w:rPr>
        <w:lastRenderedPageBreak/>
        <w:t xml:space="preserve">رفت‌وآمد مقامات دولتی به بخش خصوصی و بالعکس جلوگیری کنند. این دسته از قوانین ابزارهای بسیار مهمی برای حفظ درستکاری و صداقت و اعتماد عمومی در دولت‌ها هستند. (شفافیت </w:t>
      </w:r>
      <w:r w:rsidR="0038548C">
        <w:rPr>
          <w:rFonts w:ascii="Calibri" w:eastAsia="Malgun Gothic" w:hAnsi="Calibri" w:hint="cs"/>
          <w:rtl/>
        </w:rPr>
        <w:t>بین‌الملل</w:t>
      </w:r>
      <w:r w:rsidRPr="004A0E5E">
        <w:rPr>
          <w:rFonts w:ascii="Calibri" w:eastAsia="Malgun Gothic" w:hAnsi="Calibri" w:hint="cs"/>
          <w:rtl/>
        </w:rPr>
        <w:t>،2011).</w:t>
      </w:r>
    </w:p>
    <w:p w:rsidR="004A0E5E" w:rsidRPr="004A0E5E" w:rsidRDefault="004A0E5E" w:rsidP="00676C02">
      <w:pPr>
        <w:spacing w:after="200"/>
        <w:rPr>
          <w:rFonts w:ascii="Calibri" w:eastAsia="Malgun Gothic" w:hAnsi="Calibri"/>
          <w:rtl/>
        </w:rPr>
      </w:pPr>
      <w:r w:rsidRPr="004A0E5E">
        <w:rPr>
          <w:rFonts w:ascii="Calibri" w:eastAsia="Malgun Gothic" w:hAnsi="Calibri" w:hint="cs"/>
          <w:rtl/>
        </w:rPr>
        <w:t>هدف قوانین درب‌های چرخان، ج</w:t>
      </w:r>
      <w:r w:rsidR="00676C02">
        <w:rPr>
          <w:rFonts w:ascii="Calibri" w:eastAsia="Malgun Gothic" w:hAnsi="Calibri" w:hint="cs"/>
          <w:rtl/>
        </w:rPr>
        <w:t xml:space="preserve">لوگیری از تعارض منافع مقامات </w:t>
      </w:r>
      <w:r w:rsidRPr="004A0E5E">
        <w:rPr>
          <w:rFonts w:ascii="Calibri" w:eastAsia="Malgun Gothic" w:hAnsi="Calibri" w:hint="cs"/>
          <w:rtl/>
        </w:rPr>
        <w:t>قبل،</w:t>
      </w:r>
      <w:r w:rsidR="00676C02">
        <w:rPr>
          <w:rFonts w:ascii="Calibri" w:eastAsia="Malgun Gothic" w:hAnsi="Calibri" w:hint="cs"/>
          <w:rtl/>
        </w:rPr>
        <w:t xml:space="preserve"> حین و بعد از خدمت در</w:t>
      </w:r>
      <w:r w:rsidRPr="004A0E5E">
        <w:rPr>
          <w:rFonts w:ascii="Calibri" w:eastAsia="Malgun Gothic" w:hAnsi="Calibri" w:hint="cs"/>
          <w:rtl/>
        </w:rPr>
        <w:t xml:space="preserve"> دولت با استفاده از ایجاد حائل زمان</w:t>
      </w:r>
      <w:r w:rsidR="00676C02">
        <w:rPr>
          <w:rFonts w:ascii="Calibri" w:eastAsia="Malgun Gothic" w:hAnsi="Calibri" w:hint="cs"/>
          <w:rtl/>
        </w:rPr>
        <w:t>ی</w:t>
      </w:r>
      <w:r w:rsidRPr="004A0E5E">
        <w:rPr>
          <w:rFonts w:ascii="Calibri" w:eastAsia="Malgun Gothic" w:hAnsi="Calibri" w:hint="cs"/>
          <w:rtl/>
        </w:rPr>
        <w:t xml:space="preserve"> (یک دوره زمانی مشخص که جا‌به‌جایی‌های کارمندان بین دو بخش خصوصی و دولتی را تنظیم و مدیریت می‌کند) است. </w:t>
      </w:r>
      <w:r w:rsidR="00676C02">
        <w:rPr>
          <w:rFonts w:ascii="Calibri" w:eastAsia="Malgun Gothic" w:hAnsi="Calibri" w:hint="cs"/>
          <w:rtl/>
        </w:rPr>
        <w:t>چیزی که زمان</w:t>
      </w:r>
      <w:r w:rsidR="00676C02" w:rsidRPr="004A0E5E">
        <w:rPr>
          <w:rFonts w:ascii="Calibri" w:eastAsia="Malgun Gothic" w:hAnsi="Calibri" w:hint="cs"/>
          <w:rtl/>
        </w:rPr>
        <w:t xml:space="preserve"> جا‌به‌جایی‌های کارمندان بین دو بخش خصوصی و دولتی را تنظیم و مدیریت می‌کند</w:t>
      </w:r>
      <w:r w:rsidR="00676C02">
        <w:rPr>
          <w:rFonts w:ascii="Calibri" w:eastAsia="Malgun Gothic" w:hAnsi="Calibri" w:hint="cs"/>
          <w:rtl/>
        </w:rPr>
        <w:t>. ا</w:t>
      </w:r>
      <w:r w:rsidRPr="004A0E5E">
        <w:rPr>
          <w:rFonts w:ascii="Calibri" w:eastAsia="Malgun Gothic" w:hAnsi="Calibri" w:hint="cs"/>
          <w:rtl/>
        </w:rPr>
        <w:t xml:space="preserve">ین قوانین عامل بازدارنده‌ی مهمی </w:t>
      </w:r>
      <w:r w:rsidR="0038548C">
        <w:rPr>
          <w:rFonts w:ascii="Calibri" w:eastAsia="Malgun Gothic" w:hAnsi="Calibri" w:hint="cs"/>
          <w:rtl/>
        </w:rPr>
        <w:t>در</w:t>
      </w:r>
      <w:r w:rsidR="0038548C">
        <w:rPr>
          <w:rFonts w:ascii="Calibri" w:eastAsia="Malgun Gothic" w:hAnsi="Calibri"/>
          <w:rtl/>
        </w:rPr>
        <w:t xml:space="preserve"> </w:t>
      </w:r>
      <w:r w:rsidR="0038548C">
        <w:rPr>
          <w:rFonts w:ascii="Calibri" w:eastAsia="Malgun Gothic" w:hAnsi="Calibri" w:hint="cs"/>
          <w:rtl/>
        </w:rPr>
        <w:t>برابر</w:t>
      </w:r>
      <w:r w:rsidR="00676C02">
        <w:rPr>
          <w:rFonts w:ascii="Calibri" w:eastAsia="Malgun Gothic" w:hAnsi="Calibri" w:hint="cs"/>
          <w:rtl/>
        </w:rPr>
        <w:t xml:space="preserve"> تلاش برای خرید مقامات دولتی</w:t>
      </w:r>
      <w:r w:rsidRPr="004A0E5E">
        <w:rPr>
          <w:rFonts w:ascii="Calibri" w:eastAsia="Malgun Gothic" w:hAnsi="Calibri" w:hint="cs"/>
          <w:rtl/>
        </w:rPr>
        <w:t xml:space="preserve"> هستند و همچنین صداقت و درستکاری نهادها و مقامات را در سطح وسیع‌تری حفظ می‌کنند.</w:t>
      </w:r>
    </w:p>
    <w:p w:rsidR="004A0E5E" w:rsidRPr="004A0E5E" w:rsidRDefault="004A0E5E" w:rsidP="004A0E5E">
      <w:pPr>
        <w:pBdr>
          <w:top w:val="dotted" w:sz="6" w:space="2" w:color="5B9BD5"/>
        </w:pBdr>
        <w:spacing w:before="200" w:after="0"/>
        <w:outlineLvl w:val="3"/>
        <w:rPr>
          <w:rFonts w:ascii="Calibri" w:eastAsia="Malgun Gothic" w:hAnsi="Calibri"/>
          <w:color w:val="2E74B5"/>
          <w:spacing w:val="10"/>
          <w:sz w:val="20"/>
          <w:rtl/>
        </w:rPr>
      </w:pPr>
      <w:r w:rsidRPr="004A0E5E">
        <w:rPr>
          <w:rFonts w:ascii="Calibri" w:eastAsia="Malgun Gothic" w:hAnsi="Calibri" w:hint="cs"/>
          <w:color w:val="2E74B5"/>
          <w:spacing w:val="10"/>
          <w:sz w:val="20"/>
          <w:rtl/>
        </w:rPr>
        <w:t>توصیه‌ها</w:t>
      </w:r>
    </w:p>
    <w:p w:rsidR="004A0E5E" w:rsidRPr="004A0E5E" w:rsidRDefault="004A0E5E" w:rsidP="004A0E5E">
      <w:pPr>
        <w:numPr>
          <w:ilvl w:val="0"/>
          <w:numId w:val="28"/>
        </w:numPr>
        <w:spacing w:after="200"/>
        <w:contextualSpacing/>
        <w:rPr>
          <w:rFonts w:ascii="Calibri" w:eastAsia="Malgun Gothic" w:hAnsi="Calibri"/>
          <w:rtl/>
        </w:rPr>
      </w:pPr>
      <w:r w:rsidRPr="004A0E5E">
        <w:rPr>
          <w:rFonts w:ascii="Calibri" w:eastAsia="Malgun Gothic" w:hAnsi="Calibri" w:hint="cs"/>
          <w:rtl/>
        </w:rPr>
        <w:t xml:space="preserve">مقررات </w:t>
      </w:r>
      <w:r w:rsidR="0038548C">
        <w:rPr>
          <w:rFonts w:ascii="Calibri" w:eastAsia="Malgun Gothic" w:hAnsi="Calibri" w:hint="cs"/>
          <w:rtl/>
        </w:rPr>
        <w:t>محدودکننده‌ی</w:t>
      </w:r>
      <w:r w:rsidRPr="004A0E5E">
        <w:rPr>
          <w:rFonts w:ascii="Calibri" w:eastAsia="Malgun Gothic" w:hAnsi="Calibri" w:hint="cs"/>
          <w:rtl/>
        </w:rPr>
        <w:t xml:space="preserve"> اشتغال در بخش خصوصی بعد از خدمت در دولت، باید تمامی کارمندان دولت در تمامی بخش‌های آن را در </w:t>
      </w:r>
      <w:r w:rsidR="0038548C">
        <w:rPr>
          <w:rFonts w:ascii="Calibri" w:eastAsia="Malgun Gothic" w:hAnsi="Calibri" w:hint="cs"/>
          <w:rtl/>
        </w:rPr>
        <w:t>بربگیرد</w:t>
      </w:r>
      <w:r w:rsidRPr="004A0E5E">
        <w:rPr>
          <w:rFonts w:ascii="Calibri" w:eastAsia="Malgun Gothic" w:hAnsi="Calibri" w:hint="cs"/>
          <w:rtl/>
        </w:rPr>
        <w:t>.</w:t>
      </w:r>
    </w:p>
    <w:p w:rsidR="004A0E5E" w:rsidRPr="004A0E5E" w:rsidRDefault="004A0E5E" w:rsidP="00676C02">
      <w:pPr>
        <w:numPr>
          <w:ilvl w:val="0"/>
          <w:numId w:val="28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 xml:space="preserve">مقررات باید انواع فرصت‌های شغلی بعد از خدمت در دولت که منجر به تعارض منافع می‌شوند را </w:t>
      </w:r>
      <w:r w:rsidR="0038548C">
        <w:rPr>
          <w:rFonts w:ascii="Calibri" w:eastAsia="Malgun Gothic" w:hAnsi="Calibri" w:hint="cs"/>
          <w:rtl/>
        </w:rPr>
        <w:t>به‌صراحت</w:t>
      </w:r>
      <w:r w:rsidRPr="004A0E5E">
        <w:rPr>
          <w:rFonts w:ascii="Calibri" w:eastAsia="Malgun Gothic" w:hAnsi="Calibri" w:hint="cs"/>
          <w:rtl/>
        </w:rPr>
        <w:t xml:space="preserve"> تعریف ک</w:t>
      </w:r>
      <w:r w:rsidR="00676C02">
        <w:rPr>
          <w:rFonts w:ascii="Calibri" w:eastAsia="Malgun Gothic" w:hAnsi="Calibri" w:hint="cs"/>
          <w:rtl/>
        </w:rPr>
        <w:t>ند</w:t>
      </w:r>
      <w:r w:rsidRPr="004A0E5E">
        <w:rPr>
          <w:rFonts w:ascii="Calibri" w:eastAsia="Malgun Gothic" w:hAnsi="Calibri" w:hint="cs"/>
          <w:rtl/>
        </w:rPr>
        <w:t xml:space="preserve"> تا امکان کنترل مزایا توسط مقررات و سازوکارها فراهم شود. بدیهی است جایگاه‌هایی که مقامات دولتی پس از اتمام مدت خدمت بر عهده می‌گیرند ولی </w:t>
      </w:r>
      <w:r w:rsidR="0038548C">
        <w:rPr>
          <w:rFonts w:ascii="Calibri" w:eastAsia="Malgun Gothic" w:hAnsi="Calibri" w:hint="cs"/>
          <w:rtl/>
        </w:rPr>
        <w:t>هیچ‌گونه</w:t>
      </w:r>
      <w:r w:rsidRPr="004A0E5E">
        <w:rPr>
          <w:rFonts w:ascii="Calibri" w:eastAsia="Malgun Gothic" w:hAnsi="Calibri" w:hint="cs"/>
          <w:rtl/>
        </w:rPr>
        <w:t xml:space="preserve"> تعارض منافی با جایگاه قبلی آن‌ها ندارد، نباید مشمول این قوانین و سازوکارها باشد.</w:t>
      </w:r>
    </w:p>
    <w:p w:rsidR="004A0E5E" w:rsidRPr="004A0E5E" w:rsidRDefault="004A0E5E" w:rsidP="004A0E5E">
      <w:pPr>
        <w:numPr>
          <w:ilvl w:val="0"/>
          <w:numId w:val="28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 xml:space="preserve">مقررات باید حاوی دوره‌های وقفه </w:t>
      </w:r>
      <w:r w:rsidR="0038548C">
        <w:rPr>
          <w:rFonts w:ascii="Calibri" w:eastAsia="Malgun Gothic" w:hAnsi="Calibri" w:hint="cs"/>
          <w:rtl/>
        </w:rPr>
        <w:t>تعریف‌شده</w:t>
      </w:r>
      <w:r w:rsidRPr="004A0E5E">
        <w:rPr>
          <w:rFonts w:ascii="Calibri" w:eastAsia="Malgun Gothic" w:hAnsi="Calibri" w:hint="cs"/>
          <w:rtl/>
        </w:rPr>
        <w:t xml:space="preserve"> (</w:t>
      </w:r>
      <w:r w:rsidR="0038548C">
        <w:rPr>
          <w:rFonts w:ascii="Calibri" w:eastAsia="Malgun Gothic" w:hAnsi="Calibri" w:hint="cs"/>
          <w:rtl/>
        </w:rPr>
        <w:t>به‌منظور</w:t>
      </w:r>
      <w:r w:rsidRPr="004A0E5E">
        <w:rPr>
          <w:rFonts w:ascii="Calibri" w:eastAsia="Malgun Gothic" w:hAnsi="Calibri" w:hint="cs"/>
          <w:rtl/>
        </w:rPr>
        <w:t xml:space="preserve"> فاصله انداختن) و مناسب باشند تا کارمندان بخش دولتی نتوانند برای بخش خصوصی </w:t>
      </w:r>
      <w:r w:rsidR="0038548C">
        <w:rPr>
          <w:rFonts w:ascii="Calibri" w:eastAsia="Malgun Gothic" w:hAnsi="Calibri" w:hint="cs"/>
          <w:rtl/>
        </w:rPr>
        <w:t>لابی‌گری</w:t>
      </w:r>
      <w:r w:rsidRPr="004A0E5E">
        <w:rPr>
          <w:rFonts w:ascii="Calibri" w:eastAsia="Malgun Gothic" w:hAnsi="Calibri" w:hint="cs"/>
          <w:rtl/>
        </w:rPr>
        <w:t xml:space="preserve"> کنند و یا بر همکاران دولتی سابق خود تأثیر بگذارند.</w:t>
      </w:r>
    </w:p>
    <w:p w:rsidR="004A0E5E" w:rsidRPr="004A0E5E" w:rsidRDefault="004A0E5E" w:rsidP="004A0E5E">
      <w:pPr>
        <w:numPr>
          <w:ilvl w:val="0"/>
          <w:numId w:val="28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 xml:space="preserve">طول مدت این وقفه باید بر اساس </w:t>
      </w:r>
      <w:r w:rsidR="0038548C">
        <w:rPr>
          <w:rFonts w:ascii="Calibri" w:eastAsia="Malgun Gothic" w:hAnsi="Calibri" w:hint="cs"/>
          <w:rtl/>
        </w:rPr>
        <w:t>ارشد بودن</w:t>
      </w:r>
      <w:r w:rsidRPr="004A0E5E">
        <w:rPr>
          <w:rFonts w:ascii="Calibri" w:eastAsia="Malgun Gothic" w:hAnsi="Calibri" w:hint="cs"/>
          <w:rtl/>
        </w:rPr>
        <w:t xml:space="preserve"> و مقام کارکنان بخش دولتی متغیر باشد.</w:t>
      </w:r>
    </w:p>
    <w:p w:rsidR="004A0E5E" w:rsidRPr="004A0E5E" w:rsidRDefault="004A0E5E" w:rsidP="00676C02">
      <w:pPr>
        <w:numPr>
          <w:ilvl w:val="0"/>
          <w:numId w:val="28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>توجه به تدوین محدودیت‌های معقول</w:t>
      </w:r>
      <w:r w:rsidR="00676C02">
        <w:rPr>
          <w:rFonts w:ascii="Calibri" w:eastAsia="Malgun Gothic" w:hAnsi="Calibri" w:hint="cs"/>
          <w:rtl/>
        </w:rPr>
        <w:t xml:space="preserve"> و نه </w:t>
      </w:r>
      <w:r w:rsidR="0038548C">
        <w:rPr>
          <w:rFonts w:ascii="Calibri" w:eastAsia="Malgun Gothic" w:hAnsi="Calibri" w:hint="cs"/>
          <w:rtl/>
        </w:rPr>
        <w:t>بیش‌ازحد</w:t>
      </w:r>
      <w:r w:rsidR="00676C02">
        <w:rPr>
          <w:rFonts w:ascii="Calibri" w:eastAsia="Malgun Gothic" w:hAnsi="Calibri" w:hint="cs"/>
          <w:rtl/>
        </w:rPr>
        <w:t>،</w:t>
      </w:r>
      <w:r w:rsidRPr="004A0E5E">
        <w:rPr>
          <w:rFonts w:ascii="Calibri" w:eastAsia="Malgun Gothic" w:hAnsi="Calibri" w:hint="cs"/>
          <w:rtl/>
        </w:rPr>
        <w:t xml:space="preserve"> </w:t>
      </w:r>
      <w:r w:rsidR="00676C02">
        <w:rPr>
          <w:rFonts w:ascii="Calibri" w:eastAsia="Malgun Gothic" w:hAnsi="Calibri" w:hint="cs"/>
          <w:rtl/>
        </w:rPr>
        <w:t>برای</w:t>
      </w:r>
      <w:r w:rsidRPr="004A0E5E">
        <w:rPr>
          <w:rFonts w:ascii="Calibri" w:eastAsia="Malgun Gothic" w:hAnsi="Calibri" w:hint="cs"/>
          <w:rtl/>
        </w:rPr>
        <w:t xml:space="preserve"> مأموریت‌هایی که </w:t>
      </w:r>
      <w:r w:rsidR="00676C02">
        <w:rPr>
          <w:rFonts w:ascii="Calibri" w:eastAsia="Malgun Gothic" w:hAnsi="Calibri" w:hint="cs"/>
          <w:rtl/>
        </w:rPr>
        <w:t>موجب انتقال</w:t>
      </w:r>
      <w:r w:rsidRPr="004A0E5E">
        <w:rPr>
          <w:rFonts w:ascii="Calibri" w:eastAsia="Malgun Gothic" w:hAnsi="Calibri" w:hint="cs"/>
          <w:rtl/>
        </w:rPr>
        <w:t xml:space="preserve"> دانش‌های ارزشمند و مهارت‌ها از بخش‌های دیگر به بخش دولتی </w:t>
      </w:r>
      <w:r w:rsidR="00676C02">
        <w:rPr>
          <w:rFonts w:ascii="Calibri" w:eastAsia="Malgun Gothic" w:hAnsi="Calibri" w:hint="cs"/>
          <w:rtl/>
        </w:rPr>
        <w:t>می‌شوند.</w:t>
      </w:r>
    </w:p>
    <w:p w:rsidR="004A0E5E" w:rsidRPr="004A0E5E" w:rsidRDefault="004A0E5E" w:rsidP="004A0E5E">
      <w:pPr>
        <w:numPr>
          <w:ilvl w:val="0"/>
          <w:numId w:val="28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>ل</w:t>
      </w:r>
      <w:r w:rsidR="00676C02">
        <w:rPr>
          <w:rFonts w:ascii="Calibri" w:eastAsia="Malgun Gothic" w:hAnsi="Calibri" w:hint="cs"/>
          <w:rtl/>
        </w:rPr>
        <w:t xml:space="preserve">حاظ کردن محدودیت‌های معقول بر </w:t>
      </w:r>
      <w:r w:rsidR="0038548C">
        <w:rPr>
          <w:rFonts w:ascii="Calibri" w:eastAsia="Malgun Gothic" w:hAnsi="Calibri" w:hint="cs"/>
          <w:rtl/>
        </w:rPr>
        <w:t>مأموریت‌ها</w:t>
      </w:r>
      <w:r w:rsidRPr="004A0E5E">
        <w:rPr>
          <w:rFonts w:ascii="Calibri" w:eastAsia="Malgun Gothic" w:hAnsi="Calibri" w:hint="cs"/>
          <w:rtl/>
        </w:rPr>
        <w:t xml:space="preserve"> یا دیگر فعالیت‌های کارمندان بخش خصوصی در نهادهای دولتی که اطلاعات محرمانه و یا مزیت‌های ناعادلانه‌ای را برای توسعه منافع سازمان خصوصی متبوعشان در اختیار آن‌ها می‌گذارد.</w:t>
      </w:r>
    </w:p>
    <w:p w:rsidR="004A0E5E" w:rsidRPr="004A0E5E" w:rsidRDefault="004A0E5E" w:rsidP="00942CB5">
      <w:pPr>
        <w:numPr>
          <w:ilvl w:val="0"/>
          <w:numId w:val="28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>مقررات</w:t>
      </w:r>
      <w:r w:rsidR="00942CB5">
        <w:rPr>
          <w:rFonts w:ascii="Calibri" w:eastAsia="Malgun Gothic" w:hAnsi="Calibri" w:hint="cs"/>
          <w:rtl/>
        </w:rPr>
        <w:t xml:space="preserve"> درب‌های چرخان</w:t>
      </w:r>
      <w:r w:rsidRPr="004A0E5E">
        <w:rPr>
          <w:rFonts w:ascii="Calibri" w:eastAsia="Malgun Gothic" w:hAnsi="Calibri" w:hint="cs"/>
          <w:rtl/>
        </w:rPr>
        <w:t xml:space="preserve"> باید </w:t>
      </w:r>
      <w:r w:rsidR="00676C02">
        <w:rPr>
          <w:rFonts w:ascii="Calibri" w:eastAsia="Malgun Gothic" w:hAnsi="Calibri" w:hint="cs"/>
          <w:rtl/>
        </w:rPr>
        <w:t xml:space="preserve">هم </w:t>
      </w:r>
      <w:r w:rsidRPr="004A0E5E">
        <w:rPr>
          <w:rFonts w:ascii="Calibri" w:eastAsia="Malgun Gothic" w:hAnsi="Calibri" w:hint="cs"/>
          <w:rtl/>
        </w:rPr>
        <w:t>در قوانین اولیه و</w:t>
      </w:r>
      <w:r w:rsidR="00676C02">
        <w:rPr>
          <w:rFonts w:ascii="Calibri" w:eastAsia="Malgun Gothic" w:hAnsi="Calibri" w:hint="cs"/>
          <w:rtl/>
        </w:rPr>
        <w:t xml:space="preserve"> هم در قوانین</w:t>
      </w:r>
      <w:r w:rsidRPr="004A0E5E">
        <w:rPr>
          <w:rFonts w:ascii="Calibri" w:eastAsia="Malgun Gothic" w:hAnsi="Calibri" w:hint="cs"/>
          <w:rtl/>
        </w:rPr>
        <w:t xml:space="preserve"> ثانویه </w:t>
      </w:r>
      <w:r w:rsidR="00676C02">
        <w:rPr>
          <w:rFonts w:ascii="Calibri" w:eastAsia="Malgun Gothic" w:hAnsi="Calibri" w:hint="cs"/>
          <w:rtl/>
        </w:rPr>
        <w:t>ذکر شوند</w:t>
      </w:r>
      <w:r w:rsidRPr="004A0E5E">
        <w:rPr>
          <w:rFonts w:ascii="Calibri" w:eastAsia="Malgun Gothic" w:hAnsi="Calibri" w:hint="cs"/>
          <w:rtl/>
        </w:rPr>
        <w:t xml:space="preserve"> تا با کارآیی لازم عمل بازدارندگی را انجام دهند.</w:t>
      </w:r>
    </w:p>
    <w:p w:rsidR="004A0E5E" w:rsidRPr="004A0E5E" w:rsidRDefault="00676C02" w:rsidP="00676C02">
      <w:pPr>
        <w:numPr>
          <w:ilvl w:val="1"/>
          <w:numId w:val="28"/>
        </w:numPr>
        <w:spacing w:after="200"/>
        <w:contextualSpacing/>
        <w:rPr>
          <w:rFonts w:ascii="Calibri" w:eastAsia="Malgun Gothic" w:hAnsi="Calibri"/>
        </w:rPr>
      </w:pPr>
      <w:r>
        <w:rPr>
          <w:rFonts w:ascii="Calibri" w:eastAsia="Malgun Gothic" w:hAnsi="Calibri" w:hint="cs"/>
          <w:rtl/>
        </w:rPr>
        <w:t xml:space="preserve">قوانین اولیه مثل </w:t>
      </w:r>
      <w:r w:rsidRPr="004A0E5E">
        <w:rPr>
          <w:rFonts w:ascii="Calibri" w:eastAsia="Malgun Gothic" w:hAnsi="Calibri" w:hint="cs"/>
          <w:rtl/>
        </w:rPr>
        <w:t>قوانین ویژه‌ی درستکاری و یا قوانین عمومی خدمات مدنی</w:t>
      </w:r>
      <w:r>
        <w:rPr>
          <w:rFonts w:ascii="Calibri" w:eastAsia="Malgun Gothic" w:hAnsi="Calibri" w:hint="cs"/>
          <w:rtl/>
        </w:rPr>
        <w:t xml:space="preserve"> </w:t>
      </w:r>
      <w:r w:rsidR="0038548C">
        <w:rPr>
          <w:rFonts w:ascii="Calibri" w:eastAsia="Malgun Gothic" w:hAnsi="Calibri" w:hint="cs"/>
          <w:rtl/>
        </w:rPr>
        <w:t>به‌طور</w:t>
      </w:r>
      <w:r>
        <w:rPr>
          <w:rFonts w:ascii="Calibri" w:eastAsia="Malgun Gothic" w:hAnsi="Calibri" w:hint="cs"/>
          <w:rtl/>
        </w:rPr>
        <w:t xml:space="preserve"> مستقیم موجب </w:t>
      </w:r>
      <w:r w:rsidR="004A0E5E" w:rsidRPr="004A0E5E">
        <w:rPr>
          <w:rFonts w:ascii="Calibri" w:eastAsia="Malgun Gothic" w:hAnsi="Calibri" w:hint="cs"/>
          <w:rtl/>
        </w:rPr>
        <w:t>محدود</w:t>
      </w:r>
      <w:r>
        <w:rPr>
          <w:rFonts w:ascii="Calibri" w:eastAsia="Malgun Gothic" w:hAnsi="Calibri" w:hint="cs"/>
          <w:rtl/>
        </w:rPr>
        <w:t>یت در اشتغال به کارهای خاصی بعد از خدمت در دولت می‌َشوند.</w:t>
      </w:r>
    </w:p>
    <w:p w:rsidR="004A0E5E" w:rsidRPr="00470D3F" w:rsidRDefault="004A0E5E" w:rsidP="00470D3F">
      <w:pPr>
        <w:numPr>
          <w:ilvl w:val="1"/>
          <w:numId w:val="28"/>
        </w:numPr>
        <w:spacing w:after="200"/>
        <w:contextualSpacing/>
        <w:rPr>
          <w:rFonts w:ascii="Calibri" w:eastAsia="Malgun Gothic" w:hAnsi="Calibri"/>
        </w:rPr>
      </w:pPr>
      <w:r w:rsidRPr="00470D3F">
        <w:rPr>
          <w:rFonts w:ascii="Calibri" w:eastAsia="Malgun Gothic" w:hAnsi="Calibri" w:hint="cs"/>
          <w:rtl/>
        </w:rPr>
        <w:t>قوانین ثانویه در چارچوب قوانین او</w:t>
      </w:r>
      <w:r w:rsidR="00470D3F" w:rsidRPr="00470D3F">
        <w:rPr>
          <w:rFonts w:ascii="Calibri" w:eastAsia="Malgun Gothic" w:hAnsi="Calibri" w:hint="cs"/>
          <w:rtl/>
        </w:rPr>
        <w:t xml:space="preserve">لیه </w:t>
      </w:r>
      <w:r w:rsidR="0038548C">
        <w:rPr>
          <w:rFonts w:ascii="Calibri" w:eastAsia="Malgun Gothic" w:hAnsi="Calibri" w:hint="cs"/>
          <w:rtl/>
        </w:rPr>
        <w:t>تعریف‌شده</w:t>
      </w:r>
      <w:r w:rsidR="00470D3F" w:rsidRPr="00470D3F">
        <w:rPr>
          <w:rFonts w:ascii="Calibri" w:eastAsia="Malgun Gothic" w:hAnsi="Calibri" w:hint="cs"/>
          <w:rtl/>
        </w:rPr>
        <w:t xml:space="preserve"> و رسمیت می‌یابند. عدم ورود افراد به قراردادهای دولتی، پس از فراغت از مسئولیت، مثالی از قوانین ثانویه است.</w:t>
      </w:r>
    </w:p>
    <w:p w:rsidR="004A0E5E" w:rsidRPr="004A0E5E" w:rsidRDefault="004A0E5E" w:rsidP="008061B0">
      <w:pPr>
        <w:numPr>
          <w:ilvl w:val="1"/>
          <w:numId w:val="28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 xml:space="preserve">همچنین لازم است به </w:t>
      </w:r>
      <w:r w:rsidR="008061B0">
        <w:rPr>
          <w:rFonts w:ascii="Calibri" w:eastAsia="Malgun Gothic" w:hAnsi="Calibri" w:hint="cs"/>
          <w:rtl/>
        </w:rPr>
        <w:t>چارچوب‌های</w:t>
      </w:r>
      <w:r w:rsidRPr="004A0E5E">
        <w:rPr>
          <w:rFonts w:ascii="Calibri" w:eastAsia="Malgun Gothic" w:hAnsi="Calibri" w:hint="cs"/>
          <w:rtl/>
        </w:rPr>
        <w:t xml:space="preserve"> </w:t>
      </w:r>
      <w:r w:rsidR="008061B0">
        <w:rPr>
          <w:rFonts w:ascii="Calibri" w:eastAsia="Malgun Gothic" w:hAnsi="Calibri" w:hint="cs"/>
          <w:rtl/>
        </w:rPr>
        <w:t xml:space="preserve">اخلاقی و رفتاری </w:t>
      </w:r>
      <w:r w:rsidR="0038548C">
        <w:rPr>
          <w:rFonts w:ascii="Calibri" w:eastAsia="Malgun Gothic" w:hAnsi="Calibri" w:hint="cs"/>
          <w:rtl/>
        </w:rPr>
        <w:t>به‌عنوان</w:t>
      </w:r>
      <w:r w:rsidR="008061B0">
        <w:rPr>
          <w:rFonts w:ascii="Calibri" w:eastAsia="Malgun Gothic" w:hAnsi="Calibri" w:hint="cs"/>
          <w:rtl/>
        </w:rPr>
        <w:t xml:space="preserve"> ابزاری </w:t>
      </w:r>
      <w:r w:rsidRPr="004A0E5E">
        <w:rPr>
          <w:rFonts w:ascii="Calibri" w:eastAsia="Malgun Gothic" w:hAnsi="Calibri" w:hint="cs"/>
          <w:rtl/>
        </w:rPr>
        <w:t>برای ایجاد و تقویت هنجارهایی پیرامون مشاغل بعد از فراغت از مناصب دولتی توجه شود.</w:t>
      </w:r>
    </w:p>
    <w:p w:rsidR="004A0E5E" w:rsidRPr="004A0E5E" w:rsidRDefault="008061B0" w:rsidP="004A0E5E">
      <w:pPr>
        <w:numPr>
          <w:ilvl w:val="0"/>
          <w:numId w:val="28"/>
        </w:numPr>
        <w:spacing w:after="200"/>
        <w:contextualSpacing/>
        <w:rPr>
          <w:rFonts w:ascii="Calibri" w:eastAsia="Malgun Gothic" w:hAnsi="Calibri"/>
        </w:rPr>
      </w:pPr>
      <w:r>
        <w:rPr>
          <w:rFonts w:ascii="Calibri" w:eastAsia="Malgun Gothic" w:hAnsi="Calibri" w:hint="cs"/>
          <w:rtl/>
        </w:rPr>
        <w:t>قوانین درب‌های چرخان</w:t>
      </w:r>
      <w:r w:rsidR="004A0E5E" w:rsidRPr="004A0E5E">
        <w:rPr>
          <w:rFonts w:ascii="Calibri" w:eastAsia="Malgun Gothic" w:hAnsi="Calibri" w:hint="cs"/>
          <w:rtl/>
        </w:rPr>
        <w:t xml:space="preserve"> باید با دیگ</w:t>
      </w:r>
      <w:r>
        <w:rPr>
          <w:rFonts w:ascii="Calibri" w:eastAsia="Malgun Gothic" w:hAnsi="Calibri" w:hint="cs"/>
          <w:rtl/>
        </w:rPr>
        <w:t xml:space="preserve">ر قوانین </w:t>
      </w:r>
      <w:r w:rsidR="0038548C">
        <w:rPr>
          <w:rFonts w:ascii="Calibri" w:eastAsia="Malgun Gothic" w:hAnsi="Calibri" w:hint="cs"/>
          <w:rtl/>
        </w:rPr>
        <w:t>لابی‌گری</w:t>
      </w:r>
      <w:r>
        <w:rPr>
          <w:rFonts w:ascii="Calibri" w:eastAsia="Malgun Gothic" w:hAnsi="Calibri" w:hint="cs"/>
          <w:rtl/>
        </w:rPr>
        <w:t xml:space="preserve"> و مدیریت تعارض </w:t>
      </w:r>
      <w:r w:rsidR="004A0E5E" w:rsidRPr="004A0E5E">
        <w:rPr>
          <w:rFonts w:ascii="Calibri" w:eastAsia="Malgun Gothic" w:hAnsi="Calibri" w:hint="cs"/>
          <w:rtl/>
        </w:rPr>
        <w:t>منافع، همسو باش</w:t>
      </w:r>
      <w:r>
        <w:rPr>
          <w:rFonts w:ascii="Calibri" w:eastAsia="Malgun Gothic" w:hAnsi="Calibri" w:hint="cs"/>
          <w:rtl/>
        </w:rPr>
        <w:t>ن</w:t>
      </w:r>
      <w:r w:rsidR="004A0E5E" w:rsidRPr="004A0E5E">
        <w:rPr>
          <w:rFonts w:ascii="Calibri" w:eastAsia="Malgun Gothic" w:hAnsi="Calibri" w:hint="cs"/>
          <w:rtl/>
        </w:rPr>
        <w:t>د.</w:t>
      </w:r>
    </w:p>
    <w:p w:rsidR="004A0E5E" w:rsidRPr="004A0E5E" w:rsidRDefault="004A0E5E" w:rsidP="004A0E5E">
      <w:pPr>
        <w:numPr>
          <w:ilvl w:val="0"/>
          <w:numId w:val="28"/>
        </w:numPr>
        <w:spacing w:after="200"/>
        <w:contextualSpacing/>
        <w:rPr>
          <w:rFonts w:ascii="Calibri" w:eastAsia="Malgun Gothic" w:hAnsi="Calibri"/>
          <w:rtl/>
        </w:rPr>
      </w:pPr>
      <w:r w:rsidRPr="004A0E5E">
        <w:rPr>
          <w:rFonts w:ascii="Calibri" w:eastAsia="Malgun Gothic" w:hAnsi="Calibri" w:hint="cs"/>
          <w:rtl/>
        </w:rPr>
        <w:t>مقررات باید حاوی مفاد الزام‌آور</w:t>
      </w:r>
      <w:r w:rsidR="008061B0">
        <w:rPr>
          <w:rFonts w:ascii="Calibri" w:eastAsia="Malgun Gothic" w:hAnsi="Calibri" w:hint="cs"/>
          <w:rtl/>
        </w:rPr>
        <w:t>ی</w:t>
      </w:r>
      <w:r w:rsidRPr="004A0E5E">
        <w:rPr>
          <w:rFonts w:ascii="Calibri" w:eastAsia="Malgun Gothic" w:hAnsi="Calibri" w:hint="cs"/>
          <w:rtl/>
        </w:rPr>
        <w:t xml:space="preserve"> برای افشای سوابق کارکنان بخش دولتی، قبل و بعد از خدمت در دولت باشند.</w:t>
      </w:r>
    </w:p>
    <w:p w:rsidR="004A0E5E" w:rsidRPr="004A0E5E" w:rsidRDefault="004A0E5E" w:rsidP="004A0E5E">
      <w:pPr>
        <w:numPr>
          <w:ilvl w:val="0"/>
          <w:numId w:val="28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>مقررات باید با عاملیت و نظارت نهاد اخلاقی مستقلی که تعهد، اختیار و اقتدار لازم را دارد اجرایی شو</w:t>
      </w:r>
      <w:r w:rsidR="008061B0">
        <w:rPr>
          <w:rFonts w:ascii="Calibri" w:eastAsia="Malgun Gothic" w:hAnsi="Calibri" w:hint="cs"/>
          <w:rtl/>
        </w:rPr>
        <w:t>ن</w:t>
      </w:r>
      <w:r w:rsidRPr="004A0E5E">
        <w:rPr>
          <w:rFonts w:ascii="Calibri" w:eastAsia="Malgun Gothic" w:hAnsi="Calibri" w:hint="cs"/>
          <w:rtl/>
        </w:rPr>
        <w:t>د.</w:t>
      </w:r>
    </w:p>
    <w:p w:rsidR="004A0E5E" w:rsidRPr="004A0E5E" w:rsidRDefault="004A0E5E" w:rsidP="004A0E5E">
      <w:pPr>
        <w:numPr>
          <w:ilvl w:val="0"/>
          <w:numId w:val="28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lastRenderedPageBreak/>
        <w:t>لازم است در راستای آگاهی تمامی کارمندان بخش دولتی از چارچوب‌ها و الزامات اجرای مقررات درب‌های چرخان، فعالیت‌های آموزشی و ترویجی هدفمندی برنامه‌ریزی و اجرا شود.</w:t>
      </w:r>
    </w:p>
    <w:p w:rsidR="004A0E5E" w:rsidRPr="004A0E5E" w:rsidRDefault="004A0E5E" w:rsidP="004A0E5E">
      <w:pPr>
        <w:numPr>
          <w:ilvl w:val="2"/>
          <w:numId w:val="21"/>
        </w:numPr>
        <w:pBdr>
          <w:top w:val="single" w:sz="6" w:space="2" w:color="5B9BD5"/>
        </w:pBdr>
        <w:tabs>
          <w:tab w:val="num" w:pos="360"/>
        </w:tabs>
        <w:spacing w:before="120" w:after="0"/>
        <w:ind w:left="0" w:firstLine="0"/>
        <w:outlineLvl w:val="2"/>
        <w:rPr>
          <w:rFonts w:ascii="Calibri" w:eastAsia="Malgun Gothic" w:hAnsi="Calibri"/>
          <w:color w:val="1F4D78"/>
          <w:sz w:val="26"/>
          <w:szCs w:val="28"/>
          <w:lang w:bidi="ar-SA"/>
        </w:rPr>
      </w:pPr>
      <w:r w:rsidRPr="004A0E5E">
        <w:rPr>
          <w:rFonts w:ascii="Calibri" w:eastAsia="Malgun Gothic" w:hAnsi="Calibri" w:hint="cs"/>
          <w:color w:val="1F4D78"/>
          <w:sz w:val="26"/>
          <w:szCs w:val="28"/>
          <w:rtl/>
        </w:rPr>
        <w:t xml:space="preserve">تدوین قوانین اعلام عمومی </w:t>
      </w:r>
      <w:r w:rsidR="0030196B">
        <w:rPr>
          <w:rFonts w:ascii="Calibri" w:eastAsia="Malgun Gothic" w:hAnsi="Calibri" w:hint="cs"/>
          <w:color w:val="1F4D78"/>
          <w:sz w:val="26"/>
          <w:szCs w:val="28"/>
          <w:rtl/>
        </w:rPr>
        <w:t>هدایای پیشنهادی به مقامات</w:t>
      </w:r>
      <w:r w:rsidRPr="004A0E5E">
        <w:rPr>
          <w:rFonts w:ascii="Calibri" w:eastAsia="Malgun Gothic" w:hAnsi="Calibri"/>
          <w:color w:val="1F4D78"/>
          <w:sz w:val="26"/>
          <w:szCs w:val="28"/>
          <w:vertAlign w:val="superscript"/>
          <w:rtl/>
        </w:rPr>
        <w:footnoteReference w:id="5"/>
      </w:r>
    </w:p>
    <w:p w:rsidR="004A0E5E" w:rsidRPr="004A0E5E" w:rsidRDefault="004A0E5E" w:rsidP="004A0E5E">
      <w:pPr>
        <w:pBdr>
          <w:top w:val="dotted" w:sz="6" w:space="2" w:color="5B9BD5"/>
        </w:pBdr>
        <w:spacing w:before="200" w:after="0"/>
        <w:outlineLvl w:val="3"/>
        <w:rPr>
          <w:rFonts w:ascii="Calibri" w:eastAsia="Malgun Gothic" w:hAnsi="Calibri"/>
          <w:color w:val="2E74B5"/>
          <w:spacing w:val="10"/>
          <w:sz w:val="20"/>
        </w:rPr>
      </w:pPr>
      <w:r w:rsidRPr="004A0E5E">
        <w:rPr>
          <w:rFonts w:ascii="Calibri" w:eastAsia="Malgun Gothic" w:hAnsi="Calibri" w:hint="cs"/>
          <w:color w:val="2E74B5"/>
          <w:spacing w:val="10"/>
          <w:sz w:val="20"/>
          <w:rtl/>
        </w:rPr>
        <w:t>توضیح</w:t>
      </w:r>
      <w:r>
        <w:rPr>
          <w:rFonts w:ascii="Calibri" w:eastAsia="Malgun Gothic" w:hAnsi="Calibri" w:hint="cs"/>
          <w:color w:val="2E74B5"/>
          <w:spacing w:val="10"/>
          <w:sz w:val="20"/>
          <w:rtl/>
        </w:rPr>
        <w:t>ات</w:t>
      </w:r>
    </w:p>
    <w:p w:rsidR="004A0E5E" w:rsidRPr="004A0E5E" w:rsidRDefault="004A0E5E" w:rsidP="0030196B">
      <w:pPr>
        <w:spacing w:after="200"/>
        <w:rPr>
          <w:rFonts w:ascii="Calibri" w:eastAsia="Malgun Gothic" w:hAnsi="Calibri"/>
          <w:rtl/>
        </w:rPr>
      </w:pPr>
      <w:r w:rsidRPr="004A0E5E">
        <w:rPr>
          <w:rFonts w:ascii="Calibri" w:eastAsia="Malgun Gothic" w:hAnsi="Calibri" w:hint="cs"/>
          <w:rtl/>
        </w:rPr>
        <w:t>قوانین حاکم بر ه</w:t>
      </w:r>
      <w:r w:rsidR="0030196B">
        <w:rPr>
          <w:rFonts w:ascii="Calibri" w:eastAsia="Malgun Gothic" w:hAnsi="Calibri" w:hint="cs"/>
          <w:rtl/>
        </w:rPr>
        <w:t xml:space="preserve">دایای </w:t>
      </w:r>
      <w:r w:rsidR="0038548C">
        <w:rPr>
          <w:rFonts w:ascii="Calibri" w:eastAsia="Malgun Gothic" w:hAnsi="Calibri" w:hint="cs"/>
          <w:rtl/>
        </w:rPr>
        <w:t>ارائه‌شده</w:t>
      </w:r>
      <w:r w:rsidR="0030196B">
        <w:rPr>
          <w:rFonts w:ascii="Calibri" w:eastAsia="Malgun Gothic" w:hAnsi="Calibri" w:hint="cs"/>
          <w:rtl/>
        </w:rPr>
        <w:t xml:space="preserve"> به مقامات</w:t>
      </w:r>
      <w:r w:rsidRPr="004A0E5E">
        <w:rPr>
          <w:rFonts w:ascii="Calibri" w:eastAsia="Malgun Gothic" w:hAnsi="Calibri" w:hint="cs"/>
          <w:rtl/>
        </w:rPr>
        <w:t xml:space="preserve">، مانعی مهم در برابر نفوذ در سیاست برای تحصیل منافعی خاص </w:t>
      </w:r>
      <w:r w:rsidR="0038548C">
        <w:rPr>
          <w:rFonts w:ascii="Calibri" w:eastAsia="Malgun Gothic" w:hAnsi="Calibri" w:hint="cs"/>
          <w:rtl/>
        </w:rPr>
        <w:t>به‌وسیله‌ی</w:t>
      </w:r>
      <w:r w:rsidR="0030196B">
        <w:rPr>
          <w:rFonts w:ascii="Calibri" w:eastAsia="Malgun Gothic" w:hAnsi="Calibri" w:hint="cs"/>
          <w:rtl/>
        </w:rPr>
        <w:t xml:space="preserve"> ارائه اقلام یا خدمات ارزشمند به مقامات و کارمندان</w:t>
      </w:r>
      <w:r w:rsidRPr="004A0E5E">
        <w:rPr>
          <w:rFonts w:ascii="Calibri" w:eastAsia="Malgun Gothic" w:hAnsi="Calibri" w:hint="cs"/>
          <w:rtl/>
        </w:rPr>
        <w:t xml:space="preserve"> است. الزامات اخلاقی، دستورالعمل‌های قانونی و </w:t>
      </w:r>
      <w:r w:rsidR="0030196B">
        <w:rPr>
          <w:rFonts w:ascii="Calibri" w:eastAsia="Malgun Gothic" w:hAnsi="Calibri" w:hint="cs"/>
          <w:rtl/>
        </w:rPr>
        <w:t>سازوکارهای</w:t>
      </w:r>
      <w:r w:rsidRPr="004A0E5E">
        <w:rPr>
          <w:rFonts w:ascii="Calibri" w:eastAsia="Malgun Gothic" w:hAnsi="Calibri" w:hint="cs"/>
          <w:rtl/>
        </w:rPr>
        <w:t xml:space="preserve"> اعلام عمومی درآمدها و دارایی‌‌ها زمینه‌ی تشخیص </w:t>
      </w:r>
      <w:r w:rsidR="0038548C">
        <w:rPr>
          <w:rFonts w:ascii="Calibri" w:eastAsia="Malgun Gothic" w:hAnsi="Calibri" w:hint="cs"/>
          <w:rtl/>
        </w:rPr>
        <w:t>این‌که</w:t>
      </w:r>
      <w:r w:rsidRPr="004A0E5E">
        <w:rPr>
          <w:rFonts w:ascii="Calibri" w:eastAsia="Malgun Gothic" w:hAnsi="Calibri" w:hint="cs"/>
          <w:rtl/>
        </w:rPr>
        <w:t xml:space="preserve"> چه چیزهایی هدیه هستند و چه چیزهایی رشوه، چه موقع </w:t>
      </w:r>
      <w:r w:rsidR="0038548C">
        <w:rPr>
          <w:rFonts w:ascii="Calibri" w:eastAsia="Malgun Gothic" w:hAnsi="Calibri" w:hint="cs"/>
          <w:rtl/>
        </w:rPr>
        <w:t>قابل‌پذیرش</w:t>
      </w:r>
      <w:r w:rsidRPr="004A0E5E">
        <w:rPr>
          <w:rFonts w:ascii="Calibri" w:eastAsia="Malgun Gothic" w:hAnsi="Calibri" w:hint="cs"/>
          <w:rtl/>
        </w:rPr>
        <w:t xml:space="preserve"> هستند و چه موقع نیستند و همچنین چگونگی افشای آن را مشخص می‌کنند. این فرآیند موجب می‌شود اعتماد عمومی به حکومت افزایش پیدا کند و </w:t>
      </w:r>
      <w:r w:rsidR="0038548C">
        <w:rPr>
          <w:rFonts w:ascii="Calibri" w:eastAsia="Malgun Gothic" w:hAnsi="Calibri" w:hint="cs"/>
          <w:rtl/>
        </w:rPr>
        <w:t>درعین‌حال</w:t>
      </w:r>
      <w:r w:rsidR="0030196B">
        <w:rPr>
          <w:rFonts w:ascii="Calibri" w:eastAsia="Malgun Gothic" w:hAnsi="Calibri" w:hint="cs"/>
          <w:rtl/>
        </w:rPr>
        <w:t>، صداقت و درستکاری مقامات</w:t>
      </w:r>
      <w:r w:rsidRPr="004A0E5E">
        <w:rPr>
          <w:rFonts w:ascii="Calibri" w:eastAsia="Malgun Gothic" w:hAnsi="Calibri" w:hint="cs"/>
          <w:rtl/>
        </w:rPr>
        <w:t xml:space="preserve"> هم </w:t>
      </w:r>
      <w:r w:rsidR="0038548C">
        <w:rPr>
          <w:rFonts w:ascii="Calibri" w:eastAsia="Malgun Gothic" w:hAnsi="Calibri" w:hint="cs"/>
          <w:rtl/>
        </w:rPr>
        <w:t>حفظ‌شده</w:t>
      </w:r>
      <w:r w:rsidRPr="004A0E5E">
        <w:rPr>
          <w:rFonts w:ascii="Calibri" w:eastAsia="Malgun Gothic" w:hAnsi="Calibri" w:hint="cs"/>
          <w:rtl/>
        </w:rPr>
        <w:t xml:space="preserve"> و بهبود پیدا می‌کند.</w:t>
      </w:r>
    </w:p>
    <w:p w:rsidR="004A0E5E" w:rsidRPr="004A0E5E" w:rsidRDefault="004A0E5E" w:rsidP="004A0E5E">
      <w:pPr>
        <w:pBdr>
          <w:top w:val="dotted" w:sz="6" w:space="2" w:color="5B9BD5"/>
        </w:pBdr>
        <w:spacing w:before="200" w:after="0"/>
        <w:outlineLvl w:val="3"/>
        <w:rPr>
          <w:rFonts w:ascii="Calibri" w:eastAsia="Malgun Gothic" w:hAnsi="Calibri"/>
          <w:color w:val="2E74B5"/>
          <w:spacing w:val="10"/>
          <w:sz w:val="20"/>
          <w:rtl/>
        </w:rPr>
      </w:pPr>
      <w:r w:rsidRPr="004A0E5E">
        <w:rPr>
          <w:rFonts w:ascii="Calibri" w:eastAsia="Malgun Gothic" w:hAnsi="Calibri" w:hint="cs"/>
          <w:color w:val="2E74B5"/>
          <w:spacing w:val="10"/>
          <w:sz w:val="20"/>
          <w:rtl/>
        </w:rPr>
        <w:t>توصیه‌ها</w:t>
      </w:r>
    </w:p>
    <w:p w:rsidR="004A0E5E" w:rsidRPr="004A0E5E" w:rsidRDefault="004A0E5E" w:rsidP="004A0E5E">
      <w:pPr>
        <w:spacing w:after="200"/>
        <w:rPr>
          <w:rFonts w:ascii="Calibri" w:eastAsia="Malgun Gothic" w:hAnsi="Calibri"/>
          <w:rtl/>
        </w:rPr>
      </w:pPr>
      <w:r w:rsidRPr="004A0E5E">
        <w:rPr>
          <w:rFonts w:ascii="Calibri" w:eastAsia="Malgun Gothic" w:hAnsi="Calibri" w:hint="cs"/>
          <w:rtl/>
        </w:rPr>
        <w:t xml:space="preserve">برای اینکه قوانین </w:t>
      </w:r>
      <w:r w:rsidR="0030196B">
        <w:rPr>
          <w:rFonts w:ascii="Calibri" w:eastAsia="Malgun Gothic" w:hAnsi="Calibri" w:hint="cs"/>
          <w:rtl/>
        </w:rPr>
        <w:t xml:space="preserve">و سازوکارهای </w:t>
      </w:r>
      <w:r w:rsidRPr="004A0E5E">
        <w:rPr>
          <w:rFonts w:ascii="Calibri" w:eastAsia="Malgun Gothic" w:hAnsi="Calibri" w:hint="cs"/>
          <w:rtl/>
        </w:rPr>
        <w:t>مربوط به اعلام عمومی هدایا مؤثر واقع شوند، باید:</w:t>
      </w:r>
    </w:p>
    <w:p w:rsidR="004A0E5E" w:rsidRPr="004A0E5E" w:rsidRDefault="004A0E5E" w:rsidP="004A0E5E">
      <w:pPr>
        <w:numPr>
          <w:ilvl w:val="0"/>
          <w:numId w:val="29"/>
        </w:numPr>
        <w:spacing w:after="200"/>
        <w:contextualSpacing/>
        <w:rPr>
          <w:rFonts w:ascii="Calibri" w:eastAsia="Malgun Gothic" w:hAnsi="Calibri"/>
          <w:rtl/>
        </w:rPr>
      </w:pPr>
      <w:r w:rsidRPr="004A0E5E">
        <w:rPr>
          <w:rFonts w:ascii="Calibri" w:eastAsia="Malgun Gothic" w:hAnsi="Calibri" w:hint="cs"/>
          <w:rtl/>
        </w:rPr>
        <w:t>تمامی مقامات حکومتی در هریک از قوای سه‌گانه را شامل شوند.</w:t>
      </w:r>
    </w:p>
    <w:p w:rsidR="004A0E5E" w:rsidRPr="004A0E5E" w:rsidRDefault="004A0E5E" w:rsidP="0030196B">
      <w:pPr>
        <w:numPr>
          <w:ilvl w:val="0"/>
          <w:numId w:val="29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>با تعریف دقیق و روشن «هدیه» و «رفتار مناسب هر موقعیت» جایی برای تفسیرهای مختلف و متعدد باقی نگذارند. تعریف هدیه باید</w:t>
      </w:r>
      <w:r w:rsidR="0030196B">
        <w:rPr>
          <w:rFonts w:ascii="Calibri" w:eastAsia="Malgun Gothic" w:hAnsi="Calibri" w:hint="cs"/>
          <w:rtl/>
        </w:rPr>
        <w:t xml:space="preserve"> دقت</w:t>
      </w:r>
      <w:r w:rsidRPr="004A0E5E">
        <w:rPr>
          <w:rFonts w:ascii="Calibri" w:eastAsia="Malgun Gothic" w:hAnsi="Calibri" w:hint="cs"/>
          <w:rtl/>
        </w:rPr>
        <w:t xml:space="preserve"> و شمول کافی را داشته باشد. برای مثال خدمات ارزشمندی هم که به مقامات دولتی پیشنهاد می‌شوند نیز در حکم هدیه هستند.</w:t>
      </w:r>
    </w:p>
    <w:p w:rsidR="004A0E5E" w:rsidRPr="004A0E5E" w:rsidRDefault="004A0E5E" w:rsidP="0030196B">
      <w:pPr>
        <w:numPr>
          <w:ilvl w:val="0"/>
          <w:numId w:val="29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 xml:space="preserve">حدومرز دقیق و </w:t>
      </w:r>
      <w:r w:rsidR="0038548C">
        <w:rPr>
          <w:rFonts w:ascii="Calibri" w:eastAsia="Malgun Gothic" w:hAnsi="Calibri" w:hint="cs"/>
          <w:rtl/>
        </w:rPr>
        <w:t>تعریف‌شده‌ای</w:t>
      </w:r>
      <w:r w:rsidRPr="004A0E5E">
        <w:rPr>
          <w:rFonts w:ascii="Calibri" w:eastAsia="Malgun Gothic" w:hAnsi="Calibri" w:hint="cs"/>
          <w:rtl/>
        </w:rPr>
        <w:t xml:space="preserve"> برای اعلام عمومی تمامی </w:t>
      </w:r>
      <w:r w:rsidR="0030196B">
        <w:rPr>
          <w:rFonts w:ascii="Calibri" w:eastAsia="Malgun Gothic" w:hAnsi="Calibri" w:hint="cs"/>
          <w:rtl/>
        </w:rPr>
        <w:t>کالاها</w:t>
      </w:r>
      <w:r w:rsidRPr="004A0E5E">
        <w:rPr>
          <w:rFonts w:ascii="Calibri" w:eastAsia="Malgun Gothic" w:hAnsi="Calibri" w:hint="cs"/>
          <w:rtl/>
        </w:rPr>
        <w:t xml:space="preserve"> و خدمات ارزشمند </w:t>
      </w:r>
      <w:r w:rsidR="0038548C">
        <w:rPr>
          <w:rFonts w:ascii="Calibri" w:eastAsia="Malgun Gothic" w:hAnsi="Calibri" w:hint="cs"/>
          <w:rtl/>
        </w:rPr>
        <w:t>پیشنهادشده</w:t>
      </w:r>
      <w:r w:rsidRPr="004A0E5E">
        <w:rPr>
          <w:rFonts w:ascii="Calibri" w:eastAsia="Malgun Gothic" w:hAnsi="Calibri" w:hint="cs"/>
          <w:rtl/>
        </w:rPr>
        <w:t xml:space="preserve"> به کارمندان دولت مشخص کرده باشد.</w:t>
      </w:r>
    </w:p>
    <w:p w:rsidR="004A0E5E" w:rsidRPr="004A0E5E" w:rsidRDefault="004A0E5E" w:rsidP="004A0E5E">
      <w:pPr>
        <w:numPr>
          <w:ilvl w:val="0"/>
          <w:numId w:val="29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 xml:space="preserve">استثناها و نقاط ضعفی که مانع افشای برخی هدایای خاص می‌شوند را به حداقل برسانند. هدیه‌ی خاص مثل هدایای فرهنگی که </w:t>
      </w:r>
      <w:r w:rsidR="0038548C">
        <w:rPr>
          <w:rFonts w:ascii="Calibri" w:eastAsia="Malgun Gothic" w:hAnsi="Calibri" w:hint="cs"/>
          <w:rtl/>
        </w:rPr>
        <w:t>برخلاف</w:t>
      </w:r>
      <w:r w:rsidRPr="004A0E5E">
        <w:rPr>
          <w:rFonts w:ascii="Calibri" w:eastAsia="Malgun Gothic" w:hAnsi="Calibri" w:hint="cs"/>
          <w:rtl/>
        </w:rPr>
        <w:t xml:space="preserve"> تصور عموم</w:t>
      </w:r>
      <w:r w:rsidR="00180EC0">
        <w:rPr>
          <w:rFonts w:ascii="Calibri" w:eastAsia="Malgun Gothic" w:hAnsi="Calibri" w:hint="cs"/>
          <w:rtl/>
        </w:rPr>
        <w:t xml:space="preserve"> که آن‌ها را بی‌ارزش می‌پندارند</w:t>
      </w:r>
      <w:r w:rsidRPr="004A0E5E">
        <w:rPr>
          <w:rFonts w:ascii="Calibri" w:eastAsia="Malgun Gothic" w:hAnsi="Calibri" w:hint="cs"/>
          <w:rtl/>
        </w:rPr>
        <w:t xml:space="preserve">، ممکن است موجب ایجاد تعارض‌های </w:t>
      </w:r>
      <w:r w:rsidR="00180EC0">
        <w:rPr>
          <w:rFonts w:ascii="Calibri" w:eastAsia="Malgun Gothic" w:hAnsi="Calibri" w:hint="cs"/>
          <w:rtl/>
        </w:rPr>
        <w:t>مهمی در منافع پیرامونی شخص</w:t>
      </w:r>
      <w:r w:rsidRPr="004A0E5E">
        <w:rPr>
          <w:rFonts w:ascii="Calibri" w:eastAsia="Malgun Gothic" w:hAnsi="Calibri" w:hint="cs"/>
          <w:rtl/>
        </w:rPr>
        <w:t xml:space="preserve"> شوند.</w:t>
      </w:r>
    </w:p>
    <w:p w:rsidR="004A0E5E" w:rsidRDefault="004A0E5E" w:rsidP="004A0E5E">
      <w:pPr>
        <w:numPr>
          <w:ilvl w:val="0"/>
          <w:numId w:val="29"/>
        </w:numPr>
        <w:spacing w:after="200"/>
        <w:contextualSpacing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 xml:space="preserve">قوانین توسط یک نهاد اخلاقی مستقل اجرا شود و در موقع لزوم </w:t>
      </w:r>
      <w:r w:rsidR="0038548C">
        <w:rPr>
          <w:rFonts w:ascii="Calibri" w:eastAsia="Malgun Gothic" w:hAnsi="Calibri" w:hint="cs"/>
          <w:rtl/>
        </w:rPr>
        <w:t>مجازات</w:t>
      </w:r>
      <w:r w:rsidRPr="004A0E5E">
        <w:rPr>
          <w:rFonts w:ascii="Calibri" w:eastAsia="Malgun Gothic" w:hAnsi="Calibri" w:hint="cs"/>
          <w:rtl/>
        </w:rPr>
        <w:t xml:space="preserve"> لازم را اعمال کند.</w:t>
      </w:r>
    </w:p>
    <w:p w:rsidR="0030196B" w:rsidRPr="004A0E5E" w:rsidRDefault="0030196B" w:rsidP="0030196B">
      <w:pPr>
        <w:spacing w:after="200"/>
        <w:contextualSpacing/>
        <w:rPr>
          <w:rFonts w:ascii="Calibri" w:eastAsia="Malgun Gothic" w:hAnsi="Calibri"/>
        </w:rPr>
      </w:pPr>
    </w:p>
    <w:p w:rsidR="000101E6" w:rsidRPr="004A0E5E" w:rsidRDefault="004A0E5E" w:rsidP="004A0E5E">
      <w:pPr>
        <w:spacing w:after="200"/>
        <w:rPr>
          <w:rFonts w:ascii="Calibri" w:eastAsia="Malgun Gothic" w:hAnsi="Calibri"/>
        </w:rPr>
      </w:pPr>
      <w:r w:rsidRPr="004A0E5E">
        <w:rPr>
          <w:rFonts w:ascii="Calibri" w:eastAsia="Malgun Gothic" w:hAnsi="Calibri" w:hint="cs"/>
          <w:rtl/>
        </w:rPr>
        <w:t>در پایان این بخش باید این نکته را متذکر شد که لازم است فرآیندهای قبل از تشخیص هدایا و پیشنهادها، توسط یک دیده‌بان مستقل حاکمیتی مثل دفتر بازرسی داخلی یا دفتر دادخواهی انجام شود.</w:t>
      </w:r>
    </w:p>
    <w:sectPr w:rsidR="000101E6" w:rsidRPr="004A0E5E" w:rsidSect="00287C0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40" w:right="1440" w:bottom="1440" w:left="1440" w:header="709" w:footer="34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55" w:rsidRDefault="005F6555" w:rsidP="00B46C07">
      <w:pPr>
        <w:spacing w:before="0" w:after="0" w:line="240" w:lineRule="auto"/>
      </w:pPr>
      <w:r>
        <w:separator/>
      </w:r>
    </w:p>
  </w:endnote>
  <w:endnote w:type="continuationSeparator" w:id="0">
    <w:p w:rsidR="005F6555" w:rsidRDefault="005F6555" w:rsidP="00B46C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numGothic">
    <w:altName w:val="Microsoft JhengHei Light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9026"/>
    </w:tblGrid>
    <w:tr w:rsidR="000101E6" w:rsidTr="000101E6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</w:tcPr>
        <w:p w:rsidR="000101E6" w:rsidRPr="00254467" w:rsidRDefault="000101E6" w:rsidP="00BC455D">
          <w:pPr>
            <w:pStyle w:val="Header"/>
            <w:tabs>
              <w:tab w:val="right" w:pos="10467"/>
            </w:tabs>
            <w:jc w:val="center"/>
            <w:rPr>
              <w:color w:val="FFFFFF" w:themeColor="background1"/>
              <w:rtl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2D0658E" wp14:editId="2FD4B6DA">
                <wp:extent cx="3343961" cy="248538"/>
                <wp:effectExtent l="0" t="0" r="0" b="0"/>
                <wp:docPr id="17" name="Picture 17" descr="C:\Users\bande\AppData\Local\Microsoft\Windows\INetCache\Content.Word\950226---Social-Ic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ande\AppData\Local\Microsoft\Windows\INetCache\Content.Word\950226---Social-Ic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5388" cy="27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55D" w:rsidRDefault="00BC4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9026"/>
    </w:tblGrid>
    <w:tr w:rsidR="000101E6" w:rsidTr="000101E6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101E6" w:rsidRPr="00254467" w:rsidRDefault="000101E6" w:rsidP="00E03910">
          <w:pPr>
            <w:pStyle w:val="Header"/>
            <w:tabs>
              <w:tab w:val="right" w:pos="10467"/>
            </w:tabs>
            <w:jc w:val="center"/>
            <w:rPr>
              <w:rtl/>
              <w:lang w:bidi="fa-IR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163CC09" wp14:editId="3C9729A5">
                <wp:extent cx="3343961" cy="248538"/>
                <wp:effectExtent l="0" t="0" r="0" b="0"/>
                <wp:docPr id="18" name="Picture 18" descr="C:\Users\bande\AppData\Local\Microsoft\Windows\INetCache\Content.Word\950226---Social-Ic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ande\AppData\Local\Microsoft\Windows\INetCache\Content.Word\950226---Social-Ic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5388" cy="27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3910" w:rsidRDefault="00E03910" w:rsidP="00E03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55" w:rsidRDefault="005F6555" w:rsidP="00B46C07">
      <w:pPr>
        <w:spacing w:before="0" w:after="0" w:line="240" w:lineRule="auto"/>
      </w:pPr>
      <w:r>
        <w:separator/>
      </w:r>
    </w:p>
  </w:footnote>
  <w:footnote w:type="continuationSeparator" w:id="0">
    <w:p w:rsidR="005F6555" w:rsidRDefault="005F6555" w:rsidP="00B46C07">
      <w:pPr>
        <w:spacing w:before="0" w:after="0" w:line="240" w:lineRule="auto"/>
      </w:pPr>
      <w:r>
        <w:continuationSeparator/>
      </w:r>
    </w:p>
  </w:footnote>
  <w:footnote w:id="1">
    <w:p w:rsidR="004A0E5E" w:rsidRDefault="004A0E5E" w:rsidP="004A0E5E">
      <w:pPr>
        <w:pStyle w:val="FootnoteText"/>
        <w:bidi w:val="0"/>
        <w:jc w:val="lef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hyperlink r:id="rId1" w:history="1">
        <w:r w:rsidRPr="004A0E5E">
          <w:rPr>
            <w:rStyle w:val="Hyperlink"/>
          </w:rPr>
          <w:t>http://www.opengovguide.com/topics/assets-disclosureconflicts-of-interest</w:t>
        </w:r>
        <w:r w:rsidRPr="004A0E5E">
          <w:rPr>
            <w:rStyle w:val="Hyperlink"/>
            <w:rFonts w:hint="cs"/>
            <w:rtl/>
          </w:rPr>
          <w:t>/</w:t>
        </w:r>
      </w:hyperlink>
      <w:r>
        <w:rPr>
          <w:rFonts w:hint="cs"/>
          <w:rtl/>
        </w:rPr>
        <w:tab/>
      </w:r>
    </w:p>
  </w:footnote>
  <w:footnote w:id="2">
    <w:p w:rsidR="004A0E5E" w:rsidRDefault="004A0E5E" w:rsidP="004A0E5E">
      <w:pPr>
        <w:pStyle w:val="FootnoteText"/>
        <w:bidi w:val="0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hyperlink r:id="rId2" w:history="1">
        <w:r w:rsidRPr="004A0E5E">
          <w:rPr>
            <w:rStyle w:val="Hyperlink"/>
          </w:rPr>
          <w:t>http://www.opengovguide.com/commitments/asset-disclosure/</w:t>
        </w:r>
      </w:hyperlink>
      <w:r>
        <w:rPr>
          <w:rFonts w:hint="cs"/>
          <w:rtl/>
        </w:rPr>
        <w:tab/>
      </w:r>
    </w:p>
  </w:footnote>
  <w:footnote w:id="3">
    <w:p w:rsidR="004A0E5E" w:rsidRDefault="004A0E5E" w:rsidP="004A0E5E">
      <w:pPr>
        <w:pStyle w:val="FootnoteText"/>
        <w:bidi w:val="0"/>
        <w:jc w:val="lef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hyperlink r:id="rId3" w:history="1">
        <w:r w:rsidRPr="004A0E5E">
          <w:rPr>
            <w:rStyle w:val="Hyperlink"/>
          </w:rPr>
          <w:t>https://www.unodc.org/unodc/en/treaties/CAC/</w:t>
        </w:r>
      </w:hyperlink>
      <w:r>
        <w:rPr>
          <w:rFonts w:hint="cs"/>
          <w:rtl/>
        </w:rPr>
        <w:tab/>
      </w:r>
    </w:p>
  </w:footnote>
  <w:footnote w:id="4">
    <w:p w:rsidR="004A0E5E" w:rsidRDefault="004A0E5E" w:rsidP="004A0E5E">
      <w:pPr>
        <w:pStyle w:val="FootnoteText"/>
        <w:bidi w:val="0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hyperlink r:id="rId4" w:history="1">
        <w:r w:rsidRPr="004A0E5E">
          <w:rPr>
            <w:rStyle w:val="Hyperlink"/>
          </w:rPr>
          <w:t>http://www.opengovguide.com/commitments/establish-regulations-governing-post-government-private-sector-employment</w:t>
        </w:r>
        <w:r w:rsidRPr="004A0E5E">
          <w:rPr>
            <w:rStyle w:val="Hyperlink"/>
            <w:rFonts w:hint="cs"/>
            <w:rtl/>
            <w:lang w:bidi="ar-SA"/>
          </w:rPr>
          <w:t>/</w:t>
        </w:r>
      </w:hyperlink>
      <w:r>
        <w:rPr>
          <w:rFonts w:hint="cs"/>
          <w:rtl/>
        </w:rPr>
        <w:tab/>
      </w:r>
    </w:p>
  </w:footnote>
  <w:footnote w:id="5">
    <w:p w:rsidR="004A0E5E" w:rsidRDefault="004A0E5E" w:rsidP="004A0E5E">
      <w:pPr>
        <w:pStyle w:val="FootnoteText"/>
        <w:bidi w:val="0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hyperlink r:id="rId5" w:history="1">
        <w:r w:rsidRPr="004A0E5E">
          <w:rPr>
            <w:rStyle w:val="Hyperlink"/>
          </w:rPr>
          <w:t>http://www.opengovguide.com/commitments/establish-regulations-governing-gifts-offered-to-public-sector-officials</w:t>
        </w:r>
        <w:r w:rsidRPr="004A0E5E">
          <w:rPr>
            <w:rStyle w:val="Hyperlink"/>
            <w:rFonts w:hint="cs"/>
            <w:rtl/>
            <w:lang w:bidi="ar-SA"/>
          </w:rPr>
          <w:t>/</w:t>
        </w:r>
      </w:hyperlink>
      <w:r>
        <w:rPr>
          <w:rFonts w:hint="cs"/>
          <w:rtl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4686" w:type="pct"/>
      <w:tblLook w:val="04A0" w:firstRow="1" w:lastRow="0" w:firstColumn="1" w:lastColumn="0" w:noHBand="0" w:noVBand="1"/>
    </w:tblPr>
    <w:tblGrid>
      <w:gridCol w:w="519"/>
      <w:gridCol w:w="7940"/>
    </w:tblGrid>
    <w:tr w:rsidR="00000360" w:rsidTr="00000360">
      <w:tc>
        <w:tcPr>
          <w:tcW w:w="307" w:type="pct"/>
          <w:tcBorders>
            <w:top w:val="nil"/>
            <w:left w:val="nil"/>
            <w:bottom w:val="nil"/>
            <w:right w:val="nil"/>
          </w:tcBorders>
          <w:shd w:val="clear" w:color="auto" w:fill="2E74B5" w:themeFill="accent1" w:themeFillShade="BF"/>
          <w:vAlign w:val="center"/>
        </w:tcPr>
        <w:sdt>
          <w:sdtPr>
            <w:rPr>
              <w:rtl/>
            </w:rPr>
            <w:id w:val="-1212412849"/>
            <w:docPartObj>
              <w:docPartGallery w:val="Page Numbers (Bottom of Page)"/>
              <w:docPartUnique/>
            </w:docPartObj>
          </w:sdtPr>
          <w:sdtEndPr/>
          <w:sdtContent>
            <w:p w:rsidR="00000360" w:rsidRPr="00000360" w:rsidRDefault="00000360" w:rsidP="00000360">
              <w:pPr>
                <w:pStyle w:val="Footer"/>
                <w:jc w:val="center"/>
                <w:rPr>
                  <w:rtl/>
                  <w:lang w:bidi="fa-IR"/>
                </w:rPr>
              </w:pPr>
              <w:r w:rsidRPr="00000360">
                <w:rPr>
                  <w:b/>
                  <w:bCs/>
                  <w:color w:val="FFFFFF" w:themeColor="background1"/>
                </w:rPr>
                <w:fldChar w:fldCharType="begin"/>
              </w:r>
              <w:r w:rsidRPr="00000360">
                <w:rPr>
                  <w:b/>
                  <w:bCs/>
                  <w:color w:val="FFFFFF" w:themeColor="background1"/>
                </w:rPr>
                <w:instrText xml:space="preserve"> PAGE   \* MERGEFORMAT </w:instrText>
              </w:r>
              <w:r w:rsidRPr="00000360">
                <w:rPr>
                  <w:b/>
                  <w:bCs/>
                  <w:color w:val="FFFFFF" w:themeColor="background1"/>
                </w:rPr>
                <w:fldChar w:fldCharType="separate"/>
              </w:r>
              <w:r w:rsidR="0038548C">
                <w:rPr>
                  <w:b/>
                  <w:bCs/>
                  <w:noProof/>
                  <w:color w:val="FFFFFF" w:themeColor="background1"/>
                  <w:rtl/>
                </w:rPr>
                <w:t>4</w:t>
              </w:r>
              <w:r w:rsidRPr="00000360">
                <w:rPr>
                  <w:b/>
                  <w:bCs/>
                  <w:noProof/>
                  <w:color w:val="FFFFFF" w:themeColor="background1"/>
                </w:rPr>
                <w:fldChar w:fldCharType="end"/>
              </w:r>
            </w:p>
          </w:sdtContent>
        </w:sdt>
      </w:tc>
      <w:tc>
        <w:tcPr>
          <w:tcW w:w="4693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00360" w:rsidRPr="00254467" w:rsidRDefault="005F6555" w:rsidP="00000360">
          <w:pPr>
            <w:pStyle w:val="Header"/>
            <w:tabs>
              <w:tab w:val="right" w:pos="10467"/>
            </w:tabs>
            <w:jc w:val="right"/>
            <w:rPr>
              <w:color w:val="FFFFFF" w:themeColor="background1"/>
              <w:rtl/>
            </w:rPr>
          </w:pPr>
          <w:sdt>
            <w:sdtPr>
              <w:rPr>
                <w:rtl/>
              </w:rPr>
              <w:alias w:val="Title"/>
              <w:tag w:val=""/>
              <w:id w:val="-194228485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14639">
                <w:rPr>
                  <w:rFonts w:hint="cs"/>
                  <w:rtl/>
                  <w:lang w:bidi="fa-IR"/>
                </w:rPr>
                <w:t>راهنمای حاکمیت باز</w:t>
              </w:r>
            </w:sdtContent>
          </w:sdt>
          <w:r w:rsidR="00000360">
            <w:rPr>
              <w:rFonts w:hint="cs"/>
              <w:rtl/>
              <w:lang w:bidi="fa-IR"/>
            </w:rPr>
            <w:t xml:space="preserve">       </w:t>
          </w:r>
        </w:p>
      </w:tc>
    </w:tr>
  </w:tbl>
  <w:p w:rsidR="00433FF3" w:rsidRDefault="00000360">
    <w:pPr>
      <w:pStyle w:val="Header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6400BA3D" wp14:editId="0AF5A954">
          <wp:simplePos x="0" y="0"/>
          <wp:positionH relativeFrom="column">
            <wp:posOffset>-44557</wp:posOffset>
          </wp:positionH>
          <wp:positionV relativeFrom="paragraph">
            <wp:posOffset>-298450</wp:posOffset>
          </wp:positionV>
          <wp:extent cx="351488" cy="35148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band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1488" cy="35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4712" w:type="pct"/>
      <w:tblInd w:w="520" w:type="dxa"/>
      <w:tblLook w:val="04A0" w:firstRow="1" w:lastRow="0" w:firstColumn="1" w:lastColumn="0" w:noHBand="0" w:noVBand="1"/>
    </w:tblPr>
    <w:tblGrid>
      <w:gridCol w:w="7951"/>
      <w:gridCol w:w="555"/>
    </w:tblGrid>
    <w:tr w:rsidR="00AC0714" w:rsidTr="00AC0714">
      <w:tc>
        <w:tcPr>
          <w:tcW w:w="4674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101E6" w:rsidRPr="00254467" w:rsidRDefault="005F6555" w:rsidP="000101E6">
          <w:pPr>
            <w:pStyle w:val="Header"/>
            <w:tabs>
              <w:tab w:val="right" w:pos="10467"/>
            </w:tabs>
            <w:jc w:val="left"/>
            <w:rPr>
              <w:rtl/>
              <w:lang w:bidi="fa-IR"/>
            </w:rPr>
          </w:pPr>
          <w:sdt>
            <w:sdtPr>
              <w:rPr>
                <w:rtl/>
              </w:rPr>
              <w:alias w:val="Title"/>
              <w:tag w:val=""/>
              <w:id w:val="-20749588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14639">
                <w:rPr>
                  <w:rFonts w:hint="cs"/>
                  <w:rtl/>
                  <w:lang w:bidi="fa-IR"/>
                </w:rPr>
                <w:t>راهنمای حاکمیت باز</w:t>
              </w:r>
            </w:sdtContent>
          </w:sdt>
          <w:r w:rsidR="000101E6">
            <w:rPr>
              <w:rFonts w:hint="cs"/>
              <w:rtl/>
              <w:lang w:bidi="fa-IR"/>
            </w:rPr>
            <w:t xml:space="preserve">  </w:t>
          </w:r>
        </w:p>
      </w:tc>
      <w:tc>
        <w:tcPr>
          <w:tcW w:w="326" w:type="pct"/>
          <w:tcBorders>
            <w:top w:val="nil"/>
            <w:left w:val="nil"/>
            <w:bottom w:val="nil"/>
            <w:right w:val="nil"/>
          </w:tcBorders>
          <w:shd w:val="clear" w:color="auto" w:fill="2E74B5" w:themeFill="accent1" w:themeFillShade="BF"/>
          <w:vAlign w:val="center"/>
        </w:tcPr>
        <w:sdt>
          <w:sdtPr>
            <w:rPr>
              <w:b/>
              <w:bCs/>
              <w:rtl/>
            </w:rPr>
            <w:id w:val="866804505"/>
            <w:docPartObj>
              <w:docPartGallery w:val="Page Numbers (Bottom of Page)"/>
              <w:docPartUnique/>
            </w:docPartObj>
          </w:sdtPr>
          <w:sdtEndPr/>
          <w:sdtContent>
            <w:p w:rsidR="000101E6" w:rsidRPr="00E1408F" w:rsidRDefault="000101E6" w:rsidP="00BC455D">
              <w:pPr>
                <w:pStyle w:val="Footer"/>
                <w:jc w:val="center"/>
                <w:rPr>
                  <w:b/>
                  <w:bCs/>
                  <w:rtl/>
                </w:rPr>
              </w:pPr>
              <w:r w:rsidRPr="000101E6">
                <w:rPr>
                  <w:b/>
                  <w:bCs/>
                  <w:color w:val="FFFFFF" w:themeColor="background1"/>
                </w:rPr>
                <w:fldChar w:fldCharType="begin"/>
              </w:r>
              <w:r w:rsidRPr="000101E6">
                <w:rPr>
                  <w:b/>
                  <w:bCs/>
                  <w:color w:val="FFFFFF" w:themeColor="background1"/>
                </w:rPr>
                <w:instrText xml:space="preserve"> PAGE   \* MERGEFORMAT </w:instrText>
              </w:r>
              <w:r w:rsidRPr="000101E6">
                <w:rPr>
                  <w:b/>
                  <w:bCs/>
                  <w:color w:val="FFFFFF" w:themeColor="background1"/>
                </w:rPr>
                <w:fldChar w:fldCharType="separate"/>
              </w:r>
              <w:r w:rsidR="0038548C">
                <w:rPr>
                  <w:b/>
                  <w:bCs/>
                  <w:noProof/>
                  <w:color w:val="FFFFFF" w:themeColor="background1"/>
                  <w:rtl/>
                </w:rPr>
                <w:t>5</w:t>
              </w:r>
              <w:r w:rsidRPr="000101E6">
                <w:rPr>
                  <w:b/>
                  <w:bCs/>
                  <w:noProof/>
                  <w:color w:val="FFFFFF" w:themeColor="background1"/>
                </w:rPr>
                <w:fldChar w:fldCharType="end"/>
              </w:r>
            </w:p>
          </w:sdtContent>
        </w:sdt>
      </w:tc>
    </w:tr>
  </w:tbl>
  <w:p w:rsidR="00B46C07" w:rsidRDefault="00AC0714">
    <w:pPr>
      <w:pStyle w:val="Header"/>
    </w:pPr>
    <w:r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2B83B34F" wp14:editId="76829E5C">
          <wp:simplePos x="0" y="0"/>
          <wp:positionH relativeFrom="column">
            <wp:posOffset>5433060</wp:posOffset>
          </wp:positionH>
          <wp:positionV relativeFrom="paragraph">
            <wp:posOffset>-295409</wp:posOffset>
          </wp:positionV>
          <wp:extent cx="346710" cy="34671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band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1AE7"/>
    <w:multiLevelType w:val="hybridMultilevel"/>
    <w:tmpl w:val="DAE2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447"/>
    <w:multiLevelType w:val="hybridMultilevel"/>
    <w:tmpl w:val="45925026"/>
    <w:lvl w:ilvl="0" w:tplc="C82A977E">
      <w:start w:val="1"/>
      <w:numFmt w:val="decimal"/>
      <w:lvlText w:val="%1."/>
      <w:lvlJc w:val="left"/>
      <w:pPr>
        <w:ind w:left="720" w:hanging="360"/>
      </w:pPr>
      <w:rPr>
        <w:rFonts w:eastAsia="Malgun Gothic" w:hAnsi="Malgun Goth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1EA3"/>
    <w:multiLevelType w:val="multilevel"/>
    <w:tmpl w:val="648A9324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D71138D"/>
    <w:multiLevelType w:val="hybridMultilevel"/>
    <w:tmpl w:val="73A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B59"/>
    <w:multiLevelType w:val="hybridMultilevel"/>
    <w:tmpl w:val="8EBA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17DE3"/>
    <w:multiLevelType w:val="hybridMultilevel"/>
    <w:tmpl w:val="6724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C61"/>
    <w:multiLevelType w:val="multilevel"/>
    <w:tmpl w:val="63C6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913284D"/>
    <w:multiLevelType w:val="multilevel"/>
    <w:tmpl w:val="D960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EF603DC"/>
    <w:multiLevelType w:val="multilevel"/>
    <w:tmpl w:val="A116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3D702A"/>
    <w:multiLevelType w:val="hybridMultilevel"/>
    <w:tmpl w:val="7D5C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7"/>
  </w:num>
  <w:num w:numId="16">
    <w:abstractNumId w:val="7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0B"/>
    <w:rsid w:val="00000360"/>
    <w:rsid w:val="000010F3"/>
    <w:rsid w:val="000101E6"/>
    <w:rsid w:val="0001350D"/>
    <w:rsid w:val="0001697C"/>
    <w:rsid w:val="00027860"/>
    <w:rsid w:val="00045D5C"/>
    <w:rsid w:val="00067BB8"/>
    <w:rsid w:val="000B0626"/>
    <w:rsid w:val="000B3EA3"/>
    <w:rsid w:val="000B6E0F"/>
    <w:rsid w:val="000C0FC1"/>
    <w:rsid w:val="000C4EBC"/>
    <w:rsid w:val="000C531D"/>
    <w:rsid w:val="000D3CCA"/>
    <w:rsid w:val="0011114D"/>
    <w:rsid w:val="00117CE9"/>
    <w:rsid w:val="00125194"/>
    <w:rsid w:val="00125D6E"/>
    <w:rsid w:val="00127F9C"/>
    <w:rsid w:val="00160E52"/>
    <w:rsid w:val="00180EC0"/>
    <w:rsid w:val="001917A7"/>
    <w:rsid w:val="00196B69"/>
    <w:rsid w:val="00196FAB"/>
    <w:rsid w:val="001A5BFD"/>
    <w:rsid w:val="001C01CD"/>
    <w:rsid w:val="001C3F37"/>
    <w:rsid w:val="001C6405"/>
    <w:rsid w:val="001F1058"/>
    <w:rsid w:val="0021539E"/>
    <w:rsid w:val="00244499"/>
    <w:rsid w:val="00287C0B"/>
    <w:rsid w:val="00297949"/>
    <w:rsid w:val="002B2034"/>
    <w:rsid w:val="002F6F35"/>
    <w:rsid w:val="0030196B"/>
    <w:rsid w:val="003108DC"/>
    <w:rsid w:val="00317419"/>
    <w:rsid w:val="0032205E"/>
    <w:rsid w:val="0034242E"/>
    <w:rsid w:val="0035117F"/>
    <w:rsid w:val="0036642F"/>
    <w:rsid w:val="00383EBE"/>
    <w:rsid w:val="0038548C"/>
    <w:rsid w:val="003B1200"/>
    <w:rsid w:val="003C1C30"/>
    <w:rsid w:val="003D37C6"/>
    <w:rsid w:val="003D62C6"/>
    <w:rsid w:val="004001B5"/>
    <w:rsid w:val="00402908"/>
    <w:rsid w:val="00414639"/>
    <w:rsid w:val="004336AD"/>
    <w:rsid w:val="00433FF3"/>
    <w:rsid w:val="00440206"/>
    <w:rsid w:val="00470D3F"/>
    <w:rsid w:val="00482DF0"/>
    <w:rsid w:val="004923CB"/>
    <w:rsid w:val="004A0E5E"/>
    <w:rsid w:val="004A1248"/>
    <w:rsid w:val="004C422A"/>
    <w:rsid w:val="004F6A54"/>
    <w:rsid w:val="00526564"/>
    <w:rsid w:val="005406DD"/>
    <w:rsid w:val="00556EF8"/>
    <w:rsid w:val="005638A4"/>
    <w:rsid w:val="00576599"/>
    <w:rsid w:val="0058153A"/>
    <w:rsid w:val="00592634"/>
    <w:rsid w:val="005979C3"/>
    <w:rsid w:val="005B66E5"/>
    <w:rsid w:val="005C03F6"/>
    <w:rsid w:val="005C05A3"/>
    <w:rsid w:val="005C6793"/>
    <w:rsid w:val="005D2736"/>
    <w:rsid w:val="005E1B5B"/>
    <w:rsid w:val="005F6555"/>
    <w:rsid w:val="00612FD5"/>
    <w:rsid w:val="00614CFB"/>
    <w:rsid w:val="00623A01"/>
    <w:rsid w:val="00630B52"/>
    <w:rsid w:val="006649F9"/>
    <w:rsid w:val="00670A0A"/>
    <w:rsid w:val="00672B76"/>
    <w:rsid w:val="00676C02"/>
    <w:rsid w:val="00683C12"/>
    <w:rsid w:val="00684E8B"/>
    <w:rsid w:val="006B3D0A"/>
    <w:rsid w:val="006E4A35"/>
    <w:rsid w:val="006E5A8E"/>
    <w:rsid w:val="006F2190"/>
    <w:rsid w:val="007053B9"/>
    <w:rsid w:val="0070784D"/>
    <w:rsid w:val="00732425"/>
    <w:rsid w:val="00732EFD"/>
    <w:rsid w:val="007338D9"/>
    <w:rsid w:val="00754996"/>
    <w:rsid w:val="00771524"/>
    <w:rsid w:val="007A1614"/>
    <w:rsid w:val="007A18D4"/>
    <w:rsid w:val="007B00CD"/>
    <w:rsid w:val="007B1D44"/>
    <w:rsid w:val="007B54AF"/>
    <w:rsid w:val="007C14F6"/>
    <w:rsid w:val="007F1780"/>
    <w:rsid w:val="008061B0"/>
    <w:rsid w:val="0081528D"/>
    <w:rsid w:val="008230F5"/>
    <w:rsid w:val="00840A6D"/>
    <w:rsid w:val="00842260"/>
    <w:rsid w:val="0085543B"/>
    <w:rsid w:val="00871A10"/>
    <w:rsid w:val="008A38C0"/>
    <w:rsid w:val="008C1BBB"/>
    <w:rsid w:val="008E3CCA"/>
    <w:rsid w:val="009014AB"/>
    <w:rsid w:val="00933A16"/>
    <w:rsid w:val="00942CB5"/>
    <w:rsid w:val="00956EFB"/>
    <w:rsid w:val="0096172A"/>
    <w:rsid w:val="00962D92"/>
    <w:rsid w:val="00971C57"/>
    <w:rsid w:val="00972476"/>
    <w:rsid w:val="00974645"/>
    <w:rsid w:val="009944D2"/>
    <w:rsid w:val="009D2FA1"/>
    <w:rsid w:val="00A06CFE"/>
    <w:rsid w:val="00A22C4D"/>
    <w:rsid w:val="00A57CB2"/>
    <w:rsid w:val="00A73AE5"/>
    <w:rsid w:val="00A85BEF"/>
    <w:rsid w:val="00AA34C8"/>
    <w:rsid w:val="00AB7445"/>
    <w:rsid w:val="00AC0714"/>
    <w:rsid w:val="00AC55B5"/>
    <w:rsid w:val="00AD6D0A"/>
    <w:rsid w:val="00AE184F"/>
    <w:rsid w:val="00AE2516"/>
    <w:rsid w:val="00AE7C51"/>
    <w:rsid w:val="00B4625C"/>
    <w:rsid w:val="00B46C07"/>
    <w:rsid w:val="00B5266E"/>
    <w:rsid w:val="00B53929"/>
    <w:rsid w:val="00B552CF"/>
    <w:rsid w:val="00B63AA2"/>
    <w:rsid w:val="00B67080"/>
    <w:rsid w:val="00B80D11"/>
    <w:rsid w:val="00B95187"/>
    <w:rsid w:val="00BB16E2"/>
    <w:rsid w:val="00BC2762"/>
    <w:rsid w:val="00BC455D"/>
    <w:rsid w:val="00BF6C37"/>
    <w:rsid w:val="00C021F7"/>
    <w:rsid w:val="00C04E5E"/>
    <w:rsid w:val="00C14D30"/>
    <w:rsid w:val="00C17BA9"/>
    <w:rsid w:val="00C17D51"/>
    <w:rsid w:val="00C3406D"/>
    <w:rsid w:val="00C36E94"/>
    <w:rsid w:val="00C406D8"/>
    <w:rsid w:val="00C7635D"/>
    <w:rsid w:val="00C87174"/>
    <w:rsid w:val="00C9044C"/>
    <w:rsid w:val="00C9576F"/>
    <w:rsid w:val="00CA5B47"/>
    <w:rsid w:val="00CB46AA"/>
    <w:rsid w:val="00CE6FB4"/>
    <w:rsid w:val="00CF2360"/>
    <w:rsid w:val="00D24F4F"/>
    <w:rsid w:val="00D35718"/>
    <w:rsid w:val="00D71D1C"/>
    <w:rsid w:val="00D9246F"/>
    <w:rsid w:val="00DA6C21"/>
    <w:rsid w:val="00DB2682"/>
    <w:rsid w:val="00DB5E97"/>
    <w:rsid w:val="00DC0D2B"/>
    <w:rsid w:val="00DD516D"/>
    <w:rsid w:val="00DE1756"/>
    <w:rsid w:val="00E03910"/>
    <w:rsid w:val="00E27F9F"/>
    <w:rsid w:val="00E330E7"/>
    <w:rsid w:val="00E34DAC"/>
    <w:rsid w:val="00E417E6"/>
    <w:rsid w:val="00E44F32"/>
    <w:rsid w:val="00E55ADA"/>
    <w:rsid w:val="00E620A1"/>
    <w:rsid w:val="00E77F0D"/>
    <w:rsid w:val="00E917F5"/>
    <w:rsid w:val="00EC016D"/>
    <w:rsid w:val="00ED2B9D"/>
    <w:rsid w:val="00ED40B6"/>
    <w:rsid w:val="00ED766F"/>
    <w:rsid w:val="00EE66BA"/>
    <w:rsid w:val="00EF7A98"/>
    <w:rsid w:val="00F04AEC"/>
    <w:rsid w:val="00F25A6C"/>
    <w:rsid w:val="00F37F8F"/>
    <w:rsid w:val="00F57BA4"/>
    <w:rsid w:val="00F9266B"/>
    <w:rsid w:val="00F96E15"/>
    <w:rsid w:val="00FA0D64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46482D82-F3EB-4E73-AB3F-B9FB7832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98"/>
    <w:pPr>
      <w:bidi/>
      <w:spacing w:before="100" w:after="100" w:line="276" w:lineRule="auto"/>
      <w:jc w:val="both"/>
    </w:pPr>
    <w:rPr>
      <w:rFonts w:eastAsiaTheme="minorEastAsia" w:cs="B Mitra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C12"/>
    <w:pPr>
      <w:numPr>
        <w:numId w:val="23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240"/>
      <w:outlineLvl w:val="0"/>
    </w:pPr>
    <w:rPr>
      <w:b/>
      <w:bCs/>
      <w:color w:val="FFFFFF" w:themeColor="background1"/>
      <w:sz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3C12"/>
    <w:pPr>
      <w:numPr>
        <w:ilvl w:val="1"/>
        <w:numId w:val="23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60" w:after="60" w:line="240" w:lineRule="auto"/>
      <w:outlineLvl w:val="1"/>
    </w:pPr>
    <w:rPr>
      <w:rFonts w:eastAsiaTheme="minorHAnsi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3C12"/>
    <w:pPr>
      <w:numPr>
        <w:ilvl w:val="2"/>
        <w:numId w:val="21"/>
      </w:numPr>
      <w:pBdr>
        <w:top w:val="single" w:sz="6" w:space="2" w:color="5B9BD5" w:themeColor="accent1"/>
      </w:pBdr>
      <w:spacing w:before="60" w:after="60"/>
      <w:outlineLvl w:val="2"/>
    </w:pPr>
    <w:rPr>
      <w:rFonts w:eastAsiaTheme="minorHAnsi"/>
      <w:color w:val="1F4D78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C12"/>
    <w:pPr>
      <w:numPr>
        <w:ilvl w:val="3"/>
        <w:numId w:val="23"/>
      </w:numPr>
      <w:pBdr>
        <w:top w:val="dotted" w:sz="6" w:space="2" w:color="5B9BD5" w:themeColor="accent1"/>
      </w:pBdr>
      <w:bidi w:val="0"/>
      <w:spacing w:before="200" w:after="0"/>
      <w:outlineLvl w:val="3"/>
    </w:pPr>
    <w:rPr>
      <w:rFonts w:eastAsiaTheme="minorHAnsi" w:cstheme="minorBidi"/>
      <w:color w:val="2E74B5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06D"/>
    <w:rPr>
      <w:rFonts w:eastAsiaTheme="minorEastAsia" w:cs="B Mitra"/>
      <w:b/>
      <w:bCs/>
      <w:color w:val="FFFFFF" w:themeColor="background1"/>
      <w:sz w:val="26"/>
      <w:szCs w:val="26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83C12"/>
    <w:rPr>
      <w:rFonts w:cs="B Mitra"/>
      <w:sz w:val="26"/>
      <w:szCs w:val="28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D9246F"/>
    <w:pPr>
      <w:spacing w:before="0" w:after="0"/>
    </w:pPr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46F"/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83C12"/>
    <w:rPr>
      <w:rFonts w:cs="B Mitra"/>
      <w:color w:val="1F4D78" w:themeColor="accent1" w:themeShade="7F"/>
      <w:sz w:val="2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27860"/>
    <w:pPr>
      <w:spacing w:before="0" w:line="240" w:lineRule="auto"/>
    </w:pPr>
    <w:rPr>
      <w:color w:val="44546A" w:themeColor="text2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56EF8"/>
    <w:rPr>
      <w:color w:val="2E74B5" w:themeColor="accent1" w:themeShade="BF"/>
      <w:spacing w:val="10"/>
    </w:rPr>
  </w:style>
  <w:style w:type="paragraph" w:styleId="NoSpacing">
    <w:name w:val="No Spacing"/>
    <w:link w:val="NoSpacingChar"/>
    <w:uiPriority w:val="1"/>
    <w:qFormat/>
    <w:rsid w:val="00AE7C51"/>
    <w:pPr>
      <w:spacing w:before="100"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E7C51"/>
    <w:rPr>
      <w:rFonts w:eastAsiaTheme="minorEastAsia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AE7C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07"/>
    <w:rPr>
      <w:rFonts w:eastAsiaTheme="minorEastAsia" w:cs="B Mitra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07"/>
    <w:rPr>
      <w:rFonts w:eastAsiaTheme="minorEastAsia" w:cs="B Mitra"/>
      <w:sz w:val="24"/>
      <w:szCs w:val="26"/>
    </w:rPr>
  </w:style>
  <w:style w:type="table" w:styleId="TableGrid">
    <w:name w:val="Table Grid"/>
    <w:basedOn w:val="TableNormal"/>
    <w:uiPriority w:val="39"/>
    <w:rsid w:val="00B46C07"/>
    <w:pPr>
      <w:spacing w:before="100" w:after="0" w:line="240" w:lineRule="auto"/>
    </w:pPr>
    <w:rPr>
      <w:rFonts w:eastAsiaTheme="minorEastAsia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55B5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 w:val="0"/>
      <w:spacing w:before="240" w:after="0" w:line="259" w:lineRule="auto"/>
      <w:jc w:val="center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C55B5"/>
  </w:style>
  <w:style w:type="paragraph" w:styleId="TOC2">
    <w:name w:val="toc 2"/>
    <w:basedOn w:val="Normal"/>
    <w:next w:val="Normal"/>
    <w:autoRedefine/>
    <w:uiPriority w:val="39"/>
    <w:unhideWhenUsed/>
    <w:rsid w:val="00AC55B5"/>
    <w:pPr>
      <w:tabs>
        <w:tab w:val="right" w:leader="dot" w:pos="9016"/>
      </w:tabs>
      <w:ind w:left="2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55B5"/>
    <w:rPr>
      <w:rFonts w:cs="B Mitra"/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C55B5"/>
    <w:pPr>
      <w:ind w:left="480"/>
    </w:pPr>
  </w:style>
  <w:style w:type="paragraph" w:styleId="ListParagraph">
    <w:name w:val="List Paragraph"/>
    <w:basedOn w:val="Normal"/>
    <w:uiPriority w:val="34"/>
    <w:qFormat/>
    <w:rsid w:val="00AC55B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F6F35"/>
    <w:pPr>
      <w:spacing w:before="100" w:after="0" w:line="240" w:lineRule="auto"/>
    </w:pPr>
    <w:rPr>
      <w:sz w:val="20"/>
      <w:szCs w:val="20"/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1">
    <w:name w:val="List Table 5 Dark Accent 1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">
    <w:name w:val="شناسه سند"/>
    <w:basedOn w:val="TableNormal"/>
    <w:uiPriority w:val="99"/>
    <w:rsid w:val="00125D6E"/>
    <w:pPr>
      <w:spacing w:after="0" w:line="240" w:lineRule="auto"/>
      <w:jc w:val="center"/>
    </w:pPr>
    <w:rPr>
      <w:rFonts w:cs="B Mitra"/>
      <w:szCs w:val="24"/>
    </w:rPr>
    <w:tblPr>
      <w:tblStyleRowBandSize w:val="1"/>
      <w:tblBorders>
        <w:bottom w:val="single" w:sz="12" w:space="0" w:color="DEEAF6" w:themeColor="accent1" w:themeTint="33"/>
      </w:tblBorders>
    </w:tblPr>
    <w:tcPr>
      <w:shd w:val="clear" w:color="auto" w:fill="F7FAFD"/>
      <w:vAlign w:val="center"/>
    </w:tcPr>
    <w:tblStylePr w:type="firstRow">
      <w:pPr>
        <w:jc w:val="center"/>
      </w:pPr>
      <w:rPr>
        <w:bCs/>
        <w:szCs w:val="24"/>
      </w:rPr>
      <w:tblPr/>
      <w:tcPr>
        <w:tcBorders>
          <w:top w:val="nil"/>
          <w:left w:val="nil"/>
          <w:bottom w:val="single" w:sz="18" w:space="0" w:color="DEEAF6" w:themeColor="accent1" w:themeTint="33"/>
          <w:right w:val="nil"/>
          <w:insideH w:val="nil"/>
          <w:insideV w:val="nil"/>
          <w:tl2br w:val="nil"/>
          <w:tr2bl w:val="nil"/>
        </w:tcBorders>
        <w:shd w:val="clear" w:color="auto" w:fill="F7FAFD"/>
      </w:tcPr>
    </w:tblStylePr>
    <w:tblStylePr w:type="lastRow">
      <w:tblPr/>
      <w:tcPr>
        <w:tcBorders>
          <w:bottom w:val="single" w:sz="4" w:space="0" w:color="DEEAF6" w:themeColor="accent1" w:themeTint="33"/>
        </w:tcBorders>
        <w:shd w:val="clear" w:color="auto" w:fill="F7FAFD"/>
      </w:tcPr>
    </w:tblStylePr>
    <w:tblStylePr w:type="band1Horz">
      <w:pPr>
        <w:jc w:val="left"/>
      </w:pPr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  <w:tblStylePr w:type="band2Horz"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</w:style>
  <w:style w:type="paragraph" w:styleId="NormalWeb">
    <w:name w:val="Normal (Web)"/>
    <w:basedOn w:val="Normal"/>
    <w:uiPriority w:val="99"/>
    <w:semiHidden/>
    <w:unhideWhenUsed/>
    <w:rsid w:val="004A0E5E"/>
    <w:rPr>
      <w:rFonts w:ascii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E5E"/>
    <w:pPr>
      <w:spacing w:before="0"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E5E"/>
    <w:rPr>
      <w:rFonts w:ascii="Calibri" w:eastAsia="Times New Roman" w:hAnsi="Calibri" w:cs="B Mitr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E5E"/>
    <w:pPr>
      <w:spacing w:after="20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E5E"/>
    <w:rPr>
      <w:rFonts w:ascii="Calibri" w:eastAsia="Times New Roman" w:hAnsi="Calibri"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E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A0E5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odc.org/unodc/en/treaties/CAC/" TargetMode="External"/><Relationship Id="rId2" Type="http://schemas.openxmlformats.org/officeDocument/2006/relationships/hyperlink" Target="http://www.opengovguide.com/commitments/asset-disclosure/" TargetMode="External"/><Relationship Id="rId1" Type="http://schemas.openxmlformats.org/officeDocument/2006/relationships/hyperlink" Target="http://www.opengovguide.com/topics/assets-disclosureconflicts-of-interest/" TargetMode="External"/><Relationship Id="rId5" Type="http://schemas.openxmlformats.org/officeDocument/2006/relationships/hyperlink" Target="http://www.opengovguide.com/commitments/establish-regulations-governing-gifts-offered-to-public-sector-officials/" TargetMode="External"/><Relationship Id="rId4" Type="http://schemas.openxmlformats.org/officeDocument/2006/relationships/hyperlink" Target="http://www.opengovguide.com/commitments/establish-regulations-governing-post-government-private-sector-employ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khani\Documents\Custom%20Office%20Templates\T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‏01 / 01 / 1395</PublishDate>
  <Abstract>خلاصه</Abstract>
  <CompanyAddress>TP4.ir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C51AB2-7DC3-40B1-B101-9784C0B7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</Template>
  <TotalTime>233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راهنمای حاکمیت باز</vt:lpstr>
    </vt:vector>
  </TitlesOfParts>
  <Company>پویش ملّی «شفّافیت داوطلبانه» نامزدهای نمایندگی مجلس شورای اسلامی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راهنمای حاکمیت باز</dc:title>
  <dc:subject>افشای درآمد و دارایی‌ها بخش اول</dc:subject>
  <dc:creator>MohammadHossein Khani</dc:creator>
  <cp:keywords/>
  <dc:description/>
  <cp:lastModifiedBy>Mohammad Hossein Khani</cp:lastModifiedBy>
  <cp:revision>23</cp:revision>
  <dcterms:created xsi:type="dcterms:W3CDTF">2016-07-18T14:54:00Z</dcterms:created>
  <dcterms:modified xsi:type="dcterms:W3CDTF">2016-07-19T09:47:00Z</dcterms:modified>
</cp:coreProperties>
</file>