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34" w:rsidRPr="00E86D42" w:rsidRDefault="007B1134" w:rsidP="007B1134">
      <w:pPr>
        <w:bidi/>
        <w:spacing w:after="0" w:line="240" w:lineRule="auto"/>
        <w:jc w:val="center"/>
        <w:rPr>
          <w:rFonts w:ascii="Tahoma" w:eastAsia="Times New Roman" w:hAnsi="Tahoma" w:cs="B Jadid"/>
          <w:b/>
          <w:bCs/>
          <w:sz w:val="48"/>
          <w:szCs w:val="48"/>
          <w:rtl/>
        </w:rPr>
      </w:pPr>
      <w:bookmarkStart w:id="0" w:name="_GoBack"/>
      <w:bookmarkEnd w:id="0"/>
      <w:r w:rsidRPr="00E86D42">
        <w:rPr>
          <w:rFonts w:ascii="Tahoma" w:eastAsia="Times New Roman" w:hAnsi="Tahoma" w:cs="B Jadid"/>
          <w:b/>
          <w:bCs/>
          <w:sz w:val="48"/>
          <w:szCs w:val="48"/>
          <w:rtl/>
        </w:rPr>
        <w:t>آنتي دوت مصرفي در برخي از مسموميت ها</w:t>
      </w:r>
    </w:p>
    <w:p w:rsidR="009C2D58" w:rsidRPr="009C2D58" w:rsidRDefault="009C2D58" w:rsidP="009C2D58">
      <w:pPr>
        <w:bidi/>
        <w:spacing w:after="0" w:line="240" w:lineRule="auto"/>
        <w:jc w:val="center"/>
        <w:rPr>
          <w:rFonts w:ascii="Tahoma" w:eastAsia="Times New Roman" w:hAnsi="Tahoma" w:cs="B Jadid"/>
          <w:b/>
          <w:bCs/>
          <w:sz w:val="36"/>
          <w:szCs w:val="36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429"/>
        <w:gridCol w:w="5545"/>
      </w:tblGrid>
      <w:tr w:rsidR="007B1134" w:rsidRPr="007B1134" w:rsidTr="002B4C32">
        <w:trPr>
          <w:tblHeader/>
        </w:trPr>
        <w:tc>
          <w:tcPr>
            <w:tcW w:w="2325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32"/>
                <w:szCs w:val="32"/>
              </w:rPr>
            </w:pPr>
            <w:r w:rsidRPr="009C2D58">
              <w:rPr>
                <w:rFonts w:ascii="Tahoma" w:eastAsia="Times New Roman" w:hAnsi="Tahoma" w:cs="B Nazanin"/>
                <w:b/>
                <w:bCs/>
                <w:color w:val="FFFFFF"/>
                <w:sz w:val="32"/>
                <w:szCs w:val="32"/>
                <w:rtl/>
              </w:rPr>
              <w:t>مسموميت با</w:t>
            </w:r>
          </w:p>
        </w:tc>
        <w:tc>
          <w:tcPr>
            <w:tcW w:w="2429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32"/>
                <w:szCs w:val="32"/>
              </w:rPr>
            </w:pPr>
            <w:r w:rsidRPr="009C2D58">
              <w:rPr>
                <w:rFonts w:ascii="Tahoma" w:eastAsia="Times New Roman" w:hAnsi="Tahoma" w:cs="B Nazanin"/>
                <w:b/>
                <w:bCs/>
                <w:color w:val="FFFFFF"/>
                <w:sz w:val="32"/>
                <w:szCs w:val="32"/>
                <w:rtl/>
              </w:rPr>
              <w:t>آنتي دوت</w:t>
            </w:r>
          </w:p>
        </w:tc>
        <w:tc>
          <w:tcPr>
            <w:tcW w:w="5542" w:type="dxa"/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32"/>
                <w:szCs w:val="32"/>
              </w:rPr>
            </w:pPr>
            <w:r w:rsidRPr="009C2D58">
              <w:rPr>
                <w:rFonts w:ascii="Tahoma" w:eastAsia="Times New Roman" w:hAnsi="Tahoma" w:cs="B Nazanin"/>
                <w:b/>
                <w:bCs/>
                <w:color w:val="FFFFFF"/>
                <w:sz w:val="32"/>
                <w:szCs w:val="32"/>
                <w:rtl/>
              </w:rPr>
              <w:t>دوزاژ مصرفی آنتی دوت</w:t>
            </w:r>
          </w:p>
        </w:tc>
      </w:tr>
      <w:tr w:rsidR="007B1134" w:rsidRPr="009C2D58" w:rsidTr="002B4C32">
        <w:tc>
          <w:tcPr>
            <w:tcW w:w="2325" w:type="dxa"/>
            <w:vMerge w:val="restart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آتروپين و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آنتی کلی نرژیک ها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Atropine &amp; Anticholinergic agents </w:t>
            </w:r>
          </w:p>
        </w:tc>
        <w:tc>
          <w:tcPr>
            <w:tcW w:w="2429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نئوستيگمين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Neostigmine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بزرگسالان: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-2mg0.5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از راه وريدي آهسته و در صورت نیاز تکرار شود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دوز کلی به ندرت از 5 میلی گرم تجاوز می کند.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كودكان :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kg/Dose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/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0.025-0.08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تزریق آهسته وریدی </w:t>
            </w:r>
          </w:p>
        </w:tc>
      </w:tr>
      <w:tr w:rsidR="007B1134" w:rsidRPr="009C2D58" w:rsidTr="002B4C32">
        <w:tc>
          <w:tcPr>
            <w:tcW w:w="2325" w:type="dxa"/>
            <w:vMerge/>
            <w:vAlign w:val="center"/>
            <w:hideMark/>
          </w:tcPr>
          <w:p w:rsidR="007B1134" w:rsidRPr="009C2D58" w:rsidRDefault="007B1134" w:rsidP="007B1134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</w:p>
        </w:tc>
        <w:tc>
          <w:tcPr>
            <w:tcW w:w="2429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فیزوستيگمين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Physostigmine</w:t>
            </w:r>
            <w:proofErr w:type="spellEnd"/>
          </w:p>
        </w:tc>
        <w:tc>
          <w:tcPr>
            <w:tcW w:w="55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کودکان: 5/0 میلی گرم به صورت تزریق آهسته وریدی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بالغین: 2-5/0 میلی گرم به صورت تزریق آهسته وریدی </w:t>
            </w:r>
          </w:p>
        </w:tc>
      </w:tr>
      <w:tr w:rsidR="007B1134" w:rsidRPr="009C2D58" w:rsidTr="002B4C32">
        <w:tc>
          <w:tcPr>
            <w:tcW w:w="2325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اتيلن گليكول و متانول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Ethylene glycol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&amp; Methanol </w:t>
            </w:r>
          </w:p>
        </w:tc>
        <w:tc>
          <w:tcPr>
            <w:tcW w:w="2429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اتانول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Ethanol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Ml/kg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10-5/7 از اتانول 10% در دکستروز 5% بصورت وريدي در ظرف مدت 1 ساعت و سپس دوز نگه دارنده بصورت انفوزيون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ml/kg/hour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4/1</w:t>
            </w:r>
          </w:p>
        </w:tc>
      </w:tr>
      <w:tr w:rsidR="007B1134" w:rsidRPr="009C2D58" w:rsidTr="002B4C32">
        <w:tc>
          <w:tcPr>
            <w:tcW w:w="2325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اتانول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Ethanol </w:t>
            </w:r>
          </w:p>
        </w:tc>
        <w:tc>
          <w:tcPr>
            <w:tcW w:w="2429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تیامین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Thiamine 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بالغین: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100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عرض 5 دقیقه یا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IM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کودکان 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50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عرض 5 دقیقه یا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در صورت نیاز هر 8 ساعت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5-100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تجویز مجدد شود. </w:t>
            </w:r>
          </w:p>
        </w:tc>
      </w:tr>
      <w:tr w:rsidR="007B1134" w:rsidRPr="009C2D58" w:rsidTr="002B4C32">
        <w:tc>
          <w:tcPr>
            <w:tcW w:w="2325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استامينوفن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Acetaminophen</w:t>
            </w:r>
          </w:p>
        </w:tc>
        <w:tc>
          <w:tcPr>
            <w:tcW w:w="2429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استيل سيستنين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Acetyl cysteine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(NAC)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جهت رقيق نمودن محلول 30% و رساندن آن به محلول 5 درصد مي توان از آب يا شربت استفاده كرد.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روش درمان :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Mg/kg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140 از راه خوراكي به بيمار داده و تك دوز نگه دارنده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Mg/kg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70 هر 4 ساعت كه بايد17 مرتبه </w:t>
            </w:r>
            <w:proofErr w:type="gram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تكرارشود .</w:t>
            </w:r>
            <w:proofErr w:type="gramEnd"/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* در صورت بروز استفراغ پس از هر دوز خوراكي بايد مجدداً دوز خوراكي تكرار شود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* اگر از زمان مسموميت بيمار بيش از 48 ساعت گذشته باشد و آزمايش تست كبدي نرمال باشد به درمان با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NAC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نياز نيست ولي اگر آزمايش تست كبدي غيرنرمال باشد بايد درمان با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NAC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هر چه سريعتر شروع شود .</w:t>
            </w:r>
          </w:p>
        </w:tc>
      </w:tr>
      <w:tr w:rsidR="007B1134" w:rsidRPr="009C2D58" w:rsidTr="002B4C32">
        <w:tc>
          <w:tcPr>
            <w:tcW w:w="2325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قارچ های حاوی موسکارین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حشره کش های کاربامات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ارگانو فسفات ها</w:t>
            </w:r>
          </w:p>
        </w:tc>
        <w:tc>
          <w:tcPr>
            <w:tcW w:w="2429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آتروپين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Atropine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بزرگسالان 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2-1 وريدي هر 10 تا 20 دقیقه دوزاژ تکرار شود تا اینکه بیمار آتروپینه شود.(ضربان قلب نرمال، مردمک گشاد شده, عدم خس خس و خشکی دهان، تا اینکه بهبودی بالینی بیمار مشاهده شود)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كودكان : 5/0 ميلي گرم به ازاء هر كيلوگرم وزن</w:t>
            </w:r>
          </w:p>
        </w:tc>
      </w:tr>
      <w:tr w:rsidR="007B1134" w:rsidRPr="009C2D58" w:rsidTr="002B4C32">
        <w:tc>
          <w:tcPr>
            <w:tcW w:w="2325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ديگوكسين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Digoxine</w:t>
            </w:r>
            <w:proofErr w:type="spellEnd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فاب آنتي بادي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Digoxine</w:t>
            </w:r>
            <w:proofErr w:type="spellEnd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Immuno</w:t>
            </w:r>
            <w:proofErr w:type="spellEnd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 fab </w:t>
            </w: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Antibady</w:t>
            </w:r>
            <w:proofErr w:type="spellEnd"/>
          </w:p>
        </w:tc>
        <w:tc>
          <w:tcPr>
            <w:tcW w:w="55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اگر بيمار به شدت بد حال است و وسايل سنجش سطح خوني ديگوكسين در دست نمي باشد 20-10 ويال آنتي دوت را به بيمار تزريق مي كنيم . در صورت سنجش سطح خوني ، ميزان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>تجويز آنتي دوت بر مبناي جداول موجود صورت مي گيرد .</w:t>
            </w:r>
          </w:p>
        </w:tc>
      </w:tr>
      <w:tr w:rsidR="007B1134" w:rsidRPr="009C2D58" w:rsidTr="002B4C32">
        <w:tc>
          <w:tcPr>
            <w:tcW w:w="2325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lastRenderedPageBreak/>
              <w:t>سيانيد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Cyanide</w:t>
            </w:r>
          </w:p>
        </w:tc>
        <w:tc>
          <w:tcPr>
            <w:tcW w:w="2429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آمیل نیتریت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نیتریت سدیم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تيوسولفات سديم</w:t>
            </w:r>
          </w:p>
        </w:tc>
        <w:tc>
          <w:tcPr>
            <w:tcW w:w="55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1-آمپول آمیل نیتریت را شکانده و به بیمار اجازه دهید که 15 ثانیه آن را استشمام کند و سپس برای 15 ثانیه آن را دور کنید و هر سه دقیقه یکبار از یک آمپول جدید استفاده کنید.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2-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300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نیتریت سدیم (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10 ml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ازمحلول 3% آن) طی 3 الی 5 دقیقه آهسته از راه تزریق وریدی تجویز شود. در کودکان این مقدار 33/0-15/0 میلی لیتر بر کلیوگرم تا حداکثر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10 Ml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قابل تجویز است.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3-بعد از تزریق نیتریت سدیم از تیوسولفات سدیم به میزان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12.5 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از محلول 25%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استفاده می شود .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در کودکان مقدار تجویزی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1.65 ml/kg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می باشدتا حداکثر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50ml</w:t>
            </w:r>
          </w:p>
        </w:tc>
      </w:tr>
      <w:tr w:rsidR="007B1134" w:rsidRPr="009C2D58" w:rsidTr="002B4C32">
        <w:tc>
          <w:tcPr>
            <w:tcW w:w="2325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فنوباربیتال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ضد افسردگی سه حلقه ای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سالسیلات ها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سدیم بیکربنات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Sodium Bicarbonate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2-1 میلی اکی والان به ازای هر کیلوگرم وزن بدن به صورت تزریق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یکجا، سپس انفوزیون مداوم 100 میلی اکی والان بیکربنات سدیم حل شده در یک لیتر دکستروز 5% تارسیدن به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PH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ادرار بالاتر از 45/7 </w:t>
            </w:r>
          </w:p>
        </w:tc>
      </w:tr>
      <w:tr w:rsidR="007B1134" w:rsidRPr="009C2D58" w:rsidTr="002B4C32">
        <w:tc>
          <w:tcPr>
            <w:tcW w:w="2325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هیپوگلیسمی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گلوكزهيپرتونيك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همانند مسموميت با انسولين است با اين تفاوت كه به دليل بالا بودن نيمه عمر اين داروها درمان با گلوكز حداقل براي 3 روز ادامه يابد .</w:t>
            </w:r>
          </w:p>
        </w:tc>
      </w:tr>
      <w:tr w:rsidR="007B1134" w:rsidRPr="009C2D58" w:rsidTr="002B4C32">
        <w:tc>
          <w:tcPr>
            <w:tcW w:w="2325" w:type="dxa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پروپرانولول و هیپوگلیسمی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Propranolol &amp; Hypoglycemic agents 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گلوکاگون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Glucagon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بالغین و کودکان با وزن بالاتر از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20 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0.5-1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تزریق زیر پوستی،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یا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کودکان با وزن کمتر از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20 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0.025 -0.1 mg/kg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هر دوز (حداکثر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)به صورت تزریق زیر پوستی،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یا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نوزادان: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0.3 mg/kg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هر دوز به صورت تزریق زیر پوستی،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یا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</w:p>
        </w:tc>
      </w:tr>
      <w:tr w:rsidR="007B1134" w:rsidRPr="009C2D58" w:rsidTr="002B4C32">
        <w:tc>
          <w:tcPr>
            <w:tcW w:w="2325" w:type="dxa"/>
            <w:vMerge w:val="restart"/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فلزات سنگين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(طلا-آرسنیک) 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Heavy metals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دایمرکاپرول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Dimercaprol</w:t>
            </w:r>
            <w:proofErr w:type="spellEnd"/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(</w:t>
            </w: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Bal</w:t>
            </w:r>
            <w:proofErr w:type="spellEnd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3-5 mg/kg/dose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تزریق عمیق عضلانی هر 4 ساعت تا زمانی که علائم گوارشی سرکوب شود وسپس برای بیمار دی-پنی </w:t>
            </w:r>
            <w:r w:rsidRPr="009C2D5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–</w:t>
            </w:r>
            <w:r w:rsidRPr="009C2D58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سیلامین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9C2D58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تجویز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9C2D58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می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</w:t>
            </w:r>
            <w:r w:rsidRPr="009C2D58">
              <w:rPr>
                <w:rFonts w:ascii="Tahoma" w:eastAsia="Times New Roman" w:hAnsi="Tahoma" w:cs="B Nazanin" w:hint="cs"/>
                <w:color w:val="000000"/>
                <w:sz w:val="28"/>
                <w:szCs w:val="28"/>
                <w:rtl/>
              </w:rPr>
              <w:t>شود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. </w:t>
            </w:r>
          </w:p>
        </w:tc>
      </w:tr>
      <w:tr w:rsidR="007B1134" w:rsidRPr="009C2D58" w:rsidTr="002B4C32">
        <w:tc>
          <w:tcPr>
            <w:tcW w:w="2325" w:type="dxa"/>
            <w:vMerge/>
            <w:vAlign w:val="center"/>
            <w:hideMark/>
          </w:tcPr>
          <w:p w:rsidR="007B1134" w:rsidRPr="009C2D58" w:rsidRDefault="007B1134" w:rsidP="007B1134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دی-پنی سیلامین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D-</w:t>
            </w: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penicillamine</w:t>
            </w:r>
            <w:proofErr w:type="spellEnd"/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20-30 mg/kg/day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4-3 دوز منقسم تا حداکثر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2 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بالغین</w:t>
            </w:r>
          </w:p>
          <w:p w:rsidR="007B1134" w:rsidRPr="009C2D58" w:rsidRDefault="007B1134" w:rsidP="007B1134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  <w:lang w:bidi="fa-IR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در مسمومیت خفیف تا متوسط با سرب در کودکان دوزهای پایین تر یعنی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15 mg/kg/day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مشتقات کومارین و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وارفارين 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Warfarine</w:t>
            </w:r>
            <w:proofErr w:type="spellEnd"/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ویتامین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K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Phytonadion</w:t>
            </w:r>
            <w:proofErr w:type="spellEnd"/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(</w:t>
            </w: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Vit</w:t>
            </w:r>
            <w:proofErr w:type="spellEnd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 k)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کودکان: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1-5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بالغین: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10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در موارد مسمومیت شدید می توان به صورت تزریق وریدی تجویز نمود.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در مورد خونريزي هاي خطرناك :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* (</w:t>
            </w: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ffp</w:t>
            </w:r>
            <w:proofErr w:type="spellEnd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) به ميزان 500-250 سي سي در بالغين و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mg/kg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10-5 در كودكان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* خون كاملاً تازه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هپارين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Heparin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سولفات پروتامين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Protamine 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sulfate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تزریق با حداکثر سرعت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5 mg/min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تا دوز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200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عرض دو ساعت 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نکته: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پروتامین ، 90 واحد هپارین ریه گاوی یا 115 واحد هپارین روده ای خوک را خنثی می کند. 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يد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Iodine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نشاسته </w:t>
            </w: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scarch</w:t>
            </w:r>
            <w:proofErr w:type="spellEnd"/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شستشوي معده با نشاسته 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روش : 15 گرم نشاسته در 500 سي سي آب ريخته و به فاصله ربع ساعت به بيمار مي دهيم تا زماني كه رنگ محتويات معده ديگر اين رنگ نباشد.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آهن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Iron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دفروكسامين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Deferuxamine</w:t>
            </w:r>
            <w:proofErr w:type="spellEnd"/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Mg/kg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15-10 تا حداکثر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 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شكل عضلاني هر 8 ساعت 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تجویز بیش از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6 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عرض 24 ساعت مجاز نمی باشد.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ايزونيازيد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Isoniazid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پيريدوكسين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Pyridoxine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(</w:t>
            </w: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Vit</w:t>
            </w:r>
            <w:proofErr w:type="spellEnd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 B6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تجویز وریدی ویتامین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B6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میزان ایزونیازید مصرف شده و در صورت نامشخص بودن دوز ایزونیازید،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5 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ویتامین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B6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در عرض 60-30 دقیقه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اپیات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(هروئین،مورفین، کدئین) 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Opiates 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نالوکسان 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Naloxone 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0.04-2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یک جا و در صورت عدم پاسخ ، می توان دوز را تکرار کرد تا حداکثر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10 mg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توجه: اگر با مجموع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10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پاسخی مشاهده نشود ، علت مسمومیت احتمالاً اپیوئید نیست. 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بنزودیازپین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Benzodiazepine 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فلومازنیل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Flumazenil 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0.2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مدت 30 ثانیه ، بعد از 30 ثانیه تجویز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0.3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از دارو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برای مدت 30 ثانیه و ادامه دادن تجویز دارو به صورت دوزهای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0.5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در طی 30 ثانیه با فواصل یک دقیقه ای تا رسیدن به دوز تجمعی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3 mg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فنوتیازین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Phenothiazines</w:t>
            </w:r>
            <w:proofErr w:type="spellEnd"/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بنزوتروپین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Benztropine</w:t>
            </w:r>
            <w:proofErr w:type="spellEnd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کودکان بالای 3 سال: حداکثر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،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یا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بالغین: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1-2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یا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توجه: مصرف بنزوتروپین در کودکان زیر 3 سال ممنوع است . </w:t>
            </w:r>
          </w:p>
        </w:tc>
      </w:tr>
      <w:tr w:rsidR="009C2D58" w:rsidRPr="009C2D58" w:rsidTr="002B4C32">
        <w:tc>
          <w:tcPr>
            <w:tcW w:w="2325" w:type="dxa"/>
            <w:vAlign w:val="center"/>
          </w:tcPr>
          <w:p w:rsidR="009C2D58" w:rsidRPr="009C2D58" w:rsidRDefault="009C2D58" w:rsidP="009C2D58">
            <w:pPr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دیفن هیدرامین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Diphenhydramine </w:t>
            </w:r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25-50 mg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هر 6-4 ساعت به صورت خوراکی 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IM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یا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توجه: در کودکان دیفن هیدرامین داروی انتخابی در کنترل علائم دیستونیک ناشی از مسمومیت با فنوتیازین هااست. 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هالوتان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Halothane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دانترولن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Dantrolen</w:t>
            </w:r>
            <w:proofErr w:type="spellEnd"/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تزریقی: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1-2 ml/kg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به صورت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سریع ، در صورت نیاز هر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5-10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دقیقه این دوز تکرار می شود تا حداکثر دوز کلی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10 mg/kg</w:t>
            </w:r>
          </w:p>
        </w:tc>
      </w:tr>
      <w:tr w:rsidR="009C2D58" w:rsidRPr="009C2D58" w:rsidTr="002B4C32">
        <w:tc>
          <w:tcPr>
            <w:tcW w:w="2325" w:type="dxa"/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منیزیم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نیش عنکبوت بیوه سیاه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هیدروفلوریک اسید(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HF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426" w:type="dxa"/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>کلسیم گلوکونات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 xml:space="preserve">Calcium </w:t>
            </w:r>
            <w:proofErr w:type="spellStart"/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Gluconate</w:t>
            </w:r>
            <w:proofErr w:type="spellEnd"/>
          </w:p>
        </w:tc>
        <w:tc>
          <w:tcPr>
            <w:tcW w:w="55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به ازای هر سانتیمتر مربع از ناحیه تماس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0.5 ml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از محلول کلسیم گلوکونات 10% به صورت زیر پوستی با نیدل ظریف تزریق شود. 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در موارد مسمومیت با منیزیم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 mg/kg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از محلول 10% کلسیم گلوکونات به صورت وریدی تزریق شود.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در گزیدگی عنکبوت بیوه سیاه : به صورت محلول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10%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تزریق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IV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 و با سرعت حداکثر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200 mg/min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بالغین: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0.5-2 g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کودکان: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200-500 mg</w:t>
            </w:r>
          </w:p>
          <w:p w:rsidR="009C2D58" w:rsidRPr="009C2D58" w:rsidRDefault="009C2D58" w:rsidP="009C2D58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  <w:rtl/>
              </w:rPr>
              <w:t xml:space="preserve">نوزادان: حداکثر </w:t>
            </w:r>
            <w:r w:rsidRPr="009C2D58"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  <w:t>200 mg</w:t>
            </w:r>
          </w:p>
        </w:tc>
      </w:tr>
    </w:tbl>
    <w:p w:rsidR="007B1134" w:rsidRDefault="007B1134" w:rsidP="007B1134">
      <w:pPr>
        <w:bidi/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9C2D58" w:rsidRPr="009C2D58" w:rsidRDefault="009C2D58" w:rsidP="009C2D58">
      <w:pPr>
        <w:bidi/>
        <w:spacing w:after="0" w:line="240" w:lineRule="auto"/>
        <w:rPr>
          <w:rFonts w:ascii="Tahoma" w:eastAsia="Times New Roman" w:hAnsi="Tahoma" w:cs="B Nazanin"/>
          <w:vanish/>
          <w:color w:val="000000"/>
          <w:sz w:val="28"/>
          <w:szCs w:val="28"/>
          <w:rtl/>
        </w:rPr>
      </w:pPr>
    </w:p>
    <w:p w:rsidR="007B1134" w:rsidRPr="007B1134" w:rsidRDefault="007B1134" w:rsidP="007B1134">
      <w:pPr>
        <w:bidi/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فهرست منابع: </w:t>
      </w:r>
    </w:p>
    <w:p w:rsidR="007B1134" w:rsidRPr="007B1134" w:rsidRDefault="007B1134" w:rsidP="007B1134">
      <w:pPr>
        <w:bidi/>
        <w:spacing w:after="0" w:line="240" w:lineRule="auto"/>
        <w:ind w:hanging="36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>-</w:t>
      </w:r>
      <w:r w:rsidRPr="007B1134">
        <w:rPr>
          <w:rFonts w:ascii="Times New Roman" w:eastAsia="Times New Roman" w:hAnsi="Times New Roman" w:cs="B Nazanin"/>
          <w:color w:val="0F243E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آشنایی با اصول اولیه کنترل مسمومیت ها و آنتی دوت های مرسوم تهیه شده در معاونت غذا و دارو دانشگاه علوم پزشکی شیراز (زمستان 89) </w:t>
      </w:r>
    </w:p>
    <w:p w:rsidR="007B1134" w:rsidRPr="007B1134" w:rsidRDefault="007B1134" w:rsidP="007B1134">
      <w:pPr>
        <w:bidi/>
        <w:spacing w:after="0" w:line="240" w:lineRule="auto"/>
        <w:ind w:hanging="36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>-</w:t>
      </w:r>
      <w:r w:rsidRPr="007B1134">
        <w:rPr>
          <w:rFonts w:ascii="Times New Roman" w:eastAsia="Times New Roman" w:hAnsi="Times New Roman" w:cs="B Nazanin"/>
          <w:color w:val="0F243E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ایران فارما (درسنامه جامع رسمی ایران) ، انتشارات طبیب و تیمور زاده </w:t>
      </w:r>
    </w:p>
    <w:p w:rsidR="007B1134" w:rsidRPr="007B1134" w:rsidRDefault="007B1134" w:rsidP="007B1134">
      <w:pPr>
        <w:bidi/>
        <w:spacing w:after="0" w:line="240" w:lineRule="auto"/>
        <w:ind w:hanging="360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>-</w:t>
      </w:r>
      <w:r w:rsidRPr="007B1134">
        <w:rPr>
          <w:rFonts w:ascii="Times New Roman" w:eastAsia="Times New Roman" w:hAnsi="Times New Roman" w:cs="B Nazanin"/>
          <w:color w:val="0F243E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تظاهرات اصلی و درمان بیماری ها </w:t>
      </w:r>
      <w:r w:rsidRPr="007B1134">
        <w:rPr>
          <w:rFonts w:ascii="Times New Roman" w:eastAsia="Times New Roman" w:hAnsi="Times New Roman" w:cs="Times New Roman" w:hint="cs"/>
          <w:color w:val="0F243E"/>
          <w:sz w:val="28"/>
          <w:szCs w:val="28"/>
          <w:rtl/>
        </w:rPr>
        <w:t>–</w:t>
      </w: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 w:hint="cs"/>
          <w:color w:val="0F243E"/>
          <w:sz w:val="28"/>
          <w:szCs w:val="28"/>
          <w:rtl/>
        </w:rPr>
        <w:t>مسمومیت</w:t>
      </w: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 w:hint="cs"/>
          <w:color w:val="0F243E"/>
          <w:sz w:val="28"/>
          <w:szCs w:val="28"/>
          <w:rtl/>
        </w:rPr>
        <w:t>ها،</w:t>
      </w: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 w:hint="cs"/>
          <w:color w:val="0F243E"/>
          <w:sz w:val="28"/>
          <w:szCs w:val="28"/>
          <w:rtl/>
        </w:rPr>
        <w:t>نوشته</w:t>
      </w: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 w:hint="cs"/>
          <w:color w:val="0F243E"/>
          <w:sz w:val="28"/>
          <w:szCs w:val="28"/>
          <w:rtl/>
        </w:rPr>
        <w:t>دکتر</w:t>
      </w: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 w:hint="cs"/>
          <w:color w:val="0F243E"/>
          <w:sz w:val="28"/>
          <w:szCs w:val="28"/>
          <w:rtl/>
        </w:rPr>
        <w:t>ع</w:t>
      </w:r>
      <w:r w:rsidRPr="007B1134">
        <w:rPr>
          <w:rFonts w:ascii="Tahoma" w:eastAsia="Times New Roman" w:hAnsi="Tahoma" w:cs="B Nazanin"/>
          <w:color w:val="0F243E"/>
          <w:sz w:val="28"/>
          <w:szCs w:val="28"/>
          <w:rtl/>
        </w:rPr>
        <w:t xml:space="preserve">بدالکریم پژومند </w:t>
      </w:r>
    </w:p>
    <w:p w:rsidR="007B1134" w:rsidRPr="007B1134" w:rsidRDefault="007B1134" w:rsidP="007B1134">
      <w:pPr>
        <w:bidi/>
        <w:spacing w:after="0" w:line="240" w:lineRule="auto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B1134">
        <w:rPr>
          <w:rFonts w:ascii="Tahoma" w:eastAsia="Times New Roman" w:hAnsi="Tahoma" w:cs="B Nazanin"/>
          <w:color w:val="000000"/>
          <w:sz w:val="28"/>
          <w:szCs w:val="28"/>
          <w:rtl/>
        </w:rPr>
        <w:t>تهیه وتنظیم:</w:t>
      </w:r>
    </w:p>
    <w:p w:rsidR="007B1134" w:rsidRPr="007B1134" w:rsidRDefault="007B1134" w:rsidP="007B1134">
      <w:pPr>
        <w:bidi/>
        <w:spacing w:after="0" w:line="240" w:lineRule="auto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B113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مریم السادات فاطمی </w:t>
      </w:r>
      <w:r w:rsidRPr="007B1134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–</w:t>
      </w:r>
      <w:r w:rsidRPr="007B113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سوپروایزر</w:t>
      </w:r>
      <w:r w:rsidRPr="007B1134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7B11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آموزشی</w:t>
      </w:r>
    </w:p>
    <w:p w:rsidR="007B1134" w:rsidRPr="007B1134" w:rsidRDefault="007B1134" w:rsidP="007B1134">
      <w:pPr>
        <w:bidi/>
        <w:spacing w:after="0" w:line="240" w:lineRule="auto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7B1134">
        <w:rPr>
          <w:rFonts w:ascii="Tahoma" w:eastAsia="Times New Roman" w:hAnsi="Tahoma" w:cs="B Nazanin"/>
          <w:color w:val="000000"/>
          <w:sz w:val="28"/>
          <w:szCs w:val="28"/>
          <w:rtl/>
        </w:rPr>
        <w:t>پاییز 90</w:t>
      </w:r>
    </w:p>
    <w:p w:rsidR="009D3ECC" w:rsidRPr="007B1134" w:rsidRDefault="009D3ECC" w:rsidP="007B1134">
      <w:pPr>
        <w:bidi/>
        <w:rPr>
          <w:rFonts w:cs="B Nazanin"/>
          <w:sz w:val="28"/>
          <w:szCs w:val="28"/>
          <w:rtl/>
          <w:lang w:bidi="fa-IR"/>
        </w:rPr>
      </w:pPr>
    </w:p>
    <w:sectPr w:rsidR="009D3ECC" w:rsidRPr="007B1134" w:rsidSect="00E86D4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34"/>
    <w:rsid w:val="002B4C32"/>
    <w:rsid w:val="00674682"/>
    <w:rsid w:val="007B1134"/>
    <w:rsid w:val="009C2D58"/>
    <w:rsid w:val="009D3ECC"/>
    <w:rsid w:val="00E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66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632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0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1250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Hajinezhad</dc:creator>
  <cp:lastModifiedBy>Hajinezhad</cp:lastModifiedBy>
  <cp:revision>5</cp:revision>
  <dcterms:created xsi:type="dcterms:W3CDTF">2014-01-21T09:01:00Z</dcterms:created>
  <dcterms:modified xsi:type="dcterms:W3CDTF">2014-02-05T02:39:00Z</dcterms:modified>
</cp:coreProperties>
</file>