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78D8" w:rsidRDefault="005924EB">
      <w:pPr>
        <w:ind w:left="0" w:firstLine="0"/>
        <w:contextualSpacing w:val="0"/>
        <w:jc w:val="center"/>
      </w:pPr>
      <w:r>
        <w:rPr>
          <w:noProof/>
        </w:rPr>
        <w:drawing>
          <wp:inline distT="114300" distB="114300" distL="114300" distR="114300">
            <wp:extent cx="1252538" cy="684721"/>
            <wp:effectExtent l="0" t="0" r="0" b="0"/>
            <wp:docPr id="1" name="image2.jpg" descr="بسم الل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بسم الله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684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78D8" w:rsidRDefault="005924EB">
      <w:pPr>
        <w:pStyle w:val="Title"/>
        <w:ind w:left="0" w:firstLine="0"/>
        <w:contextualSpacing w:val="0"/>
        <w:jc w:val="center"/>
      </w:pPr>
      <w:bookmarkStart w:id="0" w:name="_mzhuxnfvrh63" w:colFirst="0" w:colLast="0"/>
      <w:bookmarkEnd w:id="0"/>
      <w:r>
        <w:rPr>
          <w:rtl/>
        </w:rPr>
        <w:t>تفاوت شفافیت، افشاگری و گزارش‌گری تخلف</w:t>
      </w:r>
    </w:p>
    <w:p w:rsidR="00B478D8" w:rsidRDefault="005924EB">
      <w:pPr>
        <w:ind w:left="0" w:firstLine="0"/>
        <w:contextualSpacing w:val="0"/>
        <w:jc w:val="center"/>
      </w:pPr>
      <w:r>
        <w:rPr>
          <w:rtl/>
        </w:rPr>
        <w:t>نسخه 1.3، در حال تکمیل؛ 960216</w:t>
      </w:r>
    </w:p>
    <w:p w:rsidR="00B478D8" w:rsidRDefault="005924EB">
      <w:pPr>
        <w:ind w:left="0" w:firstLine="0"/>
        <w:contextualSpacing w:val="0"/>
        <w:jc w:val="center"/>
      </w:pPr>
      <w:hyperlink r:id="rId8">
        <w:r>
          <w:rPr>
            <w:color w:val="1155CC"/>
            <w:u w:val="single"/>
          </w:rPr>
          <w:t>http://l.tp4.ir/efsha</w:t>
        </w:r>
      </w:hyperlink>
      <w:r>
        <w:t xml:space="preserve"> </w:t>
      </w:r>
    </w:p>
    <w:p w:rsidR="00B478D8" w:rsidRDefault="005924EB">
      <w:pPr>
        <w:pStyle w:val="Heading1"/>
        <w:ind w:left="0" w:firstLine="0"/>
        <w:contextualSpacing w:val="0"/>
      </w:pPr>
      <w:bookmarkStart w:id="1" w:name="_cqmm1gynal5" w:colFirst="0" w:colLast="0"/>
      <w:bookmarkEnd w:id="1"/>
      <w:r>
        <w:rPr>
          <w:rtl/>
        </w:rPr>
        <w:t>مقدمه</w:t>
      </w:r>
    </w:p>
    <w:p w:rsidR="00B478D8" w:rsidRDefault="005924EB">
      <w:pPr>
        <w:ind w:left="0" w:firstLine="0"/>
        <w:contextualSpacing w:val="0"/>
        <w:jc w:val="both"/>
      </w:pPr>
      <w:r>
        <w:rPr>
          <w:rtl/>
        </w:rPr>
        <w:t xml:space="preserve">از جمله موارد آسیب‌زا در فضای سیاسی- رسانه‌ای کشور پیرامون کلان‌حوزه‌ی شفافیت، نام بردن از اتفاقات مختلف خوب یا </w:t>
      </w:r>
      <w:r>
        <w:rPr>
          <w:rtl/>
        </w:rPr>
        <w:t>بد ذیل عنوان کلی شفافیت است. حال آن‌که شفافیت خود به مثابه‌ی یک‌ کلان‌حوزه در بردارنده‌ی مؤلفه‌ها، بخش‌ها و روش‌های مختلفی است که آگاهی از آن‌ها برای فعالین‌ شفافیت، ضروری است. شناخت روش‌های مختلفی چون شفافیت ساختاری، افشاگری و گزارشگری تخلف برای فعالین حو</w:t>
      </w:r>
      <w:r>
        <w:rPr>
          <w:rtl/>
        </w:rPr>
        <w:t>زه‌ی شفافیت در سراسر کشور و البته عموم مردم برای تشخیص سره از ناسره در فضای ناشفاف و غبارآلود رسانه‌ای کشور ضرورتی انکار ناشدنی است. با توجه به سوالات پرتکرار فعالان محترم شفافیت در گروه تلگرامی مجمع شفافیت برای ایران، بر آن شدیم در یادداشت مختصری ضمن مرور</w:t>
      </w:r>
      <w:r>
        <w:rPr>
          <w:rtl/>
        </w:rPr>
        <w:t xml:space="preserve"> تعاریف سه‌گانه‌ی «شفافیت»، «افشاگری» و «گزارشگری تخلف» مهم‌ترین شباهت‌ها و تفاوت‌های این سه را در 8 محور برشماریم. </w:t>
      </w:r>
    </w:p>
    <w:p w:rsidR="00B478D8" w:rsidRDefault="005924EB">
      <w:pPr>
        <w:ind w:left="0" w:firstLine="0"/>
        <w:contextualSpacing w:val="0"/>
        <w:jc w:val="both"/>
      </w:pPr>
      <w:r>
        <w:rPr>
          <w:rtl/>
        </w:rPr>
        <w:t>توجه داشته باشید استفاده‌ی غلط و نابجا از مفاهیم سه‌گانه‌ی زیر در مواجه شدن با مسائل و مصادیق مختلف، موجب خسارت و از بین رفتن بار اجتماعی م</w:t>
      </w:r>
      <w:r>
        <w:rPr>
          <w:rtl/>
        </w:rPr>
        <w:t xml:space="preserve">فهوم درست و صحیح شفافیت خواهد شد و اثرگذاری آن را از بین خواهد برد. </w:t>
      </w:r>
    </w:p>
    <w:p w:rsidR="00B478D8" w:rsidRDefault="005924EB">
      <w:pPr>
        <w:ind w:left="0" w:firstLine="0"/>
        <w:contextualSpacing w:val="0"/>
        <w:jc w:val="both"/>
      </w:pPr>
      <w:r>
        <w:rPr>
          <w:rtl/>
        </w:rPr>
        <w:t xml:space="preserve">از شما فعالین محترم جبهه‌ی شفافیت دعوت می‌کنیم ضمن مطالعه و دقت در مختصر پیشرو، با نظرات، پیشهادات و انتقادات خود چون همیشه یاری‌گر ما در بهبود مطالب ارائه شده باشید. </w:t>
      </w:r>
    </w:p>
    <w:p w:rsidR="00B478D8" w:rsidRDefault="00B478D8">
      <w:pPr>
        <w:ind w:left="0" w:firstLine="0"/>
        <w:contextualSpacing w:val="0"/>
        <w:jc w:val="both"/>
      </w:pPr>
    </w:p>
    <w:p w:rsidR="00B478D8" w:rsidRDefault="00B478D8">
      <w:pPr>
        <w:ind w:left="0" w:firstLine="0"/>
        <w:contextualSpacing w:val="0"/>
      </w:pPr>
    </w:p>
    <w:tbl>
      <w:tblPr>
        <w:tblStyle w:val="a"/>
        <w:bidiVisual/>
        <w:tblW w:w="153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620"/>
        <w:gridCol w:w="4620"/>
        <w:gridCol w:w="4620"/>
      </w:tblGrid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  <w:rtl/>
              </w:rPr>
              <w:t>معیار</w:t>
            </w:r>
          </w:p>
        </w:tc>
        <w:tc>
          <w:tcPr>
            <w:tcW w:w="4620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color w:val="FFFFFF"/>
                <w:sz w:val="30"/>
                <w:szCs w:val="30"/>
              </w:rPr>
            </w:pPr>
            <w:r>
              <w:rPr>
                <w:color w:val="FFFFFF"/>
                <w:sz w:val="30"/>
                <w:szCs w:val="30"/>
                <w:rtl/>
              </w:rPr>
              <w:t>شفافیت ساخت</w:t>
            </w:r>
            <w:r>
              <w:rPr>
                <w:color w:val="FFFFFF"/>
                <w:sz w:val="30"/>
                <w:szCs w:val="30"/>
                <w:rtl/>
              </w:rPr>
              <w:t>اری</w:t>
            </w:r>
            <w:r>
              <w:rPr>
                <w:color w:val="FFFFFF"/>
                <w:sz w:val="30"/>
                <w:szCs w:val="30"/>
                <w:vertAlign w:val="superscript"/>
              </w:rPr>
              <w:footnoteReference w:id="1"/>
            </w:r>
            <w:r>
              <w:rPr>
                <w:color w:val="FFFFFF"/>
                <w:sz w:val="30"/>
                <w:szCs w:val="30"/>
                <w:rtl/>
              </w:rPr>
              <w:t xml:space="preserve"> (سیاسی)</w:t>
            </w:r>
          </w:p>
        </w:tc>
        <w:tc>
          <w:tcPr>
            <w:tcW w:w="4620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color w:val="FFFFFF"/>
                <w:sz w:val="30"/>
                <w:szCs w:val="30"/>
              </w:rPr>
            </w:pPr>
            <w:r>
              <w:rPr>
                <w:color w:val="FFFFFF"/>
                <w:sz w:val="30"/>
                <w:szCs w:val="30"/>
                <w:rtl/>
              </w:rPr>
              <w:t>افشاگری</w:t>
            </w:r>
          </w:p>
        </w:tc>
        <w:tc>
          <w:tcPr>
            <w:tcW w:w="4620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jc w:val="center"/>
              <w:rPr>
                <w:color w:val="FFFFFF"/>
                <w:sz w:val="30"/>
                <w:szCs w:val="30"/>
              </w:rPr>
            </w:pPr>
            <w:r>
              <w:rPr>
                <w:color w:val="FFFFFF"/>
                <w:sz w:val="30"/>
                <w:szCs w:val="30"/>
                <w:rtl/>
              </w:rPr>
              <w:t xml:space="preserve">گزارش‌گری تخلف 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t>تعریف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jc w:val="both"/>
            </w:pPr>
            <w:r>
              <w:rPr>
                <w:rtl/>
              </w:rPr>
              <w:t xml:space="preserve">شفافیت بمعنای ارائه حق اطلاعاتی مردم به </w:t>
            </w:r>
            <w:r>
              <w:rPr>
                <w:rtl/>
              </w:rPr>
              <w:t>آنها</w:t>
            </w:r>
            <w:r>
              <w:rPr>
                <w:rtl/>
              </w:rPr>
              <w:t xml:space="preserve"> است، به شرطی که اطلاعات داده شده ویژگی های ذیل را داشته باشند، این اطلاعات باید:</w:t>
            </w:r>
          </w:p>
          <w:p w:rsidR="00B478D8" w:rsidRDefault="005924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در زمان مناسب؛</w:t>
            </w:r>
          </w:p>
          <w:p w:rsidR="00B478D8" w:rsidRDefault="005924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lastRenderedPageBreak/>
              <w:t>در قالب مناسب؛</w:t>
            </w:r>
          </w:p>
          <w:p w:rsidR="00B478D8" w:rsidRDefault="005924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با کیفیت مناسب؛</w:t>
            </w:r>
          </w:p>
          <w:p w:rsidR="00B478D8" w:rsidRDefault="005924E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در محل مناسب؛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lastRenderedPageBreak/>
              <w:t xml:space="preserve"> بر ملا کردن و فاش کردن</w:t>
            </w:r>
            <w:r>
              <w:t xml:space="preserve"> </w:t>
            </w:r>
            <w:r>
              <w:rPr>
                <w:rtl/>
              </w:rPr>
              <w:t>مسئله ای اثبات نشده  به طور ساختارنایافته، معمولا در رسانه ها، به طوری که ممکن است موجب تضییع حق کسی/کسانی گردد.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jc w:val="both"/>
            </w:pPr>
            <w:r>
              <w:rPr>
                <w:rtl/>
              </w:rPr>
              <w:t>گزارش گری تخلف</w:t>
            </w:r>
            <w:r>
              <w:rPr>
                <w:vertAlign w:val="superscript"/>
              </w:rPr>
              <w:footnoteReference w:id="2"/>
            </w:r>
            <w:r>
              <w:rPr>
                <w:rtl/>
              </w:rPr>
              <w:t>، گزارش ساختاریافته اطلاعات</w:t>
            </w:r>
            <w:r>
              <w:rPr>
                <w:rtl/>
              </w:rPr>
              <w:t>ی</w:t>
            </w:r>
            <w:r>
              <w:rPr>
                <w:rtl/>
              </w:rPr>
              <w:t xml:space="preserve"> است مبن</w:t>
            </w:r>
            <w:r>
              <w:rPr>
                <w:rtl/>
              </w:rPr>
              <w:t>ی</w:t>
            </w:r>
            <w:r>
              <w:rPr>
                <w:rtl/>
              </w:rPr>
              <w:t xml:space="preserve"> بر: </w:t>
            </w:r>
          </w:p>
          <w:p w:rsidR="00B478D8" w:rsidRDefault="005924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نقض يك  قانون،‌حكم و يا ضابطه</w:t>
            </w:r>
          </w:p>
          <w:p w:rsidR="00B478D8" w:rsidRDefault="005924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سوء‌مديريت قابل توجه</w:t>
            </w:r>
          </w:p>
          <w:p w:rsidR="00B478D8" w:rsidRDefault="005924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lastRenderedPageBreak/>
              <w:t xml:space="preserve"> اتلاف منابع قابل توجه</w:t>
            </w:r>
          </w:p>
          <w:p w:rsidR="00B478D8" w:rsidRDefault="005924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سوء استفاده</w:t>
            </w:r>
            <w:r>
              <w:rPr>
                <w:rtl/>
              </w:rPr>
              <w:t xml:space="preserve"> از قدرت</w:t>
            </w:r>
          </w:p>
          <w:p w:rsidR="00B478D8" w:rsidRDefault="005924E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خطر مهم برا</w:t>
            </w:r>
            <w:r>
              <w:rPr>
                <w:rtl/>
              </w:rPr>
              <w:t>ی</w:t>
            </w:r>
            <w:r>
              <w:rPr>
                <w:rtl/>
              </w:rPr>
              <w:t xml:space="preserve"> امنيت يا سلامت عموم</w:t>
            </w:r>
            <w:r>
              <w:rPr>
                <w:rtl/>
              </w:rPr>
              <w:t>ی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lastRenderedPageBreak/>
              <w:t>ادبیات بین‌المللی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jc w:val="both"/>
            </w:pPr>
            <w:r>
              <w:t xml:space="preserve">Transparency, </w:t>
            </w:r>
            <w:r>
              <w:t>A</w:t>
            </w:r>
            <w:r>
              <w:t>ctive Disclosure</w:t>
            </w:r>
            <w:r>
              <w:t>, Public disclosure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jc w:val="both"/>
            </w:pPr>
            <w:r>
              <w:t>Revelation, Passive Disclosure</w:t>
            </w:r>
            <w:r>
              <w:t>, Leak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jc w:val="both"/>
            </w:pPr>
            <w:r>
              <w:t>Whistleblower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t>هدف نسبت به فساد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پیشگیری از فساد (از طریق کاهش احتمال رخداد فساد)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جلوگیری از گسترش فساد </w:t>
            </w:r>
            <w:r>
              <w:rPr>
                <w:rtl/>
              </w:rPr>
              <w:t xml:space="preserve">و  </w:t>
            </w:r>
            <w:r>
              <w:rPr>
                <w:rtl/>
              </w:rPr>
              <w:t>مقابله با آن</w:t>
            </w:r>
            <w:r>
              <w:rPr>
                <w:rtl/>
              </w:rPr>
              <w:t xml:space="preserve">(از طریق </w:t>
            </w:r>
            <w:r>
              <w:rPr>
                <w:rtl/>
              </w:rPr>
              <w:t>جلب توجه عمومی</w:t>
            </w:r>
            <w:r>
              <w:rPr>
                <w:rtl/>
              </w:rPr>
              <w:t xml:space="preserve"> و محکوم شدن فساد)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جلوگیری از گسترش فساد </w:t>
            </w:r>
            <w:r>
              <w:rPr>
                <w:rtl/>
              </w:rPr>
              <w:t>و  مقابله با آن (از طریق شناسایی و محکوم شدن مفسد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t>اهداف مهم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آگاهی عمومی؛ ارائه حق اطلاعاتی مردم</w:t>
            </w:r>
          </w:p>
          <w:p w:rsidR="00B478D8" w:rsidRDefault="005924E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اصلاح مشکلات/ ساختارها</w:t>
            </w:r>
          </w:p>
          <w:p w:rsidR="00B478D8" w:rsidRDefault="005924E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مشارکت مردم در حکمرانی</w:t>
            </w:r>
          </w:p>
          <w:p w:rsidR="00B478D8" w:rsidRDefault="005924E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پاسخگویی مسئولان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فاش کردن فساد رخ </w:t>
            </w:r>
            <w:r>
              <w:rPr>
                <w:rtl/>
              </w:rPr>
              <w:t>داده</w:t>
            </w:r>
          </w:p>
          <w:p w:rsidR="00B478D8" w:rsidRDefault="005924E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ضربه زدن به رقبا و حریفان</w:t>
            </w:r>
          </w:p>
          <w:p w:rsidR="00B478D8" w:rsidRDefault="00B478D8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jc w:val="both"/>
            </w:pP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جلوگیری از </w:t>
            </w:r>
            <w:r>
              <w:rPr>
                <w:rtl/>
              </w:rPr>
              <w:t>فساد</w:t>
            </w:r>
          </w:p>
          <w:p w:rsidR="00B478D8" w:rsidRDefault="005924EB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کسب درآمد برای گزارشگر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t>زمان ارائه اطلاعات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ارائه اطلاعات در زمان مناسب:</w:t>
            </w:r>
          </w:p>
          <w:p w:rsidR="00B478D8" w:rsidRDefault="005924E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به صورت پیشینی</w:t>
            </w:r>
          </w:p>
          <w:p w:rsidR="00B478D8" w:rsidRDefault="005924E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برخط، به موقع</w:t>
            </w:r>
          </w:p>
          <w:p w:rsidR="00B478D8" w:rsidRDefault="005924E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دسترسی به آرشیو داده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ارائه اطلاعات به صورت دفعی/ ناگهانی</w:t>
            </w:r>
          </w:p>
          <w:p w:rsidR="00B478D8" w:rsidRDefault="005924E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به صورت پسینی (پس از/ حین وقوع فساد) 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به صورت </w:t>
            </w:r>
            <w:r>
              <w:rPr>
                <w:rtl/>
              </w:rPr>
              <w:t xml:space="preserve">پسینی (پس از/ حین وقوع فساد) 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t>حجم ارائه اطلاعات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در حجم مناسب:</w:t>
            </w:r>
          </w:p>
          <w:p w:rsidR="00B478D8" w:rsidRDefault="005924EB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رعایت مصالح مختلف کشور</w:t>
            </w:r>
          </w:p>
          <w:p w:rsidR="00B478D8" w:rsidRDefault="005924EB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رعایت چارچوب‌های قانونی (</w:t>
            </w:r>
            <w:r>
              <w:t>i.e</w:t>
            </w:r>
            <w:r>
              <w:rPr>
                <w:rtl/>
              </w:rPr>
              <w:t xml:space="preserve">.: محرمانه‌های قانون </w:t>
            </w:r>
            <w:r>
              <w:t>FOI)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اطلاعات اندک، ناقص یا بسیار زیاد (بمباران اطلاعاتی): مشکلی را حل نمی‌کند/ موجب آگاهی نمی‌شود</w:t>
            </w:r>
            <w:r>
              <w:t>.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اطلاعات مورد نیاز برای</w:t>
            </w:r>
            <w:r>
              <w:rPr>
                <w:rtl/>
              </w:rPr>
              <w:t xml:space="preserve"> اثبات فساد،‌بر اساس قانون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t>قالب ارائه اطلاعات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ارائه در قالب‌های مناسب </w:t>
            </w:r>
            <w:r>
              <w:rPr>
                <w:rtl/>
              </w:rPr>
              <w:t xml:space="preserve">در قالب </w:t>
            </w:r>
            <w:r>
              <w:rPr>
                <w:rtl/>
              </w:rPr>
              <w:t>استاندارد 5 ستاره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مخفیانه منتشر شده، </w:t>
            </w:r>
            <w:r>
              <w:t>PDF</w:t>
            </w:r>
            <w:r>
              <w:rPr>
                <w:rtl/>
              </w:rPr>
              <w:t xml:space="preserve"> یا عکس یا گزارش ناقص</w:t>
            </w:r>
          </w:p>
          <w:p w:rsidR="00B478D8" w:rsidRDefault="005924EB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عدم امکان فرآوری و استفاده از داده‌ها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شواهد عینی و مستندات قابل ارائه توسط مردم 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t>مسئولیت ارائه و صحت اطلاعات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نهاد</w:t>
            </w:r>
            <w:r>
              <w:rPr>
                <w:rtl/>
              </w:rPr>
              <w:t xml:space="preserve"> دولتی یا غیردولتی رسمی 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احتمال ابهام در شخص یا نهاد فاش‌کننده داده</w:t>
            </w:r>
          </w:p>
          <w:p w:rsidR="00B478D8" w:rsidRDefault="005924E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مسئولیت ناپذیری نسبت به ارائه اطلاعات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شرکتهای حقوقی افشاگر تخلف</w:t>
            </w:r>
          </w:p>
          <w:p w:rsidR="00B478D8" w:rsidRDefault="005924E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 سازمان های مردم نهاد</w:t>
            </w:r>
          </w:p>
          <w:p w:rsidR="00B478D8" w:rsidRDefault="005924E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مردم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lastRenderedPageBreak/>
              <w:t>استفاده پذیری</w:t>
            </w:r>
            <w:r>
              <w:rPr>
                <w:color w:val="FFFFFF"/>
                <w:vertAlign w:val="superscript"/>
              </w:rPr>
              <w:footnoteReference w:id="4"/>
            </w:r>
            <w:r>
              <w:rPr>
                <w:color w:val="FFFFFF"/>
                <w:rtl/>
              </w:rPr>
              <w:t xml:space="preserve"> اطلاعات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استاندارد لازم را دارد</w:t>
            </w:r>
          </w:p>
          <w:p w:rsidR="00B478D8" w:rsidRDefault="005924E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امکان ایجاد ارزش افزوده توسط سایرین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ضعف استفاده‌</w:t>
            </w:r>
            <w:r>
              <w:rPr>
                <w:rtl/>
              </w:rPr>
              <w:t>پذیری به دلیل نقص  یا غیراستاندارد بودن اطلاعات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قابل استفاده در چارچوب قانونی گزارشگری تخلف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t>صحت اطلاعات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صحیح و مطابق با واقع</w:t>
            </w:r>
          </w:p>
          <w:p w:rsidR="00B478D8" w:rsidRDefault="005924E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امکان ارائه بازخورد از طرف عموم مردم و اصلاح بخش‌های نادرست احتمالی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لزوما اطلاعات صحیح و کامل نیست:</w:t>
            </w:r>
          </w:p>
          <w:p w:rsidR="00B478D8" w:rsidRDefault="005924EB">
            <w:pPr>
              <w:widowControl w:val="0"/>
              <w:numPr>
                <w:ilvl w:val="1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 در نتیجه، دشواری تحلیل و </w:t>
            </w:r>
            <w:r>
              <w:rPr>
                <w:rtl/>
              </w:rPr>
              <w:t>تصمیم‌گیری بر اساس داده‌ها</w:t>
            </w:r>
          </w:p>
          <w:p w:rsidR="00B478D8" w:rsidRDefault="005924EB">
            <w:pPr>
              <w:widowControl w:val="0"/>
              <w:numPr>
                <w:ilvl w:val="1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دشواری راستی آزمایی 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نیازمند بررسی صحت توسط بخش دولتی مسئول رسیدگی در تعامل با گزارش دهنده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t>وضعیت حقوقی قانونی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الزام اعلام عمومی داده‌های حکومتی (بسته به وضعیت قانونی کشور)</w:t>
            </w:r>
          </w:p>
          <w:p w:rsidR="00B478D8" w:rsidRDefault="005924E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حمایت قانون از استفاده و بازاستفاده از داده‌ها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ابهام </w:t>
            </w:r>
            <w:r>
              <w:rPr>
                <w:rtl/>
              </w:rPr>
              <w:t>وضعیت ناشی از ضعف قانونی</w:t>
            </w:r>
          </w:p>
          <w:p w:rsidR="00B478D8" w:rsidRDefault="005924E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ممکن است افشا جرم باشد.</w:t>
            </w:r>
          </w:p>
          <w:p w:rsidR="00B478D8" w:rsidRDefault="005924E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ممکن است در صورت عدم وجود سازوکارهای قانونی افشاگری تخلف، آخرین راه مبارزه با تخلف باشد</w:t>
            </w:r>
          </w:p>
        </w:tc>
        <w:tc>
          <w:tcPr>
            <w:tcW w:w="4620" w:type="dxa"/>
            <w:shd w:val="clear" w:color="auto" w:fill="D2EA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نیازمند قانون  و سازوکار تشوی</w:t>
            </w:r>
            <w:r>
              <w:rPr>
                <w:rtl/>
              </w:rPr>
              <w:t>ق</w:t>
            </w:r>
            <w:r>
              <w:rPr>
                <w:rtl/>
              </w:rPr>
              <w:t xml:space="preserve"> و حمایت از گزارش دهنده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t>اثر سیاسی اجتماعی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امکان آسیب‌شناسی، ارزیابی، اصلاح مشکل بر اساس </w:t>
            </w:r>
            <w:r>
              <w:rPr>
                <w:rtl/>
              </w:rPr>
              <w:t>داده‌های منتشر شده</w:t>
            </w:r>
          </w:p>
          <w:p w:rsidR="00B478D8" w:rsidRDefault="005924E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اشتیاق به آزادی بیشتر داده‌ها در اثر مشاهده اثرات داده‌های قبلی</w:t>
            </w:r>
          </w:p>
          <w:p w:rsidR="00B478D8" w:rsidRDefault="005924E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قدرتمند شدن دولت</w:t>
            </w:r>
          </w:p>
          <w:p w:rsidR="00B478D8" w:rsidRDefault="005924E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مشارکت شهروندان</w:t>
            </w:r>
          </w:p>
          <w:p w:rsidR="00B478D8" w:rsidRDefault="005924E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ایجاد فرصت و نوآوری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از بین رفتن امکان اصلاح (حداقل در کوتاه مدت)</w:t>
            </w:r>
          </w:p>
          <w:p w:rsidR="00B478D8" w:rsidRDefault="005924E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بدبین شدن مردم/ مسئولین نسبت به آزادی داده و اطلاعات</w:t>
            </w:r>
          </w:p>
          <w:p w:rsidR="00B478D8" w:rsidRDefault="005924E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موجب بهم ریختن فضای اج</w:t>
            </w:r>
            <w:r>
              <w:rPr>
                <w:rtl/>
              </w:rPr>
              <w:t xml:space="preserve">تماعی و سیاسی </w:t>
            </w:r>
          </w:p>
          <w:p w:rsidR="00B478D8" w:rsidRDefault="00B478D8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jc w:val="both"/>
            </w:pP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مسئولیت پذیری مردم در مشارکت و نظارت</w:t>
            </w:r>
          </w:p>
        </w:tc>
      </w:tr>
      <w:tr w:rsidR="00B478D8">
        <w:trPr>
          <w:jc w:val="center"/>
        </w:trPr>
        <w:tc>
          <w:tcPr>
            <w:tcW w:w="151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spacing w:line="240" w:lineRule="auto"/>
              <w:ind w:left="0" w:firstLine="0"/>
              <w:contextualSpacing w:val="0"/>
              <w:rPr>
                <w:color w:val="FFFFFF"/>
              </w:rPr>
            </w:pPr>
            <w:r>
              <w:rPr>
                <w:color w:val="FFFFFF"/>
                <w:rtl/>
              </w:rPr>
              <w:t>آسیب‌های احتمالی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احتمال دروغ‌گویی</w:t>
            </w:r>
          </w:p>
          <w:p w:rsidR="00B478D8" w:rsidRDefault="005924E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احتمال سوء استفاده دشمن / رقبا از اطلاعات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>تعقیب قانونی افشاگر به دلیل شکایت ذی نفعان و یا مدعی العموم به دلیل تشویش اذهان عمومی</w:t>
            </w:r>
          </w:p>
        </w:tc>
        <w:tc>
          <w:tcPr>
            <w:tcW w:w="4620" w:type="dxa"/>
            <w:shd w:val="clear" w:color="auto" w:fill="A5D5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8D8" w:rsidRDefault="005924EB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>
              <w:rPr>
                <w:rtl/>
              </w:rPr>
              <w:t xml:space="preserve">ریسک شخصی بالا برای ارائه دهنده گزارش </w:t>
            </w:r>
            <w:r>
              <w:rPr>
                <w:rtl/>
              </w:rPr>
              <w:t>تخلف در صورت نبود یا ضعف حمایت قانونی لازم</w:t>
            </w:r>
          </w:p>
        </w:tc>
      </w:tr>
    </w:tbl>
    <w:p w:rsidR="00B478D8" w:rsidRDefault="00B478D8" w:rsidP="00DD45B0">
      <w:bookmarkStart w:id="2" w:name="_h7nm656mat8" w:colFirst="0" w:colLast="0"/>
      <w:bookmarkStart w:id="3" w:name="_GoBack"/>
      <w:bookmarkEnd w:id="2"/>
      <w:bookmarkEnd w:id="3"/>
    </w:p>
    <w:sectPr w:rsidR="00B478D8">
      <w:footerReference w:type="default" r:id="rId9"/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EB" w:rsidRDefault="005924EB">
      <w:pPr>
        <w:spacing w:line="240" w:lineRule="auto"/>
      </w:pPr>
      <w:r>
        <w:separator/>
      </w:r>
    </w:p>
  </w:endnote>
  <w:endnote w:type="continuationSeparator" w:id="0">
    <w:p w:rsidR="005924EB" w:rsidRDefault="00592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D8" w:rsidRDefault="005924EB">
    <w:pPr>
      <w:contextualSpacing w:val="0"/>
      <w:jc w:val="right"/>
    </w:pPr>
    <w:r>
      <w:fldChar w:fldCharType="begin"/>
    </w:r>
    <w:r>
      <w:instrText>PAGE</w:instrText>
    </w:r>
    <w:r w:rsidR="00DD45B0">
      <w:fldChar w:fldCharType="separate"/>
    </w:r>
    <w:r w:rsidR="00DD45B0">
      <w:rPr>
        <w:noProof/>
        <w:rtl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EB" w:rsidRDefault="005924EB">
      <w:pPr>
        <w:spacing w:line="240" w:lineRule="auto"/>
      </w:pPr>
      <w:r>
        <w:separator/>
      </w:r>
    </w:p>
  </w:footnote>
  <w:footnote w:type="continuationSeparator" w:id="0">
    <w:p w:rsidR="005924EB" w:rsidRDefault="005924EB">
      <w:pPr>
        <w:spacing w:line="240" w:lineRule="auto"/>
      </w:pPr>
      <w:r>
        <w:continuationSeparator/>
      </w:r>
    </w:p>
  </w:footnote>
  <w:footnote w:id="1">
    <w:p w:rsidR="00B478D8" w:rsidRDefault="005924EB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 xml:space="preserve"> برای آشنایی با دو دسته‌ی بندی اصلی کلان‌حوزه‌ی شفافیت، </w:t>
      </w:r>
      <w:hyperlink r:id="rId1">
        <w:r>
          <w:rPr>
            <w:color w:val="1155CC"/>
            <w:sz w:val="20"/>
            <w:szCs w:val="20"/>
            <w:u w:val="single"/>
          </w:rPr>
          <w:t>http://transparency4iran.ir/post/344</w:t>
        </w:r>
      </w:hyperlink>
      <w:r>
        <w:rPr>
          <w:sz w:val="20"/>
          <w:szCs w:val="20"/>
          <w:rtl/>
        </w:rPr>
        <w:t xml:space="preserve"> را بخوانید. </w:t>
      </w:r>
    </w:p>
  </w:footnote>
  <w:footnote w:id="2">
    <w:p w:rsidR="00B478D8" w:rsidRDefault="005924EB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https://osc.gov/Pages/DOW.aspx</w:t>
      </w:r>
    </w:p>
  </w:footnote>
  <w:footnote w:id="3">
    <w:p w:rsidR="00B478D8" w:rsidRDefault="005924EB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 xml:space="preserve"> برای آشنایی بیشتر با 5 سطح انتشار داده </w:t>
      </w:r>
      <w:hyperlink r:id="rId2">
        <w:r>
          <w:rPr>
            <w:color w:val="1155CC"/>
            <w:sz w:val="20"/>
            <w:szCs w:val="20"/>
            <w:u w:val="single"/>
          </w:rPr>
          <w:t>http://transparency4iran.ir/post/380</w:t>
        </w:r>
      </w:hyperlink>
      <w:r>
        <w:rPr>
          <w:sz w:val="20"/>
          <w:szCs w:val="20"/>
          <w:rtl/>
        </w:rPr>
        <w:t xml:space="preserve"> را مطالعه بفرمایید. </w:t>
      </w:r>
    </w:p>
  </w:footnote>
  <w:footnote w:id="4">
    <w:p w:rsidR="00B478D8" w:rsidRDefault="005924EB">
      <w:pPr>
        <w:spacing w:line="240" w:lineRule="auto"/>
        <w:contextualSpacing w:val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>استفاده‌پذیری یعنی اطلاعات قابلیت صحت‌سنجی و تحلیل برای تصمیم‌گیری ی</w:t>
      </w:r>
      <w:r>
        <w:rPr>
          <w:sz w:val="20"/>
          <w:szCs w:val="20"/>
          <w:rtl/>
        </w:rPr>
        <w:t xml:space="preserve">ا قضاوت را داشته باشند.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738"/>
    <w:multiLevelType w:val="multilevel"/>
    <w:tmpl w:val="D3B436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190273B"/>
    <w:multiLevelType w:val="multilevel"/>
    <w:tmpl w:val="9AA4F0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21462D8"/>
    <w:multiLevelType w:val="multilevel"/>
    <w:tmpl w:val="7CD0DD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C17B2C"/>
    <w:multiLevelType w:val="multilevel"/>
    <w:tmpl w:val="4F96B0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EAE6DDE"/>
    <w:multiLevelType w:val="multilevel"/>
    <w:tmpl w:val="6234CA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5C37D27"/>
    <w:multiLevelType w:val="multilevel"/>
    <w:tmpl w:val="1FB6EA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62372AF"/>
    <w:multiLevelType w:val="multilevel"/>
    <w:tmpl w:val="EA1A9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6AC0137"/>
    <w:multiLevelType w:val="multilevel"/>
    <w:tmpl w:val="AECEB0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A1838D1"/>
    <w:multiLevelType w:val="multilevel"/>
    <w:tmpl w:val="C6A88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EC11622"/>
    <w:multiLevelType w:val="multilevel"/>
    <w:tmpl w:val="ADE6CE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98514A5"/>
    <w:multiLevelType w:val="multilevel"/>
    <w:tmpl w:val="4A305F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A6112F3"/>
    <w:multiLevelType w:val="multilevel"/>
    <w:tmpl w:val="5344BD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1F10EE0"/>
    <w:multiLevelType w:val="multilevel"/>
    <w:tmpl w:val="9CBED0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6CE19C1"/>
    <w:multiLevelType w:val="multilevel"/>
    <w:tmpl w:val="8B6C52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AF6119C"/>
    <w:multiLevelType w:val="multilevel"/>
    <w:tmpl w:val="A860FC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B0410C5"/>
    <w:multiLevelType w:val="multilevel"/>
    <w:tmpl w:val="FEB4FF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1D657BA"/>
    <w:multiLevelType w:val="multilevel"/>
    <w:tmpl w:val="7C94B3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70D5837"/>
    <w:multiLevelType w:val="multilevel"/>
    <w:tmpl w:val="05944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5D97226"/>
    <w:multiLevelType w:val="multilevel"/>
    <w:tmpl w:val="F1FE67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F1F4231"/>
    <w:multiLevelType w:val="multilevel"/>
    <w:tmpl w:val="1C8CA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867605A"/>
    <w:multiLevelType w:val="multilevel"/>
    <w:tmpl w:val="3490EE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20"/>
  </w:num>
  <w:num w:numId="12">
    <w:abstractNumId w:val="7"/>
  </w:num>
  <w:num w:numId="13">
    <w:abstractNumId w:val="19"/>
  </w:num>
  <w:num w:numId="14">
    <w:abstractNumId w:val="18"/>
  </w:num>
  <w:num w:numId="15">
    <w:abstractNumId w:val="1"/>
  </w:num>
  <w:num w:numId="16">
    <w:abstractNumId w:val="17"/>
  </w:num>
  <w:num w:numId="17">
    <w:abstractNumId w:val="14"/>
  </w:num>
  <w:num w:numId="18">
    <w:abstractNumId w:val="11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D8"/>
    <w:rsid w:val="005924EB"/>
    <w:rsid w:val="00B478D8"/>
    <w:rsid w:val="00D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9D84"/>
  <w15:docId w15:val="{434FECCF-49B3-4A8F-A72A-E2B2527F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bidi/>
        <w:spacing w:line="276" w:lineRule="auto"/>
        <w:ind w:left="720" w:hanging="36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tp4.ir/efs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ransparency4iran.ir/post/380" TargetMode="External"/><Relationship Id="rId1" Type="http://schemas.openxmlformats.org/officeDocument/2006/relationships/hyperlink" Target="http://transparency4iran.ir/post/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2</cp:revision>
  <dcterms:created xsi:type="dcterms:W3CDTF">2017-05-13T10:32:00Z</dcterms:created>
  <dcterms:modified xsi:type="dcterms:W3CDTF">2017-05-13T10:32:00Z</dcterms:modified>
</cp:coreProperties>
</file>