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3B" w:rsidRDefault="0002293B" w:rsidP="0002293B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:rsidR="00136FED" w:rsidRPr="0055757A" w:rsidRDefault="00136FED" w:rsidP="0002293B">
      <w:pPr>
        <w:jc w:val="center"/>
        <w:rPr>
          <w:rtl/>
          <w:lang w:bidi="fa-IR"/>
        </w:rPr>
      </w:pPr>
    </w:p>
    <w:p w:rsidR="0002293B" w:rsidRDefault="0002293B" w:rsidP="0002293B">
      <w:pPr>
        <w:pStyle w:val="Title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گزارشی اجمالی</w:t>
      </w:r>
      <w:r>
        <w:rPr>
          <w:rtl/>
          <w:lang w:bidi="fa-IR"/>
        </w:rPr>
        <w:t xml:space="preserve"> از قوانین </w:t>
      </w:r>
      <w:r>
        <w:rPr>
          <w:rFonts w:hint="cs"/>
          <w:rtl/>
          <w:lang w:bidi="fa-IR"/>
        </w:rPr>
        <w:t xml:space="preserve">شفافیت پارلمان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در کشورهای اروپایی و آمریکا</w:t>
      </w:r>
    </w:p>
    <w:p w:rsidR="00136FED" w:rsidRDefault="00136FED" w:rsidP="00136FED">
      <w:pPr>
        <w:jc w:val="center"/>
        <w:rPr>
          <w:rtl/>
          <w:lang w:bidi="fa-IR"/>
        </w:rPr>
      </w:pPr>
    </w:p>
    <w:p w:rsidR="00136FED" w:rsidRDefault="00136FED" w:rsidP="00136FED">
      <w:pPr>
        <w:jc w:val="center"/>
        <w:rPr>
          <w:rtl/>
          <w:lang w:bidi="fa-IR"/>
        </w:rPr>
      </w:pPr>
      <w:r>
        <w:rPr>
          <w:lang w:bidi="fa-IR"/>
        </w:rPr>
        <w:t>Transparency4iran.blog.ir</w:t>
      </w:r>
    </w:p>
    <w:p w:rsidR="00136FED" w:rsidRDefault="00136FED" w:rsidP="00136FED">
      <w:pPr>
        <w:rPr>
          <w:rtl/>
          <w:lang w:bidi="fa-IR"/>
        </w:rPr>
      </w:pPr>
    </w:p>
    <w:p w:rsidR="00136FED" w:rsidRPr="00136FED" w:rsidRDefault="00136FED" w:rsidP="00136FED">
      <w:pPr>
        <w:rPr>
          <w:lang w:bidi="fa-IR"/>
        </w:rPr>
      </w:pPr>
      <w:bookmarkStart w:id="0" w:name="_GoBack"/>
      <w:bookmarkEnd w:id="0"/>
    </w:p>
    <w:tbl>
      <w:tblPr>
        <w:tblStyle w:val="GridTable5Dark-Accent5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7214"/>
      </w:tblGrid>
      <w:tr w:rsidR="0002293B" w:rsidTr="0002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sz w:val="24"/>
                <w:szCs w:val="26"/>
                <w:rtl/>
                <w:lang w:bidi="fa-IR"/>
              </w:rPr>
              <w:t>کشور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</w:t>
            </w:r>
            <w:r w:rsidRPr="0002293B">
              <w:rPr>
                <w:sz w:val="24"/>
                <w:szCs w:val="26"/>
                <w:rtl/>
                <w:lang w:bidi="fa-IR"/>
              </w:rPr>
              <w:br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(رتبه شفافیت)</w:t>
            </w:r>
          </w:p>
        </w:tc>
        <w:tc>
          <w:tcPr>
            <w:tcW w:w="7513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sz w:val="24"/>
                <w:szCs w:val="26"/>
                <w:rtl/>
                <w:lang w:bidi="fa-IR"/>
              </w:rPr>
              <w:t>اصول ناظر به شفافیت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دانمارک (1)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شفافیت کامل نسبت به بخش عمومی؛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درآمدها و منافع مالی.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فنلاند (3)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اعلام داوطلبانه فعالیت‌های فراتر از نمایندگی پارلمان (چه دارای حقوق باشد و چه نباشد)؛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مالی؛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شفافیت نسبت به رفتار (عملکرد) در پارلمان؛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تعارض منافع: سلب صلاحیت از وی در صورت در نظر گرفتن مسائلی در مرتبط با منافع شخصی در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تصمیم‌گیری‌ها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سوئد (3)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قراردادی و مالی؛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حضور نمایندگان در مباحثی که خود در آن دارای منافع هستند، ممنوع است.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هلند (8)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مشاغل عمومی یا خصوصی، چه با حقوق و چه بدون حقوق؛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درآمدهای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فرای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پارلمان، بالاتر از سقفی معین.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لوکزامبورگ (11)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فعالیت‌های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حرفه‌ای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(چه با حقوق و چه بدون حقوق)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همه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حمایت‌های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مالی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آلمان (12)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هدایا با ارزش بالای 5000 یورو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فعالیت‌های سابق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مالی و شخصی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ارائه اطلاعات متعاقب اعلام منافع، که به صورت عمومی ارائه گردد.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موقوفات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با ارزش بیشتر از 5000 یورو؛ رئیس جمهور بایستی موقوفات با ارزش بیشتر از 10هزار یورو را در کمتر از یکسال و به همراه مقدار و منبع موقوفه اعلام نماید.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lastRenderedPageBreak/>
              <w:t>تعهد نسبت به اعلام هدایا با ارزش بیشتر از 10 یورو برای اعضای دادگاه فدرال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2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، و 25 یورو برای نمایندگان.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lastRenderedPageBreak/>
              <w:t>انگلستان (14)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افشای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منافع مالی و غیر مالی؛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دریافت مزایای مالی به منظور پرسیدن سوال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3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، ممنوع است.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sz w:val="24"/>
                <w:szCs w:val="26"/>
                <w:rtl/>
                <w:lang w:bidi="fa-IR"/>
              </w:rPr>
              <w:t>بلژیک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(15)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sz w:val="24"/>
                <w:szCs w:val="26"/>
                <w:rtl/>
                <w:lang w:bidi="fa-IR"/>
              </w:rPr>
              <w:t xml:space="preserve">محدودیت 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برخورداری از </w:t>
            </w:r>
            <w:r w:rsidRPr="0002293B">
              <w:rPr>
                <w:sz w:val="24"/>
                <w:szCs w:val="26"/>
                <w:rtl/>
                <w:lang w:bidi="fa-IR"/>
              </w:rPr>
              <w:t xml:space="preserve">منابع 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مالی دولتی </w:t>
            </w:r>
            <w:r w:rsidRPr="0002293B">
              <w:rPr>
                <w:sz w:val="24"/>
                <w:szCs w:val="26"/>
                <w:rtl/>
                <w:lang w:bidi="fa-IR"/>
              </w:rPr>
              <w:t>همزمان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(1.5 برابر حقوق پارلمان)؛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لزوم ثبت و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آمریکا (19)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 تعارض منافع: رأی دهی توسط اعضاء در شرایطی که خود نسبت به آن مسئله دارای منافع فردی یا مالی هستند، مذموم است.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هدایا: دریافت هرگونه هدیه از سوی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لابی‌گرها</w:t>
            </w:r>
            <w:proofErr w:type="spellEnd"/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4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و مأموران خارجی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5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که مبلغ آن بیش از 50 دلار آمریکا شود، ممنوع است.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سفر: محدودیت‌های فراوانی نسبت به سفرهایی که هزینه آنها توسط منابع خصوصی (همچنین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لابی‌گرها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) و نیز عوامل خارجی تأمین می‌شود، وجود دارد.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اطلاعات مالی: ارائه گزارش‌های مالی سالانه الزامی است، که این گزارش‌ها توسط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کمیته‌های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اخلاق مجلس سنا و مجلس نمایندگان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6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بررسی شده و بر اینترنت منتشر خواهد گردید.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ایرلند (21)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اعضاء بایستی همواره توسط کالای عمومی و نه هرگز توسط منافع خصوصی و یا فردی مورد هدایت قرار گیرند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7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 این راستا اعضاء بایستی: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گزارش منافع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8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سالانه‌ای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را ارائه کنند که بایستی در آن این موارد را قید کنند: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درامدهای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شغلی،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سهام‌ها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مدیریت‌ها</w:t>
            </w:r>
            <w:proofErr w:type="spellEnd"/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9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غیرمنقول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(زمین و مسکن و ساختمان)، هدایا، مجموع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یا خدمات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0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، تسهیلات مسافرت، جایگاه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پرداخت‌شده‌ای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در قالب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لابی‌گر</w:t>
            </w:r>
            <w:proofErr w:type="spellEnd"/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1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، و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قراردادها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با دولت. این گزارش بایستی در قالب «گزارش سالیانه منافع اعضاء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2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» منتشر گردد.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انتشار یک گزارش منفعت مادی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3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وقتی که وی در پارلمان یا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کمیته‌ها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صحبت کند، در جایی که از وجود چنین منفعتی آگاه باشد.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استفاده نکردن از اطلاعاتی که در فضای عمومی قرار ندارد، یا اطلاعاتی که بدلیل جایگاه دولتی وی در اختیارش قرار گرفته است، به منظور اهداف فردی یا اهداف جمعی دیگر.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گزارش هدایا با ارزش بیشتر از 650 یورو (به غیر از موارد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استثناء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)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lastRenderedPageBreak/>
              <w:t>فرانسه (22)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قانون مشخصی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4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پیرامون اعلام منافع مالی؛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sz w:val="24"/>
                <w:szCs w:val="26"/>
                <w:rtl/>
                <w:lang w:bidi="fa-IR"/>
              </w:rPr>
              <w:t>اتریش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(26)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عدم امکان حضور در برخی فعالیت‌های اقتصادی مشخص؛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الزام نسبت </w:t>
            </w:r>
            <w:r w:rsidRPr="0002293B">
              <w:rPr>
                <w:sz w:val="24"/>
                <w:szCs w:val="26"/>
                <w:rtl/>
                <w:lang w:bidi="fa-IR"/>
              </w:rPr>
              <w:t xml:space="preserve">به اعلام 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استخدام در بخش </w:t>
            </w:r>
            <w:r w:rsidRPr="0002293B">
              <w:rPr>
                <w:sz w:val="24"/>
                <w:szCs w:val="26"/>
                <w:rtl/>
                <w:lang w:bidi="fa-IR"/>
              </w:rPr>
              <w:t>خصوصی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sz w:val="24"/>
                <w:szCs w:val="26"/>
                <w:rtl/>
                <w:lang w:bidi="fa-IR"/>
              </w:rPr>
              <w:t xml:space="preserve">شفافیت محدود </w:t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نسبت به </w:t>
            </w:r>
            <w:proofErr w:type="spellStart"/>
            <w:r w:rsidRPr="0002293B">
              <w:rPr>
                <w:sz w:val="24"/>
                <w:szCs w:val="26"/>
                <w:rtl/>
                <w:lang w:bidi="fa-IR"/>
              </w:rPr>
              <w:t>فعالیت‌ها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استونی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(28)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اقتصادی؛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عضویت در سایر مشاغل دولتی یا عضویت در هیات مدیره شرکت‌های تجاری ممنون است.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پرتغال (33)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درامدهای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خصوصی؛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و املاک؛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مشاغل عمومی یا خصوصی، چه با حقوق و چه بدون حقوق؛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لهستان (38)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اقتصادی؛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هرگونه مشارکت و فعالیت اضافه (همچون فعالیت اقتصادی)؛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هرگونه هدیه.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اسپانیا (40)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سوء استفاده از جایگاه نمایندگی پارلمان برای فعالیت‌های شخصی ممنون است.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منافع مالی یا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غیرمالی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اسلونی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(43)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دریافت هدایا؛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گزارش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در صورت تغییر.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لیتوانی (43)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اعضاء بایستی از تعارض منافع کاری و منافع شخصی خود جلوگیری کرده و نماینده منافع عموم باشند. اعضاء همچنین نبایستی به گونه‌ای رفتار کنند که عامه نسبت به عدم وجود چنین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تعارضی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تردید کند.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خصوصی؛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منافع مالی و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دریافت هرگونه پاداشی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5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ممنوع است، مگر در رابطه با فعالیت‌های خلاقانه.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مالتا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(45)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هر حقوق و پاداشی به غیر از حقوق و پاداش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6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از پارلمان ممنون است.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تخصص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مالی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مشارکت در سازمان‌های انتفاعی و غیرانتفاعی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دریافت هدایا به کلی ممنون است.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مجارستان (47)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اقتصادی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درآمدها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لتونی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(49)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گزارش منافع مادی؛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دریافت هدایا ممنون است.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sz w:val="24"/>
                <w:szCs w:val="26"/>
                <w:lang w:bidi="fa-IR"/>
              </w:rPr>
              <w:t>Discretion in handling private data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lastRenderedPageBreak/>
              <w:t>دریافت قراردادهای دولتی یا امتیازهای انحصاری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7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ممنوع است.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lastRenderedPageBreak/>
              <w:t>جمهوری چک (57)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فعالیت‌ها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درآمدها؛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هدایای دریافتی؛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بدهی‌ها</w:t>
            </w:r>
            <w:proofErr w:type="spellEnd"/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8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جمهوری اسلواکی (61)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اعلام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مالی؛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هرگونه اشتغال یا تصدی دولتی فراتر از نمایندگی.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رومانی (69)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اعلام منافع مالی؛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ممنوعیت استفاده از جایگاه برای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درامد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شخصی و یا تبلیغات.</w:t>
            </w:r>
          </w:p>
        </w:tc>
      </w:tr>
      <w:tr w:rsidR="0002293B" w:rsidTr="00022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ایتالیا (69)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تعهد نسبت به گزارش هدایا؛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گزارش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دارایی‌ها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تعهد نسبت به گزارش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هزینه‌ها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و تعهدات قراردادی برای </w:t>
            </w:r>
            <w:proofErr w:type="spellStart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کمپین‌های</w:t>
            </w:r>
            <w:proofErr w:type="spellEnd"/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 xml:space="preserve"> انتخاباتی.</w:t>
            </w:r>
          </w:p>
        </w:tc>
      </w:tr>
      <w:tr w:rsidR="0002293B" w:rsidTr="0002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:rsidR="0002293B" w:rsidRPr="0002293B" w:rsidRDefault="0002293B" w:rsidP="0002293B">
            <w:pPr>
              <w:spacing w:after="0"/>
              <w:jc w:val="center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بلغارستان (77)</w:t>
            </w:r>
          </w:p>
        </w:tc>
        <w:tc>
          <w:tcPr>
            <w:tcW w:w="7513" w:type="dxa"/>
          </w:tcPr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الزام نسبت به اعلام منافع مالی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19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؛</w:t>
            </w:r>
          </w:p>
          <w:p w:rsidR="0002293B" w:rsidRPr="0002293B" w:rsidRDefault="0002293B" w:rsidP="00022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  <w:rtl/>
                <w:lang w:bidi="fa-IR"/>
              </w:rPr>
            </w:pP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الزام نسبت به اعلام و اجتناب از تعارض منافع</w:t>
            </w:r>
            <w:r w:rsidRPr="0002293B">
              <w:rPr>
                <w:rStyle w:val="FootnoteReference"/>
                <w:sz w:val="24"/>
                <w:szCs w:val="26"/>
                <w:rtl/>
                <w:lang w:bidi="fa-IR"/>
              </w:rPr>
              <w:footnoteReference w:id="20"/>
            </w:r>
            <w:r w:rsidRPr="0002293B">
              <w:rPr>
                <w:rFonts w:hint="cs"/>
                <w:sz w:val="24"/>
                <w:szCs w:val="26"/>
                <w:rtl/>
                <w:lang w:bidi="fa-IR"/>
              </w:rPr>
              <w:t>.</w:t>
            </w:r>
          </w:p>
        </w:tc>
      </w:tr>
    </w:tbl>
    <w:p w:rsidR="0010209C" w:rsidRDefault="0010209C">
      <w:pPr>
        <w:rPr>
          <w:rFonts w:hint="cs"/>
          <w:lang w:bidi="fa-IR"/>
        </w:rPr>
      </w:pPr>
    </w:p>
    <w:sectPr w:rsidR="0010209C" w:rsidSect="00136F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49" w:rsidRDefault="007D0649" w:rsidP="0002293B">
      <w:pPr>
        <w:spacing w:after="0" w:line="240" w:lineRule="auto"/>
      </w:pPr>
      <w:r>
        <w:separator/>
      </w:r>
    </w:p>
  </w:endnote>
  <w:endnote w:type="continuationSeparator" w:id="0">
    <w:p w:rsidR="007D0649" w:rsidRDefault="007D0649" w:rsidP="0002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49" w:rsidRDefault="007D0649" w:rsidP="0002293B">
      <w:pPr>
        <w:spacing w:after="0" w:line="240" w:lineRule="auto"/>
      </w:pPr>
      <w:r>
        <w:separator/>
      </w:r>
    </w:p>
  </w:footnote>
  <w:footnote w:type="continuationSeparator" w:id="0">
    <w:p w:rsidR="007D0649" w:rsidRDefault="007D0649" w:rsidP="0002293B">
      <w:pPr>
        <w:spacing w:after="0" w:line="240" w:lineRule="auto"/>
      </w:pPr>
      <w:r>
        <w:continuationSeparator/>
      </w:r>
    </w:p>
  </w:footnote>
  <w:footnote w:id="1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B566D4">
        <w:t>Donations</w:t>
      </w:r>
    </w:p>
  </w:footnote>
  <w:footnote w:id="2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132A42">
        <w:t>German Federal Counci</w:t>
      </w:r>
      <w:r>
        <w:t>l</w:t>
      </w:r>
    </w:p>
  </w:footnote>
  <w:footnote w:id="3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t>Raising Questions</w:t>
      </w:r>
    </w:p>
  </w:footnote>
  <w:footnote w:id="4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4F3D17">
        <w:t>Lobbyists</w:t>
      </w:r>
    </w:p>
  </w:footnote>
  <w:footnote w:id="5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4F3D17">
        <w:t>Foreign Agents</w:t>
      </w:r>
    </w:p>
  </w:footnote>
  <w:footnote w:id="6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House and Senate Ethics Committees</w:t>
      </w:r>
    </w:p>
  </w:footnote>
  <w:footnote w:id="7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Members are guided by the public good at all times and never by any private or personal interest.</w:t>
      </w:r>
    </w:p>
  </w:footnote>
  <w:footnote w:id="8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CD7A0F">
        <w:t>statement of interests</w:t>
      </w:r>
    </w:p>
  </w:footnote>
  <w:footnote w:id="9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CD7A0F">
        <w:t>directorships</w:t>
      </w:r>
    </w:p>
  </w:footnote>
  <w:footnote w:id="10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supplies of property or services</w:t>
      </w:r>
    </w:p>
  </w:footnote>
  <w:footnote w:id="11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CD7A0F">
        <w:t>remunerated position as a lobbyist</w:t>
      </w:r>
    </w:p>
  </w:footnote>
  <w:footnote w:id="12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t>Register of Members’ Interests</w:t>
      </w:r>
    </w:p>
  </w:footnote>
  <w:footnote w:id="13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E5213A">
        <w:t>a material interest</w:t>
      </w:r>
    </w:p>
  </w:footnote>
  <w:footnote w:id="14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Organic Law 11.3.1988</w:t>
      </w:r>
    </w:p>
  </w:footnote>
  <w:footnote w:id="15">
    <w:p w:rsidR="0002293B" w:rsidRPr="009A2535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 w:rsidRPr="009A2535">
        <w:t xml:space="preserve"> remuneration</w:t>
      </w:r>
    </w:p>
  </w:footnote>
  <w:footnote w:id="16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B10C27">
        <w:t>remuneration</w:t>
      </w:r>
    </w:p>
  </w:footnote>
  <w:footnote w:id="17">
    <w:p w:rsidR="0002293B" w:rsidRPr="009A2535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 w:rsidRPr="009A2535">
        <w:t xml:space="preserve"> concessions</w:t>
      </w:r>
    </w:p>
  </w:footnote>
  <w:footnote w:id="18">
    <w:p w:rsidR="0002293B" w:rsidRPr="009A2535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 w:rsidRPr="009A2535">
        <w:t xml:space="preserve"> liabilities</w:t>
      </w:r>
    </w:p>
  </w:footnote>
  <w:footnote w:id="19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 w:rsidRPr="002E2BC0">
        <w:t>Obligation to declare financial interests</w:t>
      </w:r>
    </w:p>
  </w:footnote>
  <w:footnote w:id="20">
    <w:p w:rsidR="0002293B" w:rsidRDefault="0002293B" w:rsidP="0002293B">
      <w:pPr>
        <w:pStyle w:val="FootnoteText"/>
        <w:bidi w:val="0"/>
      </w:pPr>
      <w:r>
        <w:rPr>
          <w:rStyle w:val="FootnoteReference"/>
        </w:rPr>
        <w:footnoteRef/>
      </w:r>
      <w:r>
        <w:t xml:space="preserve"> Obligation to reveal and to avoid conflicts of interest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0BEB"/>
    <w:multiLevelType w:val="multilevel"/>
    <w:tmpl w:val="BFFCB1FE"/>
    <w:styleLink w:val="Style1"/>
    <w:lvl w:ilvl="0">
      <w:start w:val="1"/>
      <w:numFmt w:val="decimal"/>
      <w:pStyle w:val="Heading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-%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3-%2-%1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4-%3-%2-%1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">
    <w:nsid w:val="0E465804"/>
    <w:multiLevelType w:val="multilevel"/>
    <w:tmpl w:val="B71A188E"/>
    <w:lvl w:ilvl="0">
      <w:start w:val="1"/>
      <w:numFmt w:val="decimal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076000D"/>
    <w:multiLevelType w:val="hybridMultilevel"/>
    <w:tmpl w:val="26560C30"/>
    <w:lvl w:ilvl="0" w:tplc="EF10B8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3B"/>
    <w:rsid w:val="0002293B"/>
    <w:rsid w:val="0010209C"/>
    <w:rsid w:val="00136FED"/>
    <w:rsid w:val="00305059"/>
    <w:rsid w:val="0033409B"/>
    <w:rsid w:val="004C627F"/>
    <w:rsid w:val="006D344C"/>
    <w:rsid w:val="00782999"/>
    <w:rsid w:val="007D0649"/>
    <w:rsid w:val="00844802"/>
    <w:rsid w:val="00881B80"/>
    <w:rsid w:val="00985040"/>
    <w:rsid w:val="00B36CC7"/>
    <w:rsid w:val="00B54B24"/>
    <w:rsid w:val="00D0339C"/>
    <w:rsid w:val="00D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42861-9BD3-47AC-A83D-874D8A7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3B"/>
    <w:pPr>
      <w:bidi/>
      <w:spacing w:after="100" w:line="276" w:lineRule="auto"/>
      <w:jc w:val="both"/>
    </w:pPr>
    <w:rPr>
      <w:rFonts w:eastAsiaTheme="minorEastAsia"/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09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9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ind w:left="576" w:right="357" w:hanging="576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93B"/>
    <w:pPr>
      <w:pBdr>
        <w:top w:val="single" w:sz="6" w:space="2" w:color="5B9BD5" w:themeColor="accent1"/>
        <w:right w:val="single" w:sz="24" w:space="4" w:color="5B9BD5" w:themeColor="accent1"/>
      </w:pBdr>
      <w:spacing w:after="0" w:line="240" w:lineRule="auto"/>
      <w:ind w:left="720" w:right="357" w:hanging="720"/>
      <w:outlineLvl w:val="2"/>
    </w:pPr>
    <w:rPr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93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ind w:left="864" w:hanging="864"/>
      <w:outlineLvl w:val="3"/>
    </w:pPr>
    <w:rPr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93B"/>
    <w:pPr>
      <w:pBdr>
        <w:bottom w:val="single" w:sz="6" w:space="1" w:color="5B9BD5" w:themeColor="accent1"/>
      </w:pBdr>
      <w:spacing w:before="300" w:after="0"/>
      <w:ind w:left="1008" w:hanging="1008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93B"/>
    <w:pPr>
      <w:pBdr>
        <w:bottom w:val="dotted" w:sz="6" w:space="1" w:color="5B9BD5" w:themeColor="accent1"/>
      </w:pBdr>
      <w:spacing w:before="300" w:after="0"/>
      <w:ind w:left="1152" w:hanging="1152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93B"/>
    <w:pPr>
      <w:spacing w:before="300" w:after="0"/>
      <w:ind w:left="1296" w:hanging="1296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93B"/>
    <w:pPr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93B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209C"/>
    <w:pPr>
      <w:ind w:left="720"/>
      <w:contextualSpacing/>
    </w:pPr>
  </w:style>
  <w:style w:type="numbering" w:customStyle="1" w:styleId="Style1">
    <w:name w:val="Style1"/>
    <w:uiPriority w:val="99"/>
    <w:rsid w:val="0033409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2293B"/>
    <w:rPr>
      <w:rFonts w:eastAsiaTheme="minorEastAsia"/>
      <w:sz w:val="26"/>
      <w:szCs w:val="28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2293B"/>
    <w:rPr>
      <w:rFonts w:eastAsiaTheme="minorEastAsia"/>
      <w:color w:val="1F4D78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93B"/>
    <w:rPr>
      <w:rFonts w:eastAsiaTheme="minorEastAsia"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93B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93B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93B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93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93B"/>
    <w:rPr>
      <w:rFonts w:eastAsiaTheme="minorEastAsia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2293B"/>
    <w:pPr>
      <w:jc w:val="center"/>
    </w:pPr>
    <w:rPr>
      <w:b/>
      <w:bCs/>
      <w:color w:val="44546A" w:themeColor="text2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93B"/>
    <w:pPr>
      <w:spacing w:after="0" w:line="240" w:lineRule="auto"/>
    </w:pPr>
    <w:rPr>
      <w:rFonts w:eastAsiaTheme="minorHAns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93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2293B"/>
    <w:rPr>
      <w:vertAlign w:val="superscript"/>
    </w:rPr>
  </w:style>
  <w:style w:type="table" w:styleId="PlainTable1">
    <w:name w:val="Plain Table 1"/>
    <w:basedOn w:val="TableNormal"/>
    <w:uiPriority w:val="41"/>
    <w:rsid w:val="0002293B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0229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ook Antiqua"/>
        <a:ea typeface=""/>
        <a:cs typeface="B Titr"/>
      </a:majorFont>
      <a:minorFont>
        <a:latin typeface="Calibri"/>
        <a:ea typeface=""/>
        <a:cs typeface="B Mit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786</Words>
  <Characters>4485</Characters>
  <Application>Microsoft Office Word</Application>
  <DocSecurity>0</DocSecurity>
  <Lines>37</Lines>
  <Paragraphs>10</Paragraphs>
  <ScaleCrop>false</ScaleCrop>
  <Company>For Home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Sanaei</dc:creator>
  <cp:keywords/>
  <dc:description/>
  <cp:lastModifiedBy>Mahdi Sanaei</cp:lastModifiedBy>
  <cp:revision>2</cp:revision>
  <dcterms:created xsi:type="dcterms:W3CDTF">2015-01-03T05:32:00Z</dcterms:created>
  <dcterms:modified xsi:type="dcterms:W3CDTF">2015-01-03T05:37:00Z</dcterms:modified>
</cp:coreProperties>
</file>