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181166319"/>
        <w:docPartObj>
          <w:docPartGallery w:val="Cover Pages"/>
          <w:docPartUnique/>
        </w:docPartObj>
      </w:sdtPr>
      <w:sdtEndPr/>
      <w:sdtContent>
        <w:p w:rsidR="00E27F9F" w:rsidRDefault="00E27F9F" w:rsidP="00BE4019">
          <w:pPr>
            <w:jc w:val="center"/>
          </w:pPr>
          <w:r>
            <w:rPr>
              <w:noProof/>
            </w:rPr>
            <mc:AlternateContent>
              <mc:Choice Requires="wpg">
                <w:drawing>
                  <wp:anchor distT="0" distB="0" distL="114300" distR="114300" simplePos="0" relativeHeight="251668480" behindDoc="1" locked="0" layoutInCell="1" allowOverlap="1" wp14:anchorId="2A61BF3E" wp14:editId="02F2812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F9F" w:rsidRDefault="00E27F9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1" name="Picture 1"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Titr"/>
                                      <w:caps/>
                                      <w:color w:val="5B9BD5" w:themeColor="accent1"/>
                                      <w:sz w:val="48"/>
                                      <w:szCs w:val="48"/>
                                      <w:rtl/>
                                      <w:lang w:bidi="fa-IR"/>
                                    </w:rPr>
                                    <w:alias w:val="Title"/>
                                    <w:tag w:val=""/>
                                    <w:id w:val="784013584"/>
                                    <w:dataBinding w:prefixMappings="xmlns:ns0='http://purl.org/dc/elements/1.1/' xmlns:ns1='http://schemas.openxmlformats.org/package/2006/metadata/core-properties' " w:xpath="/ns1:coreProperties[1]/ns0:title[1]" w:storeItemID="{6C3C8BC8-F283-45AE-878A-BAB7291924A1}"/>
                                    <w:text/>
                                  </w:sdtPr>
                                  <w:sdtEndPr/>
                                  <w:sdtContent>
                                    <w:p w:rsidR="00E27F9F" w:rsidRDefault="00DA4E88" w:rsidP="00DA4E88">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عارضه‌یابی متون قانونی کشور</w:t>
                                      </w:r>
                                    </w:p>
                                  </w:sdtContent>
                                </w:sdt>
                                <w:sdt>
                                  <w:sdtPr>
                                    <w:rPr>
                                      <w:rFonts w:asciiTheme="majorHAnsi" w:eastAsiaTheme="majorEastAsia" w:hAnsiTheme="majorHAnsi" w:cs="B Titr"/>
                                      <w:caps/>
                                      <w:color w:val="5B9BD5" w:themeColor="accent1"/>
                                      <w:sz w:val="36"/>
                                      <w:szCs w:val="36"/>
                                      <w:rtl/>
                                      <w:lang w:bidi="fa-IR"/>
                                    </w:rPr>
                                    <w:alias w:val="Subject"/>
                                    <w:tag w:val=""/>
                                    <w:id w:val="-1127702021"/>
                                    <w:placeholder>
                                      <w:docPart w:val="22437A314F4B4399AF28F3E0310C7B18"/>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221E77" w:rsidP="00221E77">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مطالعه موردی قانون پنجم برنامه توسعه</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61BF3E"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" fillcolor="#deeaf6 [6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" fillcolor="#deeaf6 [660]" stroked="f" strokeweight="1pt">
                      <v:textbox inset="36pt,57.6pt,36pt,36pt">
                        <w:txbxContent>
                          <w:p w:rsidR="00E27F9F" w:rsidRDefault="00E27F9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1" name="Picture 1"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B Titr"/>
                                <w:caps/>
                                <w:color w:val="5B9BD5" w:themeColor="accent1"/>
                                <w:sz w:val="48"/>
                                <w:szCs w:val="48"/>
                                <w:rtl/>
                                <w:lang w:bidi="fa-IR"/>
                              </w:rPr>
                              <w:alias w:val="Title"/>
                              <w:tag w:val=""/>
                              <w:id w:val="784013584"/>
                              <w:dataBinding w:prefixMappings="xmlns:ns0='http://purl.org/dc/elements/1.1/' xmlns:ns1='http://schemas.openxmlformats.org/package/2006/metadata/core-properties' " w:xpath="/ns1:coreProperties[1]/ns0:title[1]" w:storeItemID="{6C3C8BC8-F283-45AE-878A-BAB7291924A1}"/>
                              <w:text/>
                            </w:sdtPr>
                            <w:sdtEndPr/>
                            <w:sdtContent>
                              <w:p w:rsidR="00E27F9F" w:rsidRDefault="00DA4E88" w:rsidP="00DA4E88">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عارضه‌یابی متون قانونی کشور</w:t>
                                </w:r>
                              </w:p>
                            </w:sdtContent>
                          </w:sdt>
                          <w:sdt>
                            <w:sdtPr>
                              <w:rPr>
                                <w:rFonts w:asciiTheme="majorHAnsi" w:eastAsiaTheme="majorEastAsia" w:hAnsiTheme="majorHAnsi" w:cs="B Titr"/>
                                <w:caps/>
                                <w:color w:val="5B9BD5" w:themeColor="accent1"/>
                                <w:sz w:val="36"/>
                                <w:szCs w:val="36"/>
                                <w:rtl/>
                                <w:lang w:bidi="fa-IR"/>
                              </w:rPr>
                              <w:alias w:val="Subject"/>
                              <w:tag w:val=""/>
                              <w:id w:val="-1127702021"/>
                              <w:placeholder>
                                <w:docPart w:val="22437A314F4B4399AF28F3E0310C7B18"/>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221E77" w:rsidP="00221E77">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مطالعه موردی قانون پنجم برنامه توسعه</w:t>
                                </w:r>
                              </w:p>
                            </w:sdtContent>
                          </w:sdt>
                        </w:txbxContent>
                      </v:textbox>
                    </v:shape>
                    <w10:wrap anchorx="page" anchory="page"/>
                  </v:group>
                </w:pict>
              </mc:Fallback>
            </mc:AlternateContent>
          </w:r>
          <w:r>
            <w:rPr>
              <w:noProof/>
              <w:color w:val="FFFFFF" w:themeColor="background1"/>
            </w:rPr>
            <w:drawing>
              <wp:inline distT="0" distB="0" distL="0" distR="0" wp14:anchorId="2C513731" wp14:editId="42BF28F9">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F9F" w:rsidRDefault="00E27F9F" w:rsidP="00A22C4D">
          <w:pPr>
            <w:bidi w:val="0"/>
            <w:spacing w:before="0" w:after="160" w:line="259" w:lineRule="auto"/>
            <w:jc w:val="left"/>
          </w:pPr>
        </w:p>
        <w:p w:rsidR="00E27F9F" w:rsidRDefault="00E27F9F" w:rsidP="00CA5B47">
          <w:pPr>
            <w:bidi w:val="0"/>
            <w:spacing w:before="0" w:after="160" w:line="259" w:lineRule="auto"/>
            <w:jc w:val="left"/>
          </w:pPr>
        </w:p>
        <w:p w:rsidR="00DB5E97" w:rsidRDefault="00117CE9" w:rsidP="00DB5E97">
          <w:pPr>
            <w:spacing w:before="0" w:after="160" w:line="259" w:lineRule="auto"/>
            <w:jc w:val="left"/>
            <w:rPr>
              <w:rtl/>
            </w:rPr>
          </w:pPr>
          <w:r w:rsidRPr="00C17D51">
            <w:rPr>
              <w:noProof/>
            </w:rPr>
            <w:drawing>
              <wp:anchor distT="0" distB="0" distL="114300" distR="114300" simplePos="0" relativeHeight="251671552" behindDoc="0" locked="0" layoutInCell="1" allowOverlap="1" wp14:anchorId="5C4BF771" wp14:editId="6960A17C">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04FD7E6B" wp14:editId="0BE784AC">
                    <wp:simplePos x="0" y="0"/>
                    <wp:positionH relativeFrom="column">
                      <wp:posOffset>-375313</wp:posOffset>
                    </wp:positionH>
                    <wp:positionV relativeFrom="paragraph">
                      <wp:posOffset>3614552</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1917973129"/>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81270F" w:rsidP="0081270F">
                                          <w:pPr>
                                            <w:spacing w:before="0" w:after="0"/>
                                            <w:jc w:val="left"/>
                                            <w:rPr>
                                              <w:szCs w:val="24"/>
                                              <w:rtl/>
                                            </w:rPr>
                                          </w:pPr>
                                          <w:r>
                                            <w:rPr>
                                              <w:rFonts w:hint="cs"/>
                                              <w:szCs w:val="24"/>
                                              <w:rtl/>
                                            </w:rPr>
                                            <w:t>آموزش</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81270F"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359124236"/>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81270F" w:rsidP="0081270F">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81270F"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1974F5" w:rsidP="0081270F">
                                      <w:pPr>
                                        <w:spacing w:before="0" w:after="0"/>
                                        <w:jc w:val="left"/>
                                        <w:rPr>
                                          <w:szCs w:val="24"/>
                                          <w:rtl/>
                                        </w:rPr>
                                      </w:pPr>
                                      <w:sdt>
                                        <w:sdtPr>
                                          <w:rPr>
                                            <w:sz w:val="28"/>
                                            <w:szCs w:val="28"/>
                                            <w:rtl/>
                                          </w:rPr>
                                          <w:alias w:val="Publish Date"/>
                                          <w:tag w:val=""/>
                                          <w:id w:val="501636243"/>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81270F">
                                            <w:rPr>
                                              <w:rFonts w:hint="cs"/>
                                              <w:sz w:val="28"/>
                                              <w:szCs w:val="28"/>
                                              <w:rtl/>
                                            </w:rPr>
                                            <w:t>11</w:t>
                                          </w:r>
                                          <w:r w:rsidR="00117CE9">
                                            <w:rPr>
                                              <w:rFonts w:hint="cs"/>
                                              <w:sz w:val="28"/>
                                              <w:szCs w:val="28"/>
                                              <w:rtl/>
                                            </w:rPr>
                                            <w:t xml:space="preserve"> / 0</w:t>
                                          </w:r>
                                          <w:r w:rsidR="0081270F">
                                            <w:rPr>
                                              <w:rFonts w:hint="cs"/>
                                              <w:sz w:val="28"/>
                                              <w:szCs w:val="28"/>
                                              <w:rtl/>
                                            </w:rPr>
                                            <w:t>5</w:t>
                                          </w:r>
                                          <w:r w:rsidR="00117CE9">
                                            <w:rPr>
                                              <w:rFonts w:hint="cs"/>
                                              <w:sz w:val="28"/>
                                              <w:szCs w:val="28"/>
                                              <w:rtl/>
                                            </w:rPr>
                                            <w:t xml:space="preserve"> / 139</w:t>
                                          </w:r>
                                          <w:r w:rsidR="0081270F">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1974F5" w:rsidP="0081270F">
                                      <w:pPr>
                                        <w:spacing w:before="0" w:after="0"/>
                                        <w:jc w:val="left"/>
                                        <w:rPr>
                                          <w:szCs w:val="24"/>
                                          <w:rtl/>
                                        </w:rPr>
                                      </w:pPr>
                                      <w:sdt>
                                        <w:sdtPr>
                                          <w:rPr>
                                            <w:szCs w:val="24"/>
                                            <w:rtl/>
                                          </w:rPr>
                                          <w:alias w:val="Author"/>
                                          <w:tag w:val=""/>
                                          <w:id w:val="-798688368"/>
                                          <w:dataBinding w:prefixMappings="xmlns:ns0='http://purl.org/dc/elements/1.1/' xmlns:ns1='http://schemas.openxmlformats.org/package/2006/metadata/core-properties' " w:xpath="/ns1:coreProperties[1]/ns0:creator[1]" w:storeItemID="{6C3C8BC8-F283-45AE-878A-BAB7291924A1}"/>
                                          <w:text/>
                                        </w:sdtPr>
                                        <w:sdtEndPr/>
                                        <w:sdtContent>
                                          <w:r w:rsidR="0081270F">
                                            <w:rPr>
                                              <w:rFonts w:hint="cs"/>
                                              <w:szCs w:val="24"/>
                                              <w:rtl/>
                                            </w:rPr>
                                            <w:t>شفافیت برای ایران</w:t>
                                          </w:r>
                                        </w:sdtContent>
                                      </w:sdt>
                                    </w:p>
                                  </w:tc>
                                </w:tr>
                              </w:tbl>
                              <w:p w:rsidR="002F6F35" w:rsidRDefault="002F6F35"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7E6B" id="Text Box 3" o:spid="_x0000_s1030" type="#_x0000_t202" style="position:absolute;left:0;text-align:left;margin-left:-29.55pt;margin-top:284.6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" filled="f" stroked="f" strokeweight=".5pt">
                    <v:textbo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1917973129"/>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81270F" w:rsidP="0081270F">
                                    <w:pPr>
                                      <w:spacing w:before="0" w:after="0"/>
                                      <w:jc w:val="left"/>
                                      <w:rPr>
                                        <w:szCs w:val="24"/>
                                        <w:rtl/>
                                      </w:rPr>
                                    </w:pPr>
                                    <w:r>
                                      <w:rPr>
                                        <w:rFonts w:hint="cs"/>
                                        <w:szCs w:val="24"/>
                                        <w:rtl/>
                                      </w:rPr>
                                      <w:t>آموزش</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81270F"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359124236"/>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81270F" w:rsidP="0081270F">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81270F"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1974F5" w:rsidP="0081270F">
                                <w:pPr>
                                  <w:spacing w:before="0" w:after="0"/>
                                  <w:jc w:val="left"/>
                                  <w:rPr>
                                    <w:szCs w:val="24"/>
                                    <w:rtl/>
                                  </w:rPr>
                                </w:pPr>
                                <w:sdt>
                                  <w:sdtPr>
                                    <w:rPr>
                                      <w:sz w:val="28"/>
                                      <w:szCs w:val="28"/>
                                      <w:rtl/>
                                    </w:rPr>
                                    <w:alias w:val="Publish Date"/>
                                    <w:tag w:val=""/>
                                    <w:id w:val="501636243"/>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81270F">
                                      <w:rPr>
                                        <w:rFonts w:hint="cs"/>
                                        <w:sz w:val="28"/>
                                        <w:szCs w:val="28"/>
                                        <w:rtl/>
                                      </w:rPr>
                                      <w:t>11</w:t>
                                    </w:r>
                                    <w:r w:rsidR="00117CE9">
                                      <w:rPr>
                                        <w:rFonts w:hint="cs"/>
                                        <w:sz w:val="28"/>
                                        <w:szCs w:val="28"/>
                                        <w:rtl/>
                                      </w:rPr>
                                      <w:t xml:space="preserve"> / 0</w:t>
                                    </w:r>
                                    <w:r w:rsidR="0081270F">
                                      <w:rPr>
                                        <w:rFonts w:hint="cs"/>
                                        <w:sz w:val="28"/>
                                        <w:szCs w:val="28"/>
                                        <w:rtl/>
                                      </w:rPr>
                                      <w:t>5</w:t>
                                    </w:r>
                                    <w:r w:rsidR="00117CE9">
                                      <w:rPr>
                                        <w:rFonts w:hint="cs"/>
                                        <w:sz w:val="28"/>
                                        <w:szCs w:val="28"/>
                                        <w:rtl/>
                                      </w:rPr>
                                      <w:t xml:space="preserve"> / 139</w:t>
                                    </w:r>
                                    <w:r w:rsidR="0081270F">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1974F5" w:rsidP="0081270F">
                                <w:pPr>
                                  <w:spacing w:before="0" w:after="0"/>
                                  <w:jc w:val="left"/>
                                  <w:rPr>
                                    <w:szCs w:val="24"/>
                                    <w:rtl/>
                                  </w:rPr>
                                </w:pPr>
                                <w:sdt>
                                  <w:sdtPr>
                                    <w:rPr>
                                      <w:szCs w:val="24"/>
                                      <w:rtl/>
                                    </w:rPr>
                                    <w:alias w:val="Author"/>
                                    <w:tag w:val=""/>
                                    <w:id w:val="-798688368"/>
                                    <w:dataBinding w:prefixMappings="xmlns:ns0='http://purl.org/dc/elements/1.1/' xmlns:ns1='http://schemas.openxmlformats.org/package/2006/metadata/core-properties' " w:xpath="/ns1:coreProperties[1]/ns0:creator[1]" w:storeItemID="{6C3C8BC8-F283-45AE-878A-BAB7291924A1}"/>
                                    <w:text/>
                                  </w:sdtPr>
                                  <w:sdtEndPr/>
                                  <w:sdtContent>
                                    <w:r w:rsidR="0081270F">
                                      <w:rPr>
                                        <w:rFonts w:hint="cs"/>
                                        <w:szCs w:val="24"/>
                                        <w:rtl/>
                                      </w:rPr>
                                      <w:t>شفافیت برای ایران</w:t>
                                    </w:r>
                                  </w:sdtContent>
                                </w:sdt>
                              </w:p>
                            </w:tc>
                          </w:tr>
                        </w:tbl>
                        <w:p w:rsidR="002F6F35" w:rsidRDefault="002F6F35" w:rsidP="00117CE9">
                          <w:pPr>
                            <w:jc w:val="center"/>
                          </w:pPr>
                        </w:p>
                      </w:txbxContent>
                    </v:textbox>
                  </v:shape>
                </w:pict>
              </mc:Fallback>
            </mc:AlternateContent>
          </w:r>
          <w:r w:rsidR="00E27F9F">
            <w:rPr>
              <w:rtl/>
            </w:rPr>
            <w:br w:type="page"/>
          </w:r>
        </w:p>
      </w:sdtContent>
    </w:sdt>
    <w:p w:rsidR="00EA0A3F" w:rsidRDefault="00EA0A3F" w:rsidP="00EA0A3F">
      <w:pPr>
        <w:pStyle w:val="Heading1"/>
        <w:rPr>
          <w:rtl/>
        </w:rPr>
      </w:pPr>
      <w:r w:rsidRPr="00B57C08">
        <w:rPr>
          <w:rFonts w:hint="cs"/>
          <w:rtl/>
        </w:rPr>
        <w:lastRenderedPageBreak/>
        <w:t>مقدمه</w:t>
      </w:r>
    </w:p>
    <w:p w:rsidR="00EA0A3F" w:rsidRPr="0082423A" w:rsidRDefault="00EA0A3F" w:rsidP="00EA0A3F">
      <w:pPr>
        <w:rPr>
          <w:b/>
          <w:bCs/>
          <w:rtl/>
        </w:rPr>
      </w:pPr>
      <w:r w:rsidRPr="00B57C08">
        <w:rPr>
          <w:rFonts w:hint="cs"/>
          <w:rtl/>
        </w:rPr>
        <w:t>در این گزارش ابتدا اصولی جهت تدوین قوانین به صورت عام و قانون برنامه به صورت خاص مطرح شده است.</w:t>
      </w:r>
    </w:p>
    <w:p w:rsidR="00EA0A3F" w:rsidRPr="00B57C08" w:rsidRDefault="00EA0A3F" w:rsidP="00EA0A3F">
      <w:pPr>
        <w:rPr>
          <w:rtl/>
        </w:rPr>
      </w:pPr>
      <w:r w:rsidRPr="00B57C08">
        <w:rPr>
          <w:rFonts w:hint="cs"/>
          <w:rtl/>
        </w:rPr>
        <w:t>سپس فصل پنجم (اقتصادی) برنامه پنجم (مواد 69 تا 177) و فصل نهم (بودجه و نظارت) مواد (213 تا 235) طبق این اصول مورد ارزیابی قرار گرفته است.</w:t>
      </w:r>
    </w:p>
    <w:p w:rsidR="00EA0A3F" w:rsidRPr="00B57C08" w:rsidRDefault="00EA0A3F" w:rsidP="00EA0A3F">
      <w:pPr>
        <w:rPr>
          <w:rtl/>
        </w:rPr>
      </w:pPr>
      <w:r w:rsidRPr="00B57C08">
        <w:rPr>
          <w:rFonts w:hint="cs"/>
          <w:rtl/>
        </w:rPr>
        <w:t>در نهایت ضمن ارائه مثال‌هایی از رعایت یا عدم رعایت اصول مطرح‌شده، میزان رعایت این اصول در دو بخش اقتصادی و نظارت و بودجه به صورت کمی مشخص شده است.</w:t>
      </w:r>
    </w:p>
    <w:p w:rsidR="00EA0A3F" w:rsidRPr="00B57C08" w:rsidRDefault="00EA0A3F" w:rsidP="00EA0A3F">
      <w:pPr>
        <w:pStyle w:val="Heading1"/>
        <w:rPr>
          <w:rtl/>
        </w:rPr>
      </w:pPr>
      <w:r w:rsidRPr="00B57C08">
        <w:rPr>
          <w:rFonts w:hint="cs"/>
          <w:rtl/>
        </w:rPr>
        <w:t>اصول قانون‌نویسی مطرح شده برای قانون برنامه</w:t>
      </w:r>
    </w:p>
    <w:p w:rsidR="00EA0A3F" w:rsidRPr="00B57C08" w:rsidRDefault="00EA0A3F" w:rsidP="00EA0A3F">
      <w:pPr>
        <w:rPr>
          <w:rtl/>
        </w:rPr>
      </w:pPr>
      <w:r w:rsidRPr="00B57C08">
        <w:rPr>
          <w:rFonts w:hint="cs"/>
          <w:rtl/>
        </w:rPr>
        <w:t>برای قانون برنامه سه دسته اصول نگارش قانون مطرح شده است که شامل دسته های زیر می‌باشد:</w:t>
      </w:r>
    </w:p>
    <w:p w:rsidR="00EA0A3F" w:rsidRPr="00B57C08" w:rsidRDefault="00EA0A3F" w:rsidP="00EA0A3F">
      <w:pPr>
        <w:pStyle w:val="ListParagraph"/>
        <w:numPr>
          <w:ilvl w:val="0"/>
          <w:numId w:val="26"/>
        </w:numPr>
        <w:rPr>
          <w:rtl/>
        </w:rPr>
      </w:pPr>
      <w:r w:rsidRPr="00B57C08">
        <w:rPr>
          <w:rFonts w:hint="cs"/>
          <w:rtl/>
        </w:rPr>
        <w:t>ویژگی‌های عمومی</w:t>
      </w:r>
    </w:p>
    <w:p w:rsidR="00EA0A3F" w:rsidRPr="00B57C08" w:rsidRDefault="00EA0A3F" w:rsidP="00EA0A3F">
      <w:pPr>
        <w:pStyle w:val="ListParagraph"/>
        <w:numPr>
          <w:ilvl w:val="0"/>
          <w:numId w:val="26"/>
        </w:numPr>
        <w:rPr>
          <w:rtl/>
        </w:rPr>
      </w:pPr>
      <w:r w:rsidRPr="00B57C08">
        <w:rPr>
          <w:rFonts w:hint="cs"/>
          <w:rtl/>
        </w:rPr>
        <w:t>ویژگی‌های مختص قوانین تکلیفی</w:t>
      </w:r>
    </w:p>
    <w:p w:rsidR="00EA0A3F" w:rsidRPr="00B57C08" w:rsidRDefault="00EA0A3F" w:rsidP="00EA0A3F">
      <w:pPr>
        <w:pStyle w:val="ListParagraph"/>
        <w:numPr>
          <w:ilvl w:val="0"/>
          <w:numId w:val="26"/>
        </w:numPr>
        <w:rPr>
          <w:rtl/>
        </w:rPr>
      </w:pPr>
      <w:r w:rsidRPr="00B57C08">
        <w:rPr>
          <w:rFonts w:hint="cs"/>
          <w:rtl/>
        </w:rPr>
        <w:t>ویژگی‌های مختص قوانین برنامه‌ای</w:t>
      </w:r>
    </w:p>
    <w:p w:rsidR="00EA0A3F" w:rsidRPr="00B57C08" w:rsidRDefault="00EA0A3F" w:rsidP="00EA0A3F">
      <w:pPr>
        <w:pStyle w:val="Heading2"/>
        <w:rPr>
          <w:rtl/>
        </w:rPr>
      </w:pPr>
      <w:r w:rsidRPr="00B57C08">
        <w:rPr>
          <w:rFonts w:hint="cs"/>
          <w:rtl/>
        </w:rPr>
        <w:t>ویژگی‌های عمومی</w:t>
      </w:r>
    </w:p>
    <w:p w:rsidR="00EA0A3F" w:rsidRPr="00B57C08" w:rsidRDefault="00EA0A3F" w:rsidP="00EA0A3F">
      <w:pPr>
        <w:rPr>
          <w:rtl/>
        </w:rPr>
      </w:pPr>
      <w:r w:rsidRPr="00B57C08">
        <w:rPr>
          <w:rFonts w:hint="cs"/>
          <w:rtl/>
        </w:rPr>
        <w:t>ویژگی‌های عمومی ویژگی‌هایی هستند که برای تدوین هر قانونی باید رعایت شود. این ویژگی‌ها عباتند از:</w:t>
      </w:r>
    </w:p>
    <w:p w:rsidR="00EA0A3F" w:rsidRPr="00B57C08" w:rsidRDefault="00EA0A3F" w:rsidP="00EA0A3F">
      <w:pPr>
        <w:pStyle w:val="ListParagraph"/>
        <w:numPr>
          <w:ilvl w:val="0"/>
          <w:numId w:val="29"/>
        </w:numPr>
        <w:rPr>
          <w:rtl/>
        </w:rPr>
      </w:pPr>
      <w:r w:rsidRPr="00B57C08">
        <w:rPr>
          <w:rFonts w:hint="cs"/>
          <w:rtl/>
        </w:rPr>
        <w:t>عدم تعارض ناخواسته با قوانین قبلی</w:t>
      </w:r>
    </w:p>
    <w:p w:rsidR="00EA0A3F" w:rsidRPr="00B57C08" w:rsidRDefault="00EA0A3F" w:rsidP="00EA0A3F">
      <w:pPr>
        <w:pStyle w:val="ListParagraph"/>
        <w:numPr>
          <w:ilvl w:val="0"/>
          <w:numId w:val="29"/>
        </w:numPr>
        <w:rPr>
          <w:rtl/>
        </w:rPr>
      </w:pPr>
      <w:r w:rsidRPr="00B57C08">
        <w:rPr>
          <w:rFonts w:hint="cs"/>
          <w:rtl/>
        </w:rPr>
        <w:t>عدم کلی‌گویی</w:t>
      </w:r>
    </w:p>
    <w:p w:rsidR="00EA0A3F" w:rsidRPr="00B57C08" w:rsidRDefault="00EA0A3F" w:rsidP="00EA0A3F">
      <w:pPr>
        <w:pStyle w:val="ListParagraph"/>
        <w:numPr>
          <w:ilvl w:val="0"/>
          <w:numId w:val="29"/>
        </w:numPr>
        <w:rPr>
          <w:rtl/>
        </w:rPr>
      </w:pPr>
      <w:r w:rsidRPr="00B57C08">
        <w:rPr>
          <w:rFonts w:hint="cs"/>
          <w:rtl/>
        </w:rPr>
        <w:t>عدم مهمل‌گویی</w:t>
      </w:r>
    </w:p>
    <w:p w:rsidR="00EA0A3F" w:rsidRPr="00B57C08" w:rsidRDefault="00EA0A3F" w:rsidP="00EA0A3F">
      <w:pPr>
        <w:pStyle w:val="ListParagraph"/>
        <w:numPr>
          <w:ilvl w:val="0"/>
          <w:numId w:val="29"/>
        </w:numPr>
        <w:rPr>
          <w:rtl/>
        </w:rPr>
      </w:pPr>
      <w:r w:rsidRPr="00B57C08">
        <w:rPr>
          <w:rFonts w:hint="cs"/>
          <w:rtl/>
        </w:rPr>
        <w:t>رعایت اصول نگارشی</w:t>
      </w:r>
    </w:p>
    <w:p w:rsidR="00EA0A3F" w:rsidRDefault="00EA0A3F" w:rsidP="00EA0A3F">
      <w:pPr>
        <w:pStyle w:val="ListParagraph"/>
        <w:numPr>
          <w:ilvl w:val="0"/>
          <w:numId w:val="29"/>
        </w:numPr>
        <w:rPr>
          <w:rtl/>
        </w:rPr>
      </w:pPr>
      <w:r w:rsidRPr="00B57C08">
        <w:rPr>
          <w:rFonts w:hint="cs"/>
          <w:rtl/>
        </w:rPr>
        <w:t>عدم ایجاد زمینه سوء‌استفاده</w:t>
      </w:r>
    </w:p>
    <w:p w:rsidR="00EA0A3F" w:rsidRPr="00B57C08" w:rsidRDefault="00EA0A3F" w:rsidP="00EA0A3F">
      <w:pPr>
        <w:pStyle w:val="Heading3"/>
        <w:rPr>
          <w:rtl/>
        </w:rPr>
      </w:pPr>
      <w:r w:rsidRPr="00B57C08">
        <w:rPr>
          <w:rFonts w:hint="cs"/>
          <w:rtl/>
        </w:rPr>
        <w:t>عدم تعارض ناخواسته با قوانین قبلی</w:t>
      </w:r>
    </w:p>
    <w:p w:rsidR="00EA0A3F" w:rsidRPr="00B57C08" w:rsidRDefault="00EA0A3F" w:rsidP="00EA0A3F">
      <w:pPr>
        <w:rPr>
          <w:rtl/>
        </w:rPr>
      </w:pPr>
      <w:r w:rsidRPr="00B57C08">
        <w:rPr>
          <w:rFonts w:hint="cs"/>
          <w:rtl/>
        </w:rPr>
        <w:t>بدیهی است قوانین نباید با یکدیگر تعارض داشته باشند و در صورتی که نسبت قوانین یک نسبت طولی است می‌بایست قوانین تابعه در راستای قوانین متبوع خود باشند و آن‌ها را نقض ننمایند که در این صورت باب سوء‌استفاده از قانون گشوده می‌شود.</w:t>
      </w:r>
    </w:p>
    <w:p w:rsidR="00EA0A3F" w:rsidRPr="00B57C08" w:rsidRDefault="00EA0A3F" w:rsidP="00EA0A3F">
      <w:pPr>
        <w:rPr>
          <w:rtl/>
        </w:rPr>
      </w:pPr>
      <w:r w:rsidRPr="00B57C08">
        <w:rPr>
          <w:rFonts w:hint="cs"/>
          <w:rtl/>
        </w:rPr>
        <w:t>این نکته قابل ذکر است که بررسی میزان تخطی از این اصل نیاز به تسلط بر سایر قوانین دارد و تنها با بررسی قانون برنامه پنجم توسعه، نمی‌توان در مورد میزان عدم رعایت این اصل اظهارنظر کرد.</w:t>
      </w:r>
    </w:p>
    <w:p w:rsidR="00EA0A3F" w:rsidRPr="00B57C08" w:rsidRDefault="00EA0A3F" w:rsidP="00EA0A3F">
      <w:pPr>
        <w:pStyle w:val="Heading4"/>
        <w:bidi/>
        <w:rPr>
          <w:rtl/>
        </w:rPr>
      </w:pPr>
      <w:r w:rsidRPr="00B57C08">
        <w:rPr>
          <w:rFonts w:hint="cs"/>
          <w:rtl/>
        </w:rPr>
        <w:t>مثال</w:t>
      </w:r>
    </w:p>
    <w:p w:rsidR="00EA0A3F" w:rsidRPr="00B57C08" w:rsidRDefault="00EA0A3F" w:rsidP="00EA0A3F">
      <w:pPr>
        <w:pStyle w:val="Heading5"/>
        <w:rPr>
          <w:rtl/>
        </w:rPr>
      </w:pPr>
      <w:r w:rsidRPr="00B57C08">
        <w:rPr>
          <w:rFonts w:hint="cs"/>
          <w:rtl/>
        </w:rPr>
        <w:lastRenderedPageBreak/>
        <w:t>ماده (96):</w:t>
      </w:r>
    </w:p>
    <w:p w:rsidR="00EA0A3F" w:rsidRPr="00B57C08" w:rsidRDefault="00EA0A3F" w:rsidP="00EA0A3F">
      <w:pPr>
        <w:rPr>
          <w:rtl/>
        </w:rPr>
      </w:pPr>
      <w:r w:rsidRPr="00B57C08">
        <w:rPr>
          <w:rFonts w:hint="cs"/>
          <w:rtl/>
        </w:rPr>
        <w:t>اداره امور بانک مرکزی جمهوری اسلامی ایران بر اساس قانون پولی و بانکی و مصوبات شورای پول و اعتبار است.</w:t>
      </w:r>
    </w:p>
    <w:p w:rsidR="00EA0A3F" w:rsidRPr="00B57C08" w:rsidRDefault="00EA0A3F" w:rsidP="00EA0A3F">
      <w:pPr>
        <w:rPr>
          <w:rtl/>
        </w:rPr>
      </w:pPr>
      <w:r w:rsidRPr="00B57C08">
        <w:rPr>
          <w:rFonts w:hint="cs"/>
          <w:rtl/>
        </w:rPr>
        <w:t>در این بند قانونی، بدون تصریح تعارض و نقض قوانین قبلی در متن قانون، عملاً شمول قانون مدیریت خدمات کشوری بر بانک مرکزی نقض شده است. درواقع طبق ماده (5) قانون مدیریت خدمات کشوری، بانک مرکزی جزو دستگاه‌های اجرایی بوده و لذا مشمول مواد مندرج در این قانون است و بر این اساس اداره امور بانک مرکزی می‌بایست مطابق با ماده (5) این قانون باشد.</w:t>
      </w:r>
    </w:p>
    <w:p w:rsidR="00EA0A3F" w:rsidRPr="00B57C08" w:rsidRDefault="00EA0A3F" w:rsidP="00EA0A3F">
      <w:pPr>
        <w:pStyle w:val="Heading5"/>
        <w:rPr>
          <w:rtl/>
        </w:rPr>
      </w:pPr>
      <w:r w:rsidRPr="00B57C08">
        <w:rPr>
          <w:rFonts w:hint="cs"/>
          <w:rtl/>
        </w:rPr>
        <w:t>ماده (224):</w:t>
      </w:r>
    </w:p>
    <w:p w:rsidR="00EA0A3F" w:rsidRPr="00B57C08" w:rsidRDefault="00EA0A3F" w:rsidP="00EA0A3F">
      <w:pPr>
        <w:rPr>
          <w:rtl/>
        </w:rPr>
      </w:pPr>
      <w:r w:rsidRPr="00B57C08">
        <w:rPr>
          <w:rFonts w:hint="cs"/>
          <w:rtl/>
        </w:rPr>
        <w:t>ب) هرگونه پرداخت توسط خزانه از جمله پرداخت حقوق و مزایای مستمر دستگاه‌های اجرائی و موارد ضروری یا از محل تنخواه‌گردان خزانه فقط با تأیید و تخصیص اعتبار از سوی معاونت مجاز است.</w:t>
      </w:r>
    </w:p>
    <w:p w:rsidR="00EA0A3F" w:rsidRPr="00B57C08" w:rsidRDefault="00EA0A3F" w:rsidP="00EA0A3F">
      <w:pPr>
        <w:rPr>
          <w:rtl/>
        </w:rPr>
      </w:pPr>
      <w:r w:rsidRPr="00B57C08">
        <w:rPr>
          <w:rFonts w:hint="cs"/>
          <w:rtl/>
        </w:rPr>
        <w:t>و) کلیه اعتبارات هزینه‌ای و تملک دارائی‌های سرمایه‌ای و مالی و کمک‌ها و سایر اعتبارات و ردیف‌های مندرج در جداول قوانین بودجه سنواتی به شرح عناوین و ارقام جداول مذکور فقط در حدود وصولی درآمدها و سایر منابع عمومی به شرح عناوین و ارقام مندرج در جداول مربوط قوانین یادشده بر اساس مفاد موافقتنامه‌های متبادله دستگاه با معاونت و در حدود ابلاغ و تخصیص اعتبار از سوی معاونت، قابل تعهد، پرداخت و هزینه است.</w:t>
      </w:r>
    </w:p>
    <w:p w:rsidR="00EA0A3F" w:rsidRPr="00B57C08" w:rsidRDefault="00EA0A3F" w:rsidP="00EA0A3F">
      <w:pPr>
        <w:pStyle w:val="Heading3"/>
        <w:rPr>
          <w:rtl/>
        </w:rPr>
      </w:pPr>
      <w:r w:rsidRPr="00B57C08">
        <w:rPr>
          <w:rFonts w:hint="cs"/>
          <w:rtl/>
        </w:rPr>
        <w:t>عدم کلی‌گویی در نگارش قوانین</w:t>
      </w:r>
    </w:p>
    <w:p w:rsidR="00EA0A3F" w:rsidRPr="00B57C08" w:rsidRDefault="00EA0A3F" w:rsidP="00EA0A3F">
      <w:pPr>
        <w:rPr>
          <w:rtl/>
        </w:rPr>
      </w:pPr>
      <w:r w:rsidRPr="00B57C08">
        <w:rPr>
          <w:rFonts w:hint="cs"/>
          <w:rtl/>
        </w:rPr>
        <w:t>استفاده از عباراتی که افاده معنای عام می‌نمایند موجب می‌شود که قانون قابلیت ارزیابی دقیق اجرای خود را از دست بدهد. عباراتی مانند اقدامات مؤثر، حمایت‌های لازم، حسب ضرورت، رفع مشکلات و موانع به صورت متعدد در متن قوانین ما وجود دارد. به عنوان مثال:</w:t>
      </w:r>
    </w:p>
    <w:p w:rsidR="00EA0A3F" w:rsidRPr="00B57C08" w:rsidRDefault="00EA0A3F" w:rsidP="00EA0A3F">
      <w:pPr>
        <w:rPr>
          <w:rtl/>
        </w:rPr>
      </w:pPr>
      <w:r w:rsidRPr="00B57C08">
        <w:rPr>
          <w:rFonts w:hint="cs"/>
          <w:rtl/>
        </w:rPr>
        <w:t>- ماده 80 بند «ب»: رفع مشکلات و موانع رشد و توسعه بنگاه‌های کوچک و متوسط و کمک به بلوغ و تبدیل آن‌ها به بنگاه‌های بزرگ و رقابت‌پذیر.</w:t>
      </w:r>
    </w:p>
    <w:p w:rsidR="00EA0A3F" w:rsidRPr="00B57C08" w:rsidRDefault="00EA0A3F" w:rsidP="00EA0A3F">
      <w:pPr>
        <w:rPr>
          <w:rtl/>
        </w:rPr>
      </w:pPr>
      <w:r w:rsidRPr="00B57C08">
        <w:rPr>
          <w:rFonts w:hint="cs"/>
          <w:rtl/>
        </w:rPr>
        <w:t>- ماده 81 بند «ج»: نظام ارزی کشور، شناور مدیریت‌شده است. نرخ ارز با توجه به حفظ دامنه رقابت‌پذیری در تجارت خارجی و یا ملاحظه تورم داخلی و جهانی و همچنین شرایط اقتصاد کلان از جمله تعیین حد مطلوبی از ذخایر خارجی تعیین خواهد شد.</w:t>
      </w:r>
    </w:p>
    <w:p w:rsidR="00EA0A3F" w:rsidRPr="00B57C08" w:rsidRDefault="00EA0A3F" w:rsidP="00EA0A3F">
      <w:pPr>
        <w:rPr>
          <w:rtl/>
        </w:rPr>
      </w:pPr>
      <w:r w:rsidRPr="00B57C08">
        <w:rPr>
          <w:rFonts w:hint="cs"/>
          <w:rtl/>
        </w:rPr>
        <w:t>ماده 97 بند «د»: راه‌اندازی سامانه نظارتی قوی جهت شناسایی فعالیت‌های غیرمتعارف بانک‌ها هنگام دستکاری نرخ‌های سود سپرده‌ها و تسهیلات به روش‌های خاص.</w:t>
      </w:r>
    </w:p>
    <w:p w:rsidR="00EA0A3F" w:rsidRPr="00B57C08" w:rsidRDefault="00EA0A3F" w:rsidP="00EA0A3F">
      <w:pPr>
        <w:rPr>
          <w:rtl/>
        </w:rPr>
      </w:pPr>
      <w:r w:rsidRPr="00B57C08">
        <w:rPr>
          <w:rFonts w:hint="cs"/>
          <w:rtl/>
        </w:rPr>
        <w:t>به‌طور کلی در 30 تا 40 درصد از مواد بررسی شده قانون برنامه پنج‌ساله پنجم توسعه، این اصل رعایت نشده است.</w:t>
      </w:r>
    </w:p>
    <w:p w:rsidR="00EA0A3F" w:rsidRPr="00B57C08" w:rsidRDefault="00EA0A3F" w:rsidP="00EA0A3F">
      <w:pPr>
        <w:pStyle w:val="Heading3"/>
        <w:rPr>
          <w:rtl/>
        </w:rPr>
      </w:pPr>
      <w:r w:rsidRPr="00B57C08">
        <w:rPr>
          <w:rFonts w:hint="cs"/>
          <w:rtl/>
        </w:rPr>
        <w:t>عدم مهمل‌گویی</w:t>
      </w:r>
    </w:p>
    <w:p w:rsidR="00EA0A3F" w:rsidRPr="00B57C08" w:rsidRDefault="00EA0A3F" w:rsidP="00EA0A3F">
      <w:pPr>
        <w:rPr>
          <w:rtl/>
        </w:rPr>
      </w:pPr>
      <w:r w:rsidRPr="00B57C08">
        <w:rPr>
          <w:rFonts w:hint="cs"/>
          <w:rtl/>
        </w:rPr>
        <w:t>مهمل‌گویی یعنی آوردن مواردی در قانون که نیازی به آن‌ها نیست زیرا باعث افزایش بی‌دلیل حجم قانون می‌شود. مانند اعطای جوازهایی که اصلاً منع قانونی نداشته است.</w:t>
      </w:r>
    </w:p>
    <w:p w:rsidR="00EA0A3F" w:rsidRPr="00B57C08" w:rsidRDefault="00EA0A3F" w:rsidP="00EA0A3F">
      <w:pPr>
        <w:pStyle w:val="Heading4"/>
        <w:bidi/>
        <w:rPr>
          <w:rtl/>
        </w:rPr>
      </w:pPr>
      <w:r w:rsidRPr="00B57C08">
        <w:rPr>
          <w:rFonts w:hint="cs"/>
          <w:rtl/>
        </w:rPr>
        <w:t>مثال</w:t>
      </w:r>
    </w:p>
    <w:p w:rsidR="00EA0A3F" w:rsidRPr="00B57C08" w:rsidRDefault="00EA0A3F" w:rsidP="00EA0A3F">
      <w:pPr>
        <w:pStyle w:val="Heading5"/>
        <w:rPr>
          <w:rtl/>
        </w:rPr>
      </w:pPr>
      <w:r w:rsidRPr="00B57C08">
        <w:rPr>
          <w:rFonts w:hint="cs"/>
          <w:rtl/>
        </w:rPr>
        <w:lastRenderedPageBreak/>
        <w:t>ماده «95»:</w:t>
      </w:r>
    </w:p>
    <w:p w:rsidR="00EA0A3F" w:rsidRPr="00B57C08" w:rsidRDefault="00EA0A3F" w:rsidP="00EA0A3F">
      <w:pPr>
        <w:rPr>
          <w:rtl/>
        </w:rPr>
      </w:pPr>
      <w:r w:rsidRPr="00B57C08">
        <w:rPr>
          <w:rFonts w:hint="cs"/>
          <w:rtl/>
        </w:rPr>
        <w:t>به منظور تضمین بازپرداخت وجوه متعلق به سپرده‌گذاران بانک‌ها و سایر مؤسسات اعتباری در صورت ورشکستگی، به بانک مرکزی جمهوری اسلامی ایران اجازه داده می‌شود حداکثر تا پایان سال اول برنامه، نسبت به ایجاد صندوق ضمانت سپرده‌ها با رعایت شرایط ذیل اقدام نماید.</w:t>
      </w:r>
    </w:p>
    <w:p w:rsidR="00EA0A3F" w:rsidRPr="00B57C08" w:rsidRDefault="00EA0A3F" w:rsidP="00EA0A3F">
      <w:pPr>
        <w:rPr>
          <w:rtl/>
        </w:rPr>
      </w:pPr>
      <w:r w:rsidRPr="00B57C08">
        <w:rPr>
          <w:rFonts w:hint="cs"/>
          <w:rtl/>
        </w:rPr>
        <w:t>در ماده 95 به بانک مرکزی اجازه داده شده است که به ایجاد صندوق ضمانت سپرده‌ها اقدام کند. هرچند تأسیس نهاد جدیدی نظیر صندوق ضمانت سپرده‌ها نیازمند مجوز قانونگذار است، اما با توجه به مفهوم «اجازه» تعیین سقف زمانی در این مواد کاری کاملاً مهمل و بیهوده است.</w:t>
      </w:r>
    </w:p>
    <w:p w:rsidR="00EA0A3F" w:rsidRPr="00B57C08" w:rsidRDefault="00EA0A3F" w:rsidP="00EA0A3F">
      <w:pPr>
        <w:pStyle w:val="Heading5"/>
        <w:rPr>
          <w:rtl/>
        </w:rPr>
      </w:pPr>
      <w:r w:rsidRPr="00B57C08">
        <w:rPr>
          <w:rFonts w:hint="cs"/>
          <w:rtl/>
        </w:rPr>
        <w:t>ماده «101»:</w:t>
      </w:r>
    </w:p>
    <w:p w:rsidR="00EA0A3F" w:rsidRPr="00B57C08" w:rsidRDefault="00EA0A3F" w:rsidP="00EA0A3F">
      <w:pPr>
        <w:rPr>
          <w:rtl/>
        </w:rPr>
      </w:pPr>
      <w:r w:rsidRPr="00B57C08">
        <w:rPr>
          <w:rFonts w:hint="cs"/>
          <w:rtl/>
        </w:rPr>
        <w:t>به منظور تنظیم مناسب بازار، افزایش سطح رقابت، ارتقاء بهره‌وری شبکه توزیع شفاف‌سازی فرآیند توزیع کالا و خدمات، دولت می‌تواند: نسبت به ارائه لایحه ساماندهی واحدهای غیردولتی بخش کالا تا پایان سال دوم برنامه اقدام نماید.</w:t>
      </w:r>
    </w:p>
    <w:p w:rsidR="00EA0A3F" w:rsidRPr="00B57C08" w:rsidRDefault="00EA0A3F" w:rsidP="00EA0A3F">
      <w:pPr>
        <w:rPr>
          <w:rtl/>
        </w:rPr>
      </w:pPr>
      <w:r w:rsidRPr="00B57C08">
        <w:rPr>
          <w:rFonts w:hint="cs"/>
          <w:rtl/>
        </w:rPr>
        <w:t>به‌طور کلی در 10 تا 20 درصد مواد بررسی شده دارای ماهیت اجازه، سقف زمانی نیز تعیین شده است. با توجه به توضیحات فوق تعیین سقف زمانی در این موارد کاری کاملاً مهمل است.</w:t>
      </w:r>
    </w:p>
    <w:p w:rsidR="00EA0A3F" w:rsidRPr="00B57C08" w:rsidRDefault="00EA0A3F" w:rsidP="00EA0A3F">
      <w:pPr>
        <w:rPr>
          <w:rtl/>
        </w:rPr>
      </w:pPr>
      <w:r w:rsidRPr="00B57C08">
        <w:rPr>
          <w:rFonts w:hint="cs"/>
          <w:rtl/>
        </w:rPr>
        <w:t>در ماده 96 تبصره 2 ذکر شده است که کلیه اشخاص حقیقی و حقوقی اعم از دولتی و غیردولتی از قبیل سازمان ثبت اسناد و املاک کشور، نیروی انتظامی جمهوری اسلامی ایران و وزارت تعاون مکلف به رعایت مفاد این ماده هستند.</w:t>
      </w:r>
    </w:p>
    <w:p w:rsidR="00EA0A3F" w:rsidRPr="00B57C08" w:rsidRDefault="00EA0A3F" w:rsidP="00EA0A3F">
      <w:pPr>
        <w:pStyle w:val="Heading3"/>
        <w:rPr>
          <w:rtl/>
        </w:rPr>
      </w:pPr>
      <w:r w:rsidRPr="00B57C08">
        <w:rPr>
          <w:rFonts w:hint="cs"/>
          <w:rtl/>
        </w:rPr>
        <w:t>رعایت اصول نگارشی</w:t>
      </w:r>
    </w:p>
    <w:p w:rsidR="00EA0A3F" w:rsidRPr="00B57C08" w:rsidRDefault="00EA0A3F" w:rsidP="00EA0A3F">
      <w:pPr>
        <w:rPr>
          <w:rtl/>
        </w:rPr>
      </w:pPr>
      <w:r w:rsidRPr="00B57C08">
        <w:rPr>
          <w:rFonts w:hint="cs"/>
          <w:rtl/>
        </w:rPr>
        <w:t>در تدوین قانون از ذکر کلمات مبهم، پراکندگی موضوعی، جمله‌بندی طولانی، اصطلاح‌سازی، کلمات زائد و پیچیده نویسی پرهیز شود.</w:t>
      </w:r>
    </w:p>
    <w:p w:rsidR="00EA0A3F" w:rsidRPr="00B57C08" w:rsidRDefault="00EA0A3F" w:rsidP="00EA0A3F">
      <w:pPr>
        <w:pStyle w:val="Heading4"/>
        <w:bidi/>
        <w:rPr>
          <w:rtl/>
        </w:rPr>
      </w:pPr>
      <w:r w:rsidRPr="00B57C08">
        <w:rPr>
          <w:rFonts w:hint="cs"/>
          <w:rtl/>
        </w:rPr>
        <w:t>مثال</w:t>
      </w:r>
    </w:p>
    <w:p w:rsidR="00EA0A3F" w:rsidRPr="00B57C08" w:rsidRDefault="00EA0A3F" w:rsidP="00EA0A3F">
      <w:pPr>
        <w:pStyle w:val="Heading5"/>
        <w:rPr>
          <w:rtl/>
        </w:rPr>
      </w:pPr>
      <w:r w:rsidRPr="00B57C08">
        <w:rPr>
          <w:rFonts w:hint="cs"/>
          <w:rtl/>
        </w:rPr>
        <w:t>ماده «74»:</w:t>
      </w:r>
    </w:p>
    <w:p w:rsidR="00EA0A3F" w:rsidRPr="00B57C08" w:rsidRDefault="00EA0A3F" w:rsidP="00EA0A3F">
      <w:pPr>
        <w:rPr>
          <w:rtl/>
        </w:rPr>
      </w:pPr>
      <w:r w:rsidRPr="00B57C08">
        <w:rPr>
          <w:rFonts w:hint="cs"/>
          <w:rtl/>
        </w:rPr>
        <w:t>در راستای شکل‌گیری بازارهای رقابتی و تحقق بند «ی» ماده (45) قانون اجرای سیاست‌های کلی اصول چهل‌وچهارم (44) قانون اساسی، چنانچه شرکت مشمول واگذاری در حال واگذاری برای اجرای موضوع فعالیت یا تأمین عوامل تولید از جمله مواد اولیه یا فروش کالا و خدمات و یا محل و ترکیب آن‌ها و یا نرخ تأمین عوامل تولید شامل مواد اولیه یا فروش کالا و خدمات آن مشمول رعایت ضوابط خاصی از سوی دستگاه‌های دولتی، شرکت‌ها و مؤسسات دولتی یا وابسته به دولت باشد، ضروری است قبل از واگذاری، کلیه اطلاعات مربوط به تداوم و یا عدم تداوم و همچنین تغییرات احتمالی این الزامات بر اساس ضوابط سازمان بورس و اوراق بهادار افشاء گردد.</w:t>
      </w:r>
    </w:p>
    <w:p w:rsidR="00EA0A3F" w:rsidRPr="00B57C08" w:rsidRDefault="00EA0A3F" w:rsidP="00EA0A3F">
      <w:pPr>
        <w:rPr>
          <w:rtl/>
        </w:rPr>
      </w:pPr>
      <w:r w:rsidRPr="00B57C08">
        <w:rPr>
          <w:rFonts w:hint="cs"/>
          <w:rtl/>
        </w:rPr>
        <w:t>در مثال فوق مشکل پیچده‌نویسی و جمله‌بندی طولانی مشهود است.</w:t>
      </w:r>
    </w:p>
    <w:p w:rsidR="00EA0A3F" w:rsidRPr="00B57C08" w:rsidRDefault="00EA0A3F" w:rsidP="00EA0A3F">
      <w:pPr>
        <w:rPr>
          <w:rtl/>
        </w:rPr>
      </w:pPr>
      <w:r w:rsidRPr="00B57C08">
        <w:rPr>
          <w:rFonts w:hint="cs"/>
          <w:rtl/>
        </w:rPr>
        <w:t>در 20 تا 30 درصد مواد بررسی شده قانون برنامه پنج‌ساله پنجم توسعه این اصل رعایت نشده است.</w:t>
      </w:r>
    </w:p>
    <w:p w:rsidR="00EA0A3F" w:rsidRPr="00B57C08" w:rsidRDefault="00EA0A3F" w:rsidP="00EA0A3F">
      <w:pPr>
        <w:pStyle w:val="Heading3"/>
        <w:rPr>
          <w:rtl/>
        </w:rPr>
      </w:pPr>
      <w:r w:rsidRPr="00B57C08">
        <w:rPr>
          <w:rFonts w:hint="cs"/>
          <w:rtl/>
        </w:rPr>
        <w:lastRenderedPageBreak/>
        <w:t>ایجاد زمینه سوء‌استفاده</w:t>
      </w:r>
    </w:p>
    <w:p w:rsidR="00EA0A3F" w:rsidRPr="00B57C08" w:rsidRDefault="00EA0A3F" w:rsidP="00EA0A3F">
      <w:pPr>
        <w:rPr>
          <w:rtl/>
        </w:rPr>
      </w:pPr>
      <w:r w:rsidRPr="00B57C08">
        <w:rPr>
          <w:rFonts w:hint="cs"/>
          <w:rtl/>
        </w:rPr>
        <w:t>عدم لحاظ تمامی جوانب در نگارش قانون موجب ایجاد زمینه سوء‌استفاده در موضوعاتی غیر از موضوع مورد نظر قانون می‌شود.</w:t>
      </w:r>
    </w:p>
    <w:p w:rsidR="00EA0A3F" w:rsidRPr="00B57C08" w:rsidRDefault="00EA0A3F" w:rsidP="00EA0A3F">
      <w:pPr>
        <w:pStyle w:val="Heading4"/>
        <w:bidi/>
        <w:rPr>
          <w:rtl/>
        </w:rPr>
      </w:pPr>
      <w:r w:rsidRPr="00B57C08">
        <w:rPr>
          <w:rFonts w:hint="cs"/>
          <w:rtl/>
        </w:rPr>
        <w:t>مثال</w:t>
      </w:r>
    </w:p>
    <w:p w:rsidR="00EA0A3F" w:rsidRPr="00B57C08" w:rsidRDefault="00EA0A3F" w:rsidP="00EA0A3F">
      <w:pPr>
        <w:pStyle w:val="Heading5"/>
        <w:rPr>
          <w:rtl/>
        </w:rPr>
      </w:pPr>
      <w:r w:rsidRPr="00B57C08">
        <w:rPr>
          <w:rFonts w:hint="cs"/>
          <w:rtl/>
        </w:rPr>
        <w:t>ماده «102»:</w:t>
      </w:r>
    </w:p>
    <w:p w:rsidR="00EA0A3F" w:rsidRPr="00B57C08" w:rsidRDefault="00EA0A3F" w:rsidP="00EA0A3F">
      <w:pPr>
        <w:rPr>
          <w:rtl/>
        </w:rPr>
      </w:pPr>
      <w:r w:rsidRPr="00B57C08">
        <w:rPr>
          <w:rFonts w:hint="cs"/>
          <w:rtl/>
        </w:rPr>
        <w:t>وزارت بازرگانی مجاز است حسب ضرورت از طریق اعطاء مجوز واردات بدون انتقال ارز، نسبت به جبران نیازهای داخلی اقدام نماید.</w:t>
      </w:r>
    </w:p>
    <w:p w:rsidR="00EA0A3F" w:rsidRPr="00B57C08" w:rsidRDefault="00EA0A3F" w:rsidP="00EA0A3F">
      <w:pPr>
        <w:rPr>
          <w:rtl/>
        </w:rPr>
      </w:pPr>
      <w:r w:rsidRPr="00B57C08">
        <w:rPr>
          <w:rFonts w:hint="cs"/>
          <w:rtl/>
        </w:rPr>
        <w:t>در حدود 10 درصد از مواد بررسی شده قانون برنامه پنج‌ساله پنجم توسعه این اصل رعایت نشده است.</w:t>
      </w:r>
    </w:p>
    <w:p w:rsidR="00EA0A3F" w:rsidRPr="00B57C08" w:rsidRDefault="00EA0A3F" w:rsidP="00EA0A3F">
      <w:pPr>
        <w:pStyle w:val="Heading2"/>
        <w:rPr>
          <w:rtl/>
        </w:rPr>
      </w:pPr>
      <w:r w:rsidRPr="00B57C08">
        <w:rPr>
          <w:rFonts w:hint="cs"/>
          <w:rtl/>
        </w:rPr>
        <w:t>قوانین تکلیفی</w:t>
      </w:r>
    </w:p>
    <w:p w:rsidR="00EA0A3F" w:rsidRPr="00B57C08" w:rsidRDefault="00EA0A3F" w:rsidP="00EA0A3F">
      <w:pPr>
        <w:rPr>
          <w:rtl/>
        </w:rPr>
      </w:pPr>
      <w:r w:rsidRPr="00B57C08">
        <w:rPr>
          <w:rFonts w:hint="cs"/>
          <w:rtl/>
        </w:rPr>
        <w:t>منظور از قوانین تکلیفی آن دسته از قوانینی است که قانون‌گذار در آن‌ها تکالیفی را برای بخش‌های مختلف تعیین نموده است از 132 ماده بررسی شده در بخش‌های اقتصادی و نظارت و بودجه قانون پنج‌ساله پنجم توسعه، 64 ماده از نوع تکلیفی بوده‌اند.</w:t>
      </w:r>
    </w:p>
    <w:p w:rsidR="00EA0A3F" w:rsidRPr="00B57C08" w:rsidRDefault="00EA0A3F" w:rsidP="00EA0A3F">
      <w:pPr>
        <w:rPr>
          <w:rtl/>
        </w:rPr>
      </w:pPr>
      <w:r w:rsidRPr="00B57C08">
        <w:rPr>
          <w:rFonts w:hint="cs"/>
          <w:rtl/>
        </w:rPr>
        <w:t>ویژگی‌های مورد نیاز قوانین تکلیفی</w:t>
      </w:r>
      <w:r>
        <w:rPr>
          <w:rFonts w:hint="cs"/>
          <w:rtl/>
        </w:rPr>
        <w:t xml:space="preserve"> عبارتند از:</w:t>
      </w:r>
    </w:p>
    <w:p w:rsidR="00EA0A3F" w:rsidRPr="00B57C08" w:rsidRDefault="00EA0A3F" w:rsidP="00EA0A3F">
      <w:pPr>
        <w:rPr>
          <w:rtl/>
        </w:rPr>
      </w:pPr>
      <w:r w:rsidRPr="00B57C08">
        <w:rPr>
          <w:rFonts w:hint="cs"/>
          <w:rtl/>
        </w:rPr>
        <w:t>در قوانین تکلیفی رعایت چند مسأله ضروریست. از جمله:</w:t>
      </w:r>
    </w:p>
    <w:p w:rsidR="00EA0A3F" w:rsidRPr="00B57C08" w:rsidRDefault="00EA0A3F" w:rsidP="00EA0A3F">
      <w:pPr>
        <w:pStyle w:val="ListParagraph"/>
        <w:numPr>
          <w:ilvl w:val="0"/>
          <w:numId w:val="32"/>
        </w:numPr>
        <w:rPr>
          <w:rtl/>
        </w:rPr>
      </w:pPr>
      <w:r w:rsidRPr="00B57C08">
        <w:rPr>
          <w:rFonts w:hint="cs"/>
          <w:rtl/>
        </w:rPr>
        <w:t>تحقق‌پذیری</w:t>
      </w:r>
    </w:p>
    <w:p w:rsidR="00EA0A3F" w:rsidRPr="00B57C08" w:rsidRDefault="00EA0A3F" w:rsidP="00EA0A3F">
      <w:pPr>
        <w:pStyle w:val="ListParagraph"/>
        <w:numPr>
          <w:ilvl w:val="0"/>
          <w:numId w:val="32"/>
        </w:numPr>
        <w:rPr>
          <w:rtl/>
        </w:rPr>
      </w:pPr>
      <w:r w:rsidRPr="00B57C08">
        <w:rPr>
          <w:rFonts w:hint="cs"/>
          <w:rtl/>
        </w:rPr>
        <w:t>متولی شخصی</w:t>
      </w:r>
    </w:p>
    <w:p w:rsidR="00EA0A3F" w:rsidRPr="00B57C08" w:rsidRDefault="00EA0A3F" w:rsidP="00EA0A3F">
      <w:pPr>
        <w:pStyle w:val="ListParagraph"/>
        <w:numPr>
          <w:ilvl w:val="0"/>
          <w:numId w:val="32"/>
        </w:numPr>
        <w:rPr>
          <w:rtl/>
        </w:rPr>
      </w:pPr>
      <w:r w:rsidRPr="00B57C08">
        <w:rPr>
          <w:rFonts w:hint="cs"/>
          <w:rtl/>
        </w:rPr>
        <w:t>قابلیت ارزیابی و داشتن شاخص</w:t>
      </w:r>
    </w:p>
    <w:p w:rsidR="00EA0A3F" w:rsidRPr="00B57C08" w:rsidRDefault="00EA0A3F" w:rsidP="00EA0A3F">
      <w:pPr>
        <w:pStyle w:val="ListParagraph"/>
        <w:numPr>
          <w:ilvl w:val="0"/>
          <w:numId w:val="32"/>
        </w:numPr>
        <w:rPr>
          <w:rtl/>
        </w:rPr>
      </w:pPr>
      <w:r w:rsidRPr="00B57C08">
        <w:rPr>
          <w:rFonts w:hint="cs"/>
          <w:rtl/>
        </w:rPr>
        <w:t>ضمانت اجرایی مناسب</w:t>
      </w:r>
    </w:p>
    <w:p w:rsidR="00EA0A3F" w:rsidRPr="00B57C08" w:rsidRDefault="00EA0A3F" w:rsidP="00EA0A3F">
      <w:pPr>
        <w:pStyle w:val="Heading3"/>
        <w:rPr>
          <w:rtl/>
        </w:rPr>
      </w:pPr>
      <w:r w:rsidRPr="00B57C08">
        <w:rPr>
          <w:rFonts w:hint="cs"/>
          <w:rtl/>
        </w:rPr>
        <w:t>تحقق‌پذیری</w:t>
      </w:r>
    </w:p>
    <w:p w:rsidR="00EA0A3F" w:rsidRPr="00B57C08" w:rsidRDefault="00EA0A3F" w:rsidP="00EA0A3F">
      <w:pPr>
        <w:rPr>
          <w:rtl/>
        </w:rPr>
      </w:pPr>
      <w:r w:rsidRPr="00B57C08">
        <w:rPr>
          <w:rFonts w:hint="cs"/>
          <w:rtl/>
        </w:rPr>
        <w:t>ابتدایی‌ترین لازمه پایبندی به قانون این است که آیا با توانایی مجری هماهنگی دارد یا خیر. اگر هماهنگ نباشد موجب عدم اجرای قانون و عدم اجرا نیز باعث تضعیف جایگاه و وجهه قانون‌گذار می شود.</w:t>
      </w:r>
    </w:p>
    <w:p w:rsidR="00EA0A3F" w:rsidRPr="00B57C08" w:rsidRDefault="00EA0A3F" w:rsidP="00EA0A3F">
      <w:pPr>
        <w:rPr>
          <w:rtl/>
        </w:rPr>
      </w:pPr>
      <w:r w:rsidRPr="00B57C08">
        <w:rPr>
          <w:rFonts w:hint="cs"/>
          <w:rtl/>
        </w:rPr>
        <w:t>امیرالمومنین علی (ع) می‌فرماید: «من کَلَفَکَ مالا تُطیق فَقَد اَفتاکَ فی عِصیانِه». (غررالحکم)</w:t>
      </w:r>
    </w:p>
    <w:p w:rsidR="00EA0A3F" w:rsidRPr="00B57C08" w:rsidRDefault="00EA0A3F" w:rsidP="00EA0A3F">
      <w:pPr>
        <w:rPr>
          <w:rtl/>
        </w:rPr>
      </w:pPr>
      <w:r w:rsidRPr="00B57C08">
        <w:rPr>
          <w:rtl/>
        </w:rPr>
        <w:t>کسی که به تو تکلیف کند در آنچه طاقت نداری البته تو را در نافرمانی کردن از خودش فتوا و اجازه داده است</w:t>
      </w:r>
      <w:r w:rsidRPr="00B57C08">
        <w:rPr>
          <w:rFonts w:hint="cs"/>
          <w:rtl/>
        </w:rPr>
        <w:t>.</w:t>
      </w:r>
    </w:p>
    <w:p w:rsidR="00EA0A3F" w:rsidRPr="00B57C08" w:rsidRDefault="00EA0A3F" w:rsidP="00EA0A3F">
      <w:pPr>
        <w:pStyle w:val="Heading4"/>
        <w:bidi/>
        <w:rPr>
          <w:rtl/>
        </w:rPr>
      </w:pPr>
      <w:r w:rsidRPr="00B57C08">
        <w:rPr>
          <w:rFonts w:hint="cs"/>
          <w:rtl/>
        </w:rPr>
        <w:t>مثال</w:t>
      </w:r>
    </w:p>
    <w:p w:rsidR="00EA0A3F" w:rsidRPr="00B57C08" w:rsidRDefault="00EA0A3F" w:rsidP="00EA0A3F">
      <w:pPr>
        <w:rPr>
          <w:b/>
          <w:bCs/>
          <w:rtl/>
        </w:rPr>
      </w:pPr>
      <w:r w:rsidRPr="00B57C08">
        <w:rPr>
          <w:rFonts w:hint="cs"/>
          <w:b/>
          <w:bCs/>
          <w:rtl/>
        </w:rPr>
        <w:t xml:space="preserve">ماده «234»: </w:t>
      </w:r>
      <w:r w:rsidRPr="00B57C08">
        <w:rPr>
          <w:rFonts w:hint="cs"/>
          <w:rtl/>
        </w:rPr>
        <w:t>در راستای سیاست‌های کلی برنامه پنجم دولت مکلف است:</w:t>
      </w:r>
    </w:p>
    <w:p w:rsidR="00EA0A3F" w:rsidRPr="00B57C08" w:rsidRDefault="00EA0A3F" w:rsidP="00EA0A3F">
      <w:pPr>
        <w:rPr>
          <w:rtl/>
        </w:rPr>
      </w:pPr>
      <w:r w:rsidRPr="00B57C08">
        <w:rPr>
          <w:rFonts w:hint="cs"/>
          <w:rtl/>
        </w:rPr>
        <w:t>الف) نرخ رشد متوسط 8% سالیانه تولید ناخالص داخلی.</w:t>
      </w:r>
    </w:p>
    <w:p w:rsidR="00EA0A3F" w:rsidRPr="00B57C08" w:rsidRDefault="00EA0A3F" w:rsidP="00EA0A3F">
      <w:pPr>
        <w:rPr>
          <w:rtl/>
        </w:rPr>
      </w:pPr>
      <w:r w:rsidRPr="00B57C08">
        <w:rPr>
          <w:rFonts w:hint="cs"/>
          <w:rtl/>
        </w:rPr>
        <w:t>ب) قطه وابستگی هزینه‌های دولت به درآمدهای نفت و گاز تا پایان برنامه.</w:t>
      </w:r>
    </w:p>
    <w:p w:rsidR="00EA0A3F" w:rsidRPr="00B57C08" w:rsidRDefault="00EA0A3F" w:rsidP="00EA0A3F">
      <w:pPr>
        <w:rPr>
          <w:rtl/>
        </w:rPr>
      </w:pPr>
      <w:r w:rsidRPr="00B57C08">
        <w:rPr>
          <w:rFonts w:hint="cs"/>
          <w:rtl/>
        </w:rPr>
        <w:lastRenderedPageBreak/>
        <w:t>ج) کاهش نرخ بیکاری به 7% در پایان برنامه.</w:t>
      </w:r>
    </w:p>
    <w:p w:rsidR="00EA0A3F" w:rsidRPr="00B57C08" w:rsidRDefault="00EA0A3F" w:rsidP="00EA0A3F">
      <w:pPr>
        <w:rPr>
          <w:rtl/>
        </w:rPr>
      </w:pPr>
      <w:r w:rsidRPr="00B57C08">
        <w:rPr>
          <w:rFonts w:hint="cs"/>
          <w:rtl/>
        </w:rPr>
        <w:t>در نمودار زیر نوسانات نرخ رشد کشور را نشان می‌دهد که مغایر با ماده 234 می‌باشد.</w:t>
      </w:r>
    </w:p>
    <w:p w:rsidR="00EA0A3F" w:rsidRPr="00B57C08" w:rsidRDefault="00EA0A3F" w:rsidP="00EA0A3F">
      <w:pPr>
        <w:pStyle w:val="Heading3"/>
        <w:rPr>
          <w:rtl/>
        </w:rPr>
      </w:pPr>
      <w:r w:rsidRPr="00B57C08">
        <w:rPr>
          <w:rFonts w:hint="cs"/>
          <w:rtl/>
        </w:rPr>
        <w:t>مشخص بودن متولی اجرا</w:t>
      </w:r>
    </w:p>
    <w:p w:rsidR="00EA0A3F" w:rsidRPr="00B57C08" w:rsidRDefault="00EA0A3F" w:rsidP="00EA0A3F">
      <w:pPr>
        <w:rPr>
          <w:rtl/>
        </w:rPr>
      </w:pPr>
      <w:r w:rsidRPr="00B57C08">
        <w:rPr>
          <w:rFonts w:hint="cs"/>
          <w:rtl/>
        </w:rPr>
        <w:t>محور بعدی که در قوانین تکلیفی باید به آن توجه شود مشخص بودن متولی اجرا است. صراحت در تعیین مسئول اجرای قانون بستر نظارت بر مجری قانون و پاسخگو بودن مجری را فراهم می‌کند. اگر مسئول اجرای قانون مشخص نباشد به معنی شانه خالی کردن و موظف دانستن دیگری است.</w:t>
      </w:r>
    </w:p>
    <w:p w:rsidR="00EA0A3F" w:rsidRPr="00B57C08" w:rsidRDefault="00EA0A3F" w:rsidP="00EA0A3F">
      <w:pPr>
        <w:rPr>
          <w:rtl/>
        </w:rPr>
      </w:pPr>
      <w:r w:rsidRPr="00B57C08">
        <w:rPr>
          <w:rFonts w:hint="cs"/>
          <w:rtl/>
        </w:rPr>
        <w:t>در بسیاری از موارد که دولت را متولی اجرای قانون برنامه کرده‌اند، ابزارهای نظارتی مجلس به سؤال و استیضاح از وزراء تقلیل پیدا می‌کند.</w:t>
      </w:r>
    </w:p>
    <w:p w:rsidR="00EA0A3F" w:rsidRDefault="00EA0A3F" w:rsidP="00EA0A3F">
      <w:pPr>
        <w:pStyle w:val="Heading4"/>
        <w:bidi/>
        <w:rPr>
          <w:rtl/>
        </w:rPr>
      </w:pPr>
      <w:r w:rsidRPr="00B57C08">
        <w:rPr>
          <w:rFonts w:hint="cs"/>
          <w:rtl/>
        </w:rPr>
        <w:t>مثال</w:t>
      </w:r>
    </w:p>
    <w:p w:rsidR="00EA0A3F" w:rsidRPr="00613951" w:rsidRDefault="00EA0A3F" w:rsidP="00EA0A3F">
      <w:pPr>
        <w:rPr>
          <w:b/>
          <w:bCs/>
          <w:rtl/>
        </w:rPr>
      </w:pPr>
      <w:r w:rsidRPr="00B57C08">
        <w:rPr>
          <w:rFonts w:hint="cs"/>
          <w:b/>
          <w:bCs/>
          <w:rtl/>
        </w:rPr>
        <w:t xml:space="preserve">ماده «157»: </w:t>
      </w:r>
      <w:r w:rsidRPr="00B57C08">
        <w:rPr>
          <w:rFonts w:hint="cs"/>
          <w:rtl/>
        </w:rPr>
        <w:t>در جهت توسعه فعالیت‌های معدنی و ارتقاء نقش معدن در اقتصاد ملی دولت موظف است در سقف بودجه سنواتی به منظور ساماندهی امر اکتشاف در کشور، پایگاه جامع علوم زمین را با استفاده از اطلاعات کلیه دستگاه‌های ذیربط تا سال دوم برنامه راه‌اندازی کند.</w:t>
      </w:r>
    </w:p>
    <w:p w:rsidR="00EA0A3F" w:rsidRPr="00B57C08" w:rsidRDefault="00EA0A3F" w:rsidP="00EA0A3F">
      <w:pPr>
        <w:rPr>
          <w:rtl/>
        </w:rPr>
      </w:pPr>
      <w:r w:rsidRPr="00B57C08">
        <w:rPr>
          <w:rFonts w:hint="cs"/>
          <w:rtl/>
        </w:rPr>
        <w:t>در 40 تا 50 درصد از قوانین تکلیفی بررسی شده قانون برنامه پنج‌ساله پنجم توسعه این اصل رعایت نشده است.</w:t>
      </w:r>
    </w:p>
    <w:p w:rsidR="00EA0A3F" w:rsidRPr="00B57C08" w:rsidRDefault="00EA0A3F" w:rsidP="00EA0A3F">
      <w:pPr>
        <w:pStyle w:val="Heading3"/>
        <w:rPr>
          <w:rtl/>
        </w:rPr>
      </w:pPr>
      <w:r w:rsidRPr="00B57C08">
        <w:rPr>
          <w:rFonts w:hint="cs"/>
          <w:rtl/>
        </w:rPr>
        <w:t>قابلیت ارزیابی و داشتن شاخص</w:t>
      </w:r>
    </w:p>
    <w:p w:rsidR="00EA0A3F" w:rsidRPr="00B57C08" w:rsidRDefault="00EA0A3F" w:rsidP="00EA0A3F">
      <w:pPr>
        <w:rPr>
          <w:rtl/>
        </w:rPr>
      </w:pPr>
      <w:r w:rsidRPr="00B57C08">
        <w:rPr>
          <w:rFonts w:hint="cs"/>
          <w:rtl/>
        </w:rPr>
        <w:t>اگر عملکرد مجری قانون قابلیت سنجش داشته باشد قانون‌گذار توانایی نظارت خواهد داشت. در غیر اینصورت در برخی از موارد با عدم تصویب آن مساوی است و کمکی به رسیدن به اهداف نگارش قانون نمی‌نماید.</w:t>
      </w:r>
    </w:p>
    <w:p w:rsidR="00EA0A3F" w:rsidRPr="00B57C08" w:rsidRDefault="00EA0A3F" w:rsidP="00EA0A3F">
      <w:pPr>
        <w:pStyle w:val="Heading4"/>
        <w:bidi/>
        <w:rPr>
          <w:rtl/>
        </w:rPr>
      </w:pPr>
      <w:r w:rsidRPr="00B57C08">
        <w:rPr>
          <w:rFonts w:hint="cs"/>
          <w:rtl/>
        </w:rPr>
        <w:t>مثال</w:t>
      </w:r>
    </w:p>
    <w:p w:rsidR="00EA0A3F" w:rsidRPr="00B57C08" w:rsidRDefault="00EA0A3F" w:rsidP="00EA0A3F">
      <w:pPr>
        <w:rPr>
          <w:rtl/>
        </w:rPr>
      </w:pPr>
      <w:r w:rsidRPr="00B57C08">
        <w:rPr>
          <w:rFonts w:hint="cs"/>
          <w:b/>
          <w:bCs/>
          <w:rtl/>
        </w:rPr>
        <w:t xml:space="preserve">ماده «78»: </w:t>
      </w:r>
      <w:r w:rsidRPr="00B57C08">
        <w:rPr>
          <w:rFonts w:hint="cs"/>
          <w:rtl/>
        </w:rPr>
        <w:t>دولت موظف است در جهت حمایت از تولیدات داخلی، کالاها و خدمات مورد نیاز خود را با اولویت از تولیدکنندگان داخلی خرید نماید.</w:t>
      </w:r>
    </w:p>
    <w:p w:rsidR="00EA0A3F" w:rsidRPr="00B57C08" w:rsidRDefault="00EA0A3F" w:rsidP="00EA0A3F">
      <w:pPr>
        <w:rPr>
          <w:rtl/>
        </w:rPr>
      </w:pPr>
      <w:r w:rsidRPr="00B57C08">
        <w:rPr>
          <w:rFonts w:hint="cs"/>
          <w:b/>
          <w:bCs/>
          <w:rtl/>
        </w:rPr>
        <w:t>ماده «104»:</w:t>
      </w:r>
      <w:r w:rsidRPr="00B57C08">
        <w:rPr>
          <w:rFonts w:hint="cs"/>
          <w:rtl/>
        </w:rPr>
        <w:t xml:space="preserve"> دولت تدابیر و اقدام‌های مؤثر حفاظتی، جبرانی و ضد قیمت‌شکنی در مواردی که کالایی با شرایط غیرمتعارف و با امتیاز قابل توجه به کشور وارد می‌شود را اتخاذ و اعمال نماید.</w:t>
      </w:r>
    </w:p>
    <w:p w:rsidR="00EA0A3F" w:rsidRPr="00B57C08" w:rsidRDefault="00EA0A3F" w:rsidP="00EA0A3F">
      <w:pPr>
        <w:pStyle w:val="Heading3"/>
        <w:rPr>
          <w:rtl/>
        </w:rPr>
      </w:pPr>
      <w:r w:rsidRPr="00B57C08">
        <w:rPr>
          <w:rFonts w:hint="cs"/>
          <w:rtl/>
        </w:rPr>
        <w:t>تعیین شاخص برای هدف</w:t>
      </w:r>
    </w:p>
    <w:p w:rsidR="00EA0A3F" w:rsidRPr="00B57C08" w:rsidRDefault="00EA0A3F" w:rsidP="00EA0A3F">
      <w:pPr>
        <w:rPr>
          <w:rtl/>
        </w:rPr>
      </w:pPr>
      <w:r w:rsidRPr="00B57C08">
        <w:rPr>
          <w:rFonts w:hint="cs"/>
          <w:rtl/>
        </w:rPr>
        <w:t>اگر قانون قابلیت ارزیابی داشته باشد می‌توان برای آن شاخص تعیین و مسیر رسیدن به اهداف را رصد کرد. با کمٌی نمودن اهداف می‌توان تفسیرپذیری را از بین برد و امکان بازخوردگیری را فراهم کرد.</w:t>
      </w:r>
    </w:p>
    <w:p w:rsidR="00EA0A3F" w:rsidRPr="00B57C08" w:rsidRDefault="00EA0A3F" w:rsidP="00EA0A3F">
      <w:pPr>
        <w:pStyle w:val="Heading4"/>
        <w:bidi/>
        <w:rPr>
          <w:rtl/>
        </w:rPr>
      </w:pPr>
      <w:r w:rsidRPr="00B57C08">
        <w:rPr>
          <w:rFonts w:hint="cs"/>
          <w:rtl/>
        </w:rPr>
        <w:t>مثال</w:t>
      </w:r>
    </w:p>
    <w:p w:rsidR="00EA0A3F" w:rsidRPr="00B57C08" w:rsidRDefault="00EA0A3F" w:rsidP="00EA0A3F">
      <w:pPr>
        <w:rPr>
          <w:rtl/>
        </w:rPr>
      </w:pPr>
      <w:r w:rsidRPr="00B57C08">
        <w:rPr>
          <w:rFonts w:hint="cs"/>
          <w:b/>
          <w:bCs/>
          <w:rtl/>
        </w:rPr>
        <w:lastRenderedPageBreak/>
        <w:t xml:space="preserve">ماده «72»: </w:t>
      </w:r>
      <w:r w:rsidRPr="00B57C08">
        <w:rPr>
          <w:rFonts w:hint="cs"/>
          <w:rtl/>
        </w:rPr>
        <w:t xml:space="preserve">به منظور کاهش خطرپذیری ناشی از نوسانات قیمت‌ها از جمله نوسانات نرخ ارز برای واحدهای تولیدی </w:t>
      </w:r>
      <w:r w:rsidRPr="00B57C08">
        <w:rPr>
          <w:rFonts w:ascii="Times New Roman" w:hAnsi="Times New Roman" w:cs="Times New Roman" w:hint="cs"/>
          <w:rtl/>
        </w:rPr>
        <w:t>–</w:t>
      </w:r>
      <w:r w:rsidRPr="00B57C08">
        <w:rPr>
          <w:rFonts w:hint="cs"/>
          <w:rtl/>
        </w:rPr>
        <w:t xml:space="preserve"> صادراتی، بیمه مرکزی ایران از طریق شرکت‌های تجاری بیمه، امکان ارائه خدمات بیمه‌ای مربوط به نوسانات قیمت‌ها و نوسانات نرخ ارز را فراهم آورد.</w:t>
      </w:r>
    </w:p>
    <w:p w:rsidR="00EA0A3F" w:rsidRPr="00B57C08" w:rsidRDefault="00EA0A3F" w:rsidP="00EA0A3F">
      <w:pPr>
        <w:rPr>
          <w:rtl/>
        </w:rPr>
      </w:pPr>
      <w:r w:rsidRPr="00B57C08">
        <w:rPr>
          <w:rFonts w:hint="cs"/>
          <w:rtl/>
        </w:rPr>
        <w:t>در 40 تا 50 درصد از قوانین تکلیفی بررسی شده قانون برنامه پنج‌ساله پنجم توسعه فاقد قابلیت ارزیابی یا شاخص می‌باشند.</w:t>
      </w:r>
    </w:p>
    <w:p w:rsidR="00EA0A3F" w:rsidRPr="00B57C08" w:rsidRDefault="00EA0A3F" w:rsidP="00EA0A3F">
      <w:pPr>
        <w:pStyle w:val="Heading3"/>
        <w:rPr>
          <w:rtl/>
        </w:rPr>
      </w:pPr>
      <w:r w:rsidRPr="00B57C08">
        <w:rPr>
          <w:rFonts w:hint="cs"/>
          <w:rtl/>
        </w:rPr>
        <w:t>ضمانت اجرایی مناسب</w:t>
      </w:r>
    </w:p>
    <w:p w:rsidR="00EA0A3F" w:rsidRPr="00B57C08" w:rsidRDefault="00EA0A3F" w:rsidP="00EA0A3F">
      <w:pPr>
        <w:rPr>
          <w:rtl/>
        </w:rPr>
      </w:pPr>
      <w:r w:rsidRPr="00B57C08">
        <w:rPr>
          <w:rFonts w:hint="cs"/>
          <w:rtl/>
        </w:rPr>
        <w:t>برای ضمانت اجرایی مناسب می‌توان مجری را به اجرای قانون با تمسک به ابزار مناسب آن از جمله استیضاح، سؤال، جریمه نقدی، انفصال از خدمت، کیفر قضائی، درج در پرونده و کنترل تخصیص بودجه ملتزم نمود.</w:t>
      </w:r>
    </w:p>
    <w:p w:rsidR="00EA0A3F" w:rsidRPr="00B57C08" w:rsidRDefault="00EA0A3F" w:rsidP="00953AF8">
      <w:pPr>
        <w:pStyle w:val="Heading4"/>
        <w:bidi/>
        <w:rPr>
          <w:rtl/>
        </w:rPr>
      </w:pPr>
      <w:r w:rsidRPr="00B57C08">
        <w:rPr>
          <w:rFonts w:hint="cs"/>
          <w:rtl/>
        </w:rPr>
        <w:t>مثال</w:t>
      </w:r>
    </w:p>
    <w:p w:rsidR="00EA0A3F" w:rsidRPr="00B57C08" w:rsidRDefault="00EA0A3F" w:rsidP="00953AF8">
      <w:pPr>
        <w:rPr>
          <w:rtl/>
        </w:rPr>
      </w:pPr>
      <w:r w:rsidRPr="00B57C08">
        <w:rPr>
          <w:rFonts w:hint="cs"/>
          <w:b/>
          <w:bCs/>
          <w:rtl/>
        </w:rPr>
        <w:t xml:space="preserve">ماده «77»: </w:t>
      </w:r>
      <w:r w:rsidRPr="00B57C08">
        <w:rPr>
          <w:rFonts w:hint="cs"/>
          <w:rtl/>
        </w:rPr>
        <w:t>کلیه اعضاء اتاق بازرگانی و صنایع و معادن ایران و اتاق تعاون مرکزی جمهوری اسلامی ایران مکلفند یک در هزار رقم فروش کالا و خدمات خود را حسب مورد به حساب اتاق‌های مذکور واریز نمایند و تأییدیه اتاق‌های مذکور را هنگام صدور و تمدید کارت بازرگانی تسلیم کنند.</w:t>
      </w:r>
    </w:p>
    <w:p w:rsidR="00EA0A3F" w:rsidRPr="00B57C08" w:rsidRDefault="00EA0A3F" w:rsidP="00953AF8">
      <w:pPr>
        <w:rPr>
          <w:rtl/>
        </w:rPr>
      </w:pPr>
      <w:r w:rsidRPr="00B57C08">
        <w:rPr>
          <w:rFonts w:hint="cs"/>
          <w:rtl/>
        </w:rPr>
        <w:t>متولی اجرای 40 تا 50 درصد قوانین تکلیفی بررسی شده قانون پنج‌ساله پنجم، دولت یا شورا معرفی شده است. در این موارد مجلس نمی‌تواند حتی از ابزار استیضاح استفاده نماید.</w:t>
      </w:r>
    </w:p>
    <w:p w:rsidR="00EA0A3F" w:rsidRPr="00B57C08" w:rsidRDefault="00EA0A3F" w:rsidP="00953AF8">
      <w:pPr>
        <w:rPr>
          <w:rtl/>
        </w:rPr>
      </w:pPr>
      <w:r w:rsidRPr="00B57C08">
        <w:rPr>
          <w:rFonts w:hint="cs"/>
          <w:rtl/>
        </w:rPr>
        <w:t>ضمانت اجرای 20 تا 30 درصد قوانین تکلیفی بررسی شده قانون پنج‌ساله پنجم نیز صرفاً استیضاح وزراء می‌باشد و سازوکار مناسبی برای ضمانت اجرا طراحی نشده است.</w:t>
      </w:r>
    </w:p>
    <w:p w:rsidR="00EA0A3F" w:rsidRPr="00B57C08" w:rsidRDefault="00EA0A3F" w:rsidP="00953AF8">
      <w:pPr>
        <w:pStyle w:val="Heading2"/>
        <w:rPr>
          <w:rtl/>
        </w:rPr>
      </w:pPr>
      <w:r w:rsidRPr="00B57C08">
        <w:rPr>
          <w:rFonts w:hint="cs"/>
          <w:rtl/>
        </w:rPr>
        <w:t>ویژگی‌های مختص قوانین برنامه‌ای</w:t>
      </w:r>
    </w:p>
    <w:p w:rsidR="00EA0A3F" w:rsidRPr="00B57C08" w:rsidRDefault="00EA0A3F" w:rsidP="00953AF8">
      <w:pPr>
        <w:rPr>
          <w:rtl/>
        </w:rPr>
      </w:pPr>
      <w:r w:rsidRPr="00B57C08">
        <w:rPr>
          <w:rFonts w:hint="cs"/>
          <w:rtl/>
        </w:rPr>
        <w:t>قوانین برنامه‌ باید:</w:t>
      </w:r>
    </w:p>
    <w:p w:rsidR="00EA0A3F" w:rsidRPr="00B57C08" w:rsidRDefault="00EA0A3F" w:rsidP="00953AF8">
      <w:pPr>
        <w:pStyle w:val="ListParagraph"/>
        <w:numPr>
          <w:ilvl w:val="0"/>
          <w:numId w:val="35"/>
        </w:numPr>
        <w:rPr>
          <w:rtl/>
        </w:rPr>
      </w:pPr>
      <w:r w:rsidRPr="00B57C08">
        <w:rPr>
          <w:rFonts w:hint="cs"/>
          <w:rtl/>
        </w:rPr>
        <w:t>دارای ماهیت برنامه‌ای باشد،</w:t>
      </w:r>
    </w:p>
    <w:p w:rsidR="00EA0A3F" w:rsidRPr="00B57C08" w:rsidRDefault="00EA0A3F" w:rsidP="00953AF8">
      <w:pPr>
        <w:pStyle w:val="ListParagraph"/>
        <w:numPr>
          <w:ilvl w:val="0"/>
          <w:numId w:val="35"/>
        </w:numPr>
        <w:rPr>
          <w:rtl/>
        </w:rPr>
      </w:pPr>
      <w:r w:rsidRPr="00B57C08">
        <w:rPr>
          <w:rFonts w:hint="cs"/>
          <w:rtl/>
        </w:rPr>
        <w:t>در حد سیاست کلی نباشد،</w:t>
      </w:r>
    </w:p>
    <w:p w:rsidR="00EA0A3F" w:rsidRPr="00B57C08" w:rsidRDefault="00EA0A3F" w:rsidP="00953AF8">
      <w:pPr>
        <w:pStyle w:val="ListParagraph"/>
        <w:numPr>
          <w:ilvl w:val="0"/>
          <w:numId w:val="35"/>
        </w:numPr>
        <w:rPr>
          <w:rtl/>
        </w:rPr>
      </w:pPr>
      <w:r w:rsidRPr="00B57C08">
        <w:rPr>
          <w:rFonts w:hint="cs"/>
          <w:rtl/>
        </w:rPr>
        <w:t>زمان‌بندی مناسب داشته باشد.</w:t>
      </w:r>
    </w:p>
    <w:p w:rsidR="00EA0A3F" w:rsidRPr="00B57C08" w:rsidRDefault="00EA0A3F" w:rsidP="00953AF8">
      <w:pPr>
        <w:rPr>
          <w:rtl/>
        </w:rPr>
      </w:pPr>
      <w:r w:rsidRPr="00B57C08">
        <w:rPr>
          <w:rFonts w:hint="cs"/>
          <w:rtl/>
        </w:rPr>
        <w:t>قانون برنامه باید قانونی برای دستیابی به اهداف مشخص در مدت زمان معین داشته باشد، یعنی گنجاندن موادی از قانون که جنبه دائمی دارند.</w:t>
      </w:r>
    </w:p>
    <w:p w:rsidR="00EA0A3F" w:rsidRPr="00B57C08" w:rsidRDefault="00EA0A3F" w:rsidP="00953AF8">
      <w:pPr>
        <w:pStyle w:val="Heading3"/>
        <w:rPr>
          <w:rtl/>
        </w:rPr>
      </w:pPr>
      <w:r w:rsidRPr="00B57C08">
        <w:rPr>
          <w:rFonts w:hint="cs"/>
          <w:rtl/>
        </w:rPr>
        <w:t>مثال</w:t>
      </w:r>
    </w:p>
    <w:p w:rsidR="00EA0A3F" w:rsidRPr="00B57C08" w:rsidRDefault="00EA0A3F" w:rsidP="00953AF8">
      <w:pPr>
        <w:rPr>
          <w:rtl/>
        </w:rPr>
      </w:pPr>
      <w:r w:rsidRPr="00B57C08">
        <w:rPr>
          <w:rFonts w:hint="cs"/>
          <w:rtl/>
        </w:rPr>
        <w:t>ماده «89»: تعیین اعضای شورای پول و اعتبار</w:t>
      </w:r>
    </w:p>
    <w:p w:rsidR="00EA0A3F" w:rsidRPr="00B57C08" w:rsidRDefault="00EA0A3F" w:rsidP="00953AF8">
      <w:pPr>
        <w:rPr>
          <w:rtl/>
        </w:rPr>
      </w:pPr>
      <w:r w:rsidRPr="00B57C08">
        <w:rPr>
          <w:rFonts w:hint="cs"/>
          <w:rtl/>
        </w:rPr>
        <w:t>ماده «85»: تصحیح قانون حساب ذخیره ارزی</w:t>
      </w:r>
    </w:p>
    <w:p w:rsidR="00EA0A3F" w:rsidRPr="00B57C08" w:rsidRDefault="00EA0A3F" w:rsidP="00953AF8">
      <w:pPr>
        <w:rPr>
          <w:rtl/>
        </w:rPr>
      </w:pPr>
      <w:r w:rsidRPr="00B57C08">
        <w:rPr>
          <w:rFonts w:hint="cs"/>
          <w:rtl/>
        </w:rPr>
        <w:t>ماده «84»: قانون تأسیس صندوق توسعه ملی</w:t>
      </w:r>
    </w:p>
    <w:p w:rsidR="00EA0A3F" w:rsidRPr="00B57C08" w:rsidRDefault="00EA0A3F" w:rsidP="00953AF8">
      <w:pPr>
        <w:rPr>
          <w:rtl/>
        </w:rPr>
      </w:pPr>
      <w:r w:rsidRPr="00B57C08">
        <w:rPr>
          <w:rFonts w:hint="cs"/>
          <w:rtl/>
        </w:rPr>
        <w:lastRenderedPageBreak/>
        <w:t>ماده «79»: تأسیس سازمان ملی بهره‌وری</w:t>
      </w:r>
    </w:p>
    <w:p w:rsidR="00EA0A3F" w:rsidRPr="00B57C08" w:rsidRDefault="00EA0A3F" w:rsidP="00953AF8">
      <w:pPr>
        <w:rPr>
          <w:rtl/>
        </w:rPr>
      </w:pPr>
      <w:r w:rsidRPr="00B57C08">
        <w:rPr>
          <w:rFonts w:hint="cs"/>
          <w:rtl/>
        </w:rPr>
        <w:t>ماده «75»: تأسیس شورای گفت‌وگوی دولت و بخش خصوصی</w:t>
      </w:r>
    </w:p>
    <w:p w:rsidR="00EA0A3F" w:rsidRPr="00B57C08" w:rsidRDefault="00EA0A3F" w:rsidP="00953AF8">
      <w:pPr>
        <w:rPr>
          <w:rtl/>
        </w:rPr>
      </w:pPr>
      <w:r w:rsidRPr="00B57C08">
        <w:rPr>
          <w:rFonts w:hint="cs"/>
          <w:rtl/>
        </w:rPr>
        <w:t>ماده «88»:‌ تعیین اعضای مجمع عمومی بانک مرکزی</w:t>
      </w:r>
    </w:p>
    <w:p w:rsidR="00EA0A3F" w:rsidRPr="00B57C08" w:rsidRDefault="00EA0A3F" w:rsidP="00953AF8">
      <w:pPr>
        <w:pStyle w:val="Heading3"/>
        <w:rPr>
          <w:rtl/>
        </w:rPr>
      </w:pPr>
      <w:r w:rsidRPr="00B57C08">
        <w:rPr>
          <w:rFonts w:hint="cs"/>
          <w:rtl/>
        </w:rPr>
        <w:t>در حد سیاست کلی</w:t>
      </w:r>
    </w:p>
    <w:p w:rsidR="00EA0A3F" w:rsidRPr="00B57C08" w:rsidRDefault="00EA0A3F" w:rsidP="00953AF8">
      <w:pPr>
        <w:rPr>
          <w:rtl/>
        </w:rPr>
      </w:pPr>
      <w:r w:rsidRPr="00B57C08">
        <w:rPr>
          <w:rFonts w:hint="cs"/>
          <w:rtl/>
        </w:rPr>
        <w:t>نقش سیاست کلی تعیین مسیر و اهداف بلندمدت یک کشور و ریل گذاری برای تمامی قوا است. مجلس هم همه بندهای سیاست کلی را اجرا می‌کند در صورتی که قرار بر این بود که نقش قوه مقننه وضع قوانین در راستای مفاد سیاست کلی برای تسهیل دستیابی به اهداف سیاست کلی و عینی‌سازی و عملیاتی نمودن آن باشد.</w:t>
      </w:r>
    </w:p>
    <w:p w:rsidR="00EA0A3F" w:rsidRPr="00B57C08" w:rsidRDefault="00EA0A3F" w:rsidP="00953AF8">
      <w:pPr>
        <w:pStyle w:val="Heading4"/>
        <w:bidi/>
        <w:rPr>
          <w:rtl/>
        </w:rPr>
      </w:pPr>
      <w:r w:rsidRPr="00B57C08">
        <w:rPr>
          <w:rFonts w:hint="cs"/>
          <w:rtl/>
        </w:rPr>
        <w:t>مثال</w:t>
      </w:r>
    </w:p>
    <w:p w:rsidR="00EA0A3F" w:rsidRPr="00B57C08" w:rsidRDefault="00EA0A3F" w:rsidP="00953AF8">
      <w:pPr>
        <w:rPr>
          <w:rtl/>
        </w:rPr>
      </w:pPr>
      <w:r w:rsidRPr="00B57C08">
        <w:rPr>
          <w:rFonts w:hint="cs"/>
          <w:b/>
          <w:bCs/>
          <w:rtl/>
        </w:rPr>
        <w:t xml:space="preserve">ماده «97»: </w:t>
      </w:r>
      <w:r w:rsidRPr="00B57C08">
        <w:rPr>
          <w:rFonts w:hint="cs"/>
          <w:rtl/>
        </w:rPr>
        <w:t>با توجه به بند (23) سیاست‌های کلی برنامه پنجم ابلاغی مقام معظم رهبری شورای پول و اعتبار موظف است طی سال‌های برنامه موارد زیر را انجام دهد:</w:t>
      </w:r>
    </w:p>
    <w:p w:rsidR="00EA0A3F" w:rsidRPr="00B57C08" w:rsidRDefault="00EA0A3F" w:rsidP="00953AF8">
      <w:pPr>
        <w:rPr>
          <w:rtl/>
        </w:rPr>
      </w:pPr>
      <w:r w:rsidRPr="00B57C08">
        <w:rPr>
          <w:rFonts w:hint="cs"/>
          <w:rtl/>
        </w:rPr>
        <w:t>الف) اصلاح رویه‌های اجرائی، حسابداری و مالی در سامانه بانکی مطابق اهداف و احکام بانکداری بدون ریا.</w:t>
      </w:r>
    </w:p>
    <w:p w:rsidR="00EA0A3F" w:rsidRPr="00B57C08" w:rsidRDefault="00EA0A3F" w:rsidP="00953AF8">
      <w:pPr>
        <w:rPr>
          <w:rtl/>
        </w:rPr>
      </w:pPr>
      <w:r w:rsidRPr="00B57C08">
        <w:rPr>
          <w:rFonts w:hint="cs"/>
          <w:rtl/>
        </w:rPr>
        <w:t>ب) ترویج استفاده از ابزارهای تأمین مالی اسلامی جدید نظیر صکوک جهت کمک به تأمین مالی اسلانی باک‌های کشور</w:t>
      </w:r>
    </w:p>
    <w:p w:rsidR="00EA0A3F" w:rsidRPr="00B57C08" w:rsidRDefault="00EA0A3F" w:rsidP="00953AF8">
      <w:pPr>
        <w:rPr>
          <w:rtl/>
        </w:rPr>
      </w:pPr>
      <w:r w:rsidRPr="00B57C08">
        <w:rPr>
          <w:rFonts w:hint="cs"/>
          <w:rtl/>
        </w:rPr>
        <w:t>ج) اصلاح ساختار بانک مرکزی در جهت تقویت نظارت بر نهادهای پولی و مالی به منظور تحقق اهداف کلان اقتصادی کشور</w:t>
      </w:r>
    </w:p>
    <w:p w:rsidR="00EA0A3F" w:rsidRPr="00B57C08" w:rsidRDefault="00EA0A3F" w:rsidP="00953AF8">
      <w:pPr>
        <w:rPr>
          <w:rtl/>
        </w:rPr>
      </w:pPr>
      <w:r w:rsidRPr="00B57C08">
        <w:rPr>
          <w:rFonts w:hint="cs"/>
          <w:rtl/>
        </w:rPr>
        <w:t>د) افزایش شفافیت و رقابت سالم در ارائه خدمات بانکی در جهت کاهش هزینه خدمات بانکی.</w:t>
      </w:r>
    </w:p>
    <w:p w:rsidR="00EA0A3F" w:rsidRPr="00B57C08" w:rsidRDefault="00EA0A3F" w:rsidP="00953AF8">
      <w:pPr>
        <w:pStyle w:val="Heading3"/>
        <w:rPr>
          <w:rtl/>
        </w:rPr>
      </w:pPr>
      <w:r w:rsidRPr="00B57C08">
        <w:rPr>
          <w:rFonts w:hint="cs"/>
          <w:rtl/>
        </w:rPr>
        <w:t>زمان‌بندی مناسب</w:t>
      </w:r>
    </w:p>
    <w:p w:rsidR="00EA0A3F" w:rsidRPr="00B57C08" w:rsidRDefault="00EA0A3F" w:rsidP="00953AF8">
      <w:pPr>
        <w:rPr>
          <w:rtl/>
        </w:rPr>
      </w:pPr>
      <w:r w:rsidRPr="00B57C08">
        <w:rPr>
          <w:rFonts w:hint="cs"/>
          <w:rtl/>
        </w:rPr>
        <w:t>ماهیت برنامه‌ای قانون نیاز به زمان‌بندی و تعیین شاخص دارد که موجب می‌شود میزان نیل به اهداف در زمان‌های مشخص را بتوان اندازه‌گیری کرد.</w:t>
      </w:r>
    </w:p>
    <w:p w:rsidR="00EA0A3F" w:rsidRPr="00B57C08" w:rsidRDefault="00EA0A3F" w:rsidP="00953AF8">
      <w:pPr>
        <w:pStyle w:val="Heading4"/>
        <w:bidi/>
        <w:rPr>
          <w:rtl/>
        </w:rPr>
      </w:pPr>
      <w:r w:rsidRPr="00B57C08">
        <w:rPr>
          <w:rFonts w:hint="cs"/>
          <w:rtl/>
        </w:rPr>
        <w:t>مثال</w:t>
      </w:r>
    </w:p>
    <w:p w:rsidR="00EA0A3F" w:rsidRPr="00B57C08" w:rsidRDefault="00EA0A3F" w:rsidP="00953AF8">
      <w:pPr>
        <w:rPr>
          <w:b/>
          <w:bCs/>
          <w:rtl/>
        </w:rPr>
      </w:pPr>
      <w:r w:rsidRPr="00B57C08">
        <w:rPr>
          <w:rFonts w:hint="cs"/>
          <w:b/>
          <w:bCs/>
          <w:rtl/>
        </w:rPr>
        <w:t xml:space="preserve">ماده «72»: </w:t>
      </w:r>
      <w:r w:rsidRPr="00B57C08">
        <w:rPr>
          <w:rFonts w:hint="cs"/>
          <w:rtl/>
        </w:rPr>
        <w:t xml:space="preserve">به منظور کاهش خطرپذیری ناشی از نوسانات قیمت‌ها از جمله نوسانات نرخ ارز برای واحدهای تولیدی </w:t>
      </w:r>
      <w:r w:rsidRPr="00B57C08">
        <w:rPr>
          <w:rFonts w:ascii="Times New Roman" w:hAnsi="Times New Roman" w:cs="Times New Roman" w:hint="cs"/>
          <w:rtl/>
        </w:rPr>
        <w:t>–</w:t>
      </w:r>
      <w:r w:rsidRPr="00B57C08">
        <w:rPr>
          <w:rFonts w:hint="cs"/>
          <w:rtl/>
        </w:rPr>
        <w:t xml:space="preserve"> صادراتی، بیمه مرکزی ایران از طریق شرکت‌های تجاری بیمه، امکان ارائه خدمات بیمه‌ای مربوط به نوسانات قیمت‌ها و نوسانات نرخ ارز را فراهم آورد.</w:t>
      </w:r>
    </w:p>
    <w:p w:rsidR="00EA0A3F" w:rsidRPr="00B57C08" w:rsidRDefault="00EA0A3F" w:rsidP="00953AF8">
      <w:pPr>
        <w:rPr>
          <w:rtl/>
        </w:rPr>
      </w:pPr>
      <w:r w:rsidRPr="00B57C08">
        <w:rPr>
          <w:rFonts w:hint="cs"/>
          <w:rtl/>
        </w:rPr>
        <w:t>تنها 40 تا 50 درصد از قوانین با ماهیت برنامه‌ای موجود در قانون برنامه پنجم توسعه، دارای زمان‌بندی می‌باشند.</w:t>
      </w:r>
    </w:p>
    <w:p w:rsidR="00EA0A3F" w:rsidRPr="00B57C08" w:rsidRDefault="00EA0A3F" w:rsidP="00953AF8">
      <w:pPr>
        <w:pStyle w:val="Heading1"/>
        <w:rPr>
          <w:rtl/>
        </w:rPr>
      </w:pPr>
      <w:r w:rsidRPr="00B57C08">
        <w:rPr>
          <w:rFonts w:hint="cs"/>
          <w:rtl/>
        </w:rPr>
        <w:t>جمع‌بندی</w:t>
      </w:r>
    </w:p>
    <w:p w:rsidR="00EA0A3F" w:rsidRPr="00B57C08" w:rsidRDefault="00EA0A3F" w:rsidP="00953AF8">
      <w:pPr>
        <w:rPr>
          <w:rtl/>
        </w:rPr>
      </w:pPr>
      <w:r w:rsidRPr="00B57C08">
        <w:rPr>
          <w:rFonts w:hint="cs"/>
          <w:rtl/>
        </w:rPr>
        <w:t>ویژگی‌های عمومی، قوانین تکلیفی و قوانین برنامه‌ای بصورت خلاصه در جداول زیر آمده است.</w:t>
      </w:r>
    </w:p>
    <w:p w:rsidR="00EA0A3F" w:rsidRPr="00B57C08" w:rsidRDefault="00953AF8" w:rsidP="00953AF8">
      <w:pPr>
        <w:rPr>
          <w:rtl/>
        </w:rPr>
      </w:pPr>
      <w:r>
        <w:rPr>
          <w:rFonts w:cs="B Nazanin"/>
          <w:b/>
          <w:bCs/>
          <w:noProof/>
          <w:color w:val="FF0000"/>
          <w:sz w:val="28"/>
          <w:szCs w:val="28"/>
        </w:rPr>
        <w:lastRenderedPageBreak/>
        <w:drawing>
          <wp:inline distT="0" distB="0" distL="0" distR="0">
            <wp:extent cx="5725160" cy="3982720"/>
            <wp:effectExtent l="0" t="0" r="8890" b="0"/>
            <wp:docPr id="2" name="Picture 2" descr="C:\Users\Abolfazl Zare\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lfazl Zare\Desktop\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160" cy="3982720"/>
                    </a:xfrm>
                    <a:prstGeom prst="rect">
                      <a:avLst/>
                    </a:prstGeom>
                    <a:noFill/>
                    <a:ln>
                      <a:noFill/>
                    </a:ln>
                  </pic:spPr>
                </pic:pic>
              </a:graphicData>
            </a:graphic>
          </wp:inline>
        </w:drawing>
      </w:r>
      <w:r w:rsidR="00EA0A3F" w:rsidRPr="00B57C08">
        <w:rPr>
          <w:rFonts w:hint="cs"/>
          <w:rtl/>
        </w:rPr>
        <w:t>طبق نتایج حاصل از این پژوهش، بالغ بر 80 درصد از قوانین وضع شده در بخش‌های اقتصادی و نظارت و بودجه قانون پنج‌ساله پنجم توسعه، فاقد یکی از ویژگی‌های ذکر شده در این گزارش می‌باشد. همچنین با توجه به این که مواد بررسی شده حدود نیمی از کل قانون برنامه پنجم توسعه را دربر می‌گیرد، انتظار می‌رود که بررسی بقیه مواد برنامه پنجم توسعه به نتایج مشابهی منجر گردد.</w:t>
      </w:r>
    </w:p>
    <w:p w:rsidR="000101E6" w:rsidRDefault="000101E6" w:rsidP="0021539E">
      <w:pPr>
        <w:bidi w:val="0"/>
        <w:spacing w:before="0" w:after="160" w:line="259" w:lineRule="auto"/>
        <w:jc w:val="left"/>
      </w:pPr>
    </w:p>
    <w:sectPr w:rsidR="000101E6" w:rsidSect="00E03910">
      <w:headerReference w:type="even" r:id="rId13"/>
      <w:headerReference w:type="default" r:id="rId14"/>
      <w:footerReference w:type="even" r:id="rId15"/>
      <w:footerReference w:type="default" r:id="rId16"/>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F5" w:rsidRDefault="001974F5" w:rsidP="00B46C07">
      <w:pPr>
        <w:spacing w:before="0" w:after="0" w:line="240" w:lineRule="auto"/>
      </w:pPr>
      <w:r>
        <w:separator/>
      </w:r>
    </w:p>
  </w:endnote>
  <w:endnote w:type="continuationSeparator" w:id="0">
    <w:p w:rsidR="001974F5" w:rsidRDefault="001974F5"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tcPr>
        <w:p w:rsidR="000101E6" w:rsidRPr="00254467" w:rsidRDefault="000101E6" w:rsidP="00BC455D">
          <w:pPr>
            <w:pStyle w:val="Header"/>
            <w:tabs>
              <w:tab w:val="right" w:pos="10467"/>
            </w:tabs>
            <w:jc w:val="center"/>
            <w:rPr>
              <w:color w:val="FFFFFF" w:themeColor="background1"/>
              <w:rtl/>
            </w:rPr>
          </w:pPr>
          <w:r>
            <w:rPr>
              <w:noProof/>
              <w:sz w:val="28"/>
              <w:szCs w:val="28"/>
            </w:rPr>
            <w:drawing>
              <wp:inline distT="0" distB="0" distL="0" distR="0" wp14:anchorId="22D0658E" wp14:editId="2FD4B6DA">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BC455D" w:rsidRDefault="00BC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vAlign w:val="center"/>
        </w:tcPr>
        <w:p w:rsidR="000101E6" w:rsidRPr="00254467" w:rsidRDefault="000101E6" w:rsidP="00E03910">
          <w:pPr>
            <w:pStyle w:val="Header"/>
            <w:tabs>
              <w:tab w:val="right" w:pos="10467"/>
            </w:tabs>
            <w:jc w:val="center"/>
            <w:rPr>
              <w:rtl/>
              <w:lang w:bidi="fa-IR"/>
            </w:rPr>
          </w:pPr>
          <w:r>
            <w:rPr>
              <w:noProof/>
              <w:sz w:val="28"/>
              <w:szCs w:val="28"/>
            </w:rPr>
            <w:drawing>
              <wp:inline distT="0" distB="0" distL="0" distR="0" wp14:anchorId="1163CC09" wp14:editId="3C9729A5">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E03910" w:rsidRDefault="00E03910" w:rsidP="00E0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F5" w:rsidRDefault="001974F5" w:rsidP="00B46C07">
      <w:pPr>
        <w:spacing w:before="0" w:after="0" w:line="240" w:lineRule="auto"/>
      </w:pPr>
      <w:r>
        <w:separator/>
      </w:r>
    </w:p>
  </w:footnote>
  <w:footnote w:type="continuationSeparator" w:id="0">
    <w:p w:rsidR="001974F5" w:rsidRDefault="001974F5" w:rsidP="00B46C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686" w:type="pct"/>
      <w:tblLook w:val="04A0" w:firstRow="1" w:lastRow="0" w:firstColumn="1" w:lastColumn="0" w:noHBand="0" w:noVBand="1"/>
    </w:tblPr>
    <w:tblGrid>
      <w:gridCol w:w="519"/>
      <w:gridCol w:w="7940"/>
    </w:tblGrid>
    <w:tr w:rsidR="00000360"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EndPr/>
          <w:sdtContent>
            <w:p w:rsidR="00000360" w:rsidRPr="00000360" w:rsidRDefault="00000360"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221E77">
                <w:rPr>
                  <w:b/>
                  <w:bCs/>
                  <w:noProof/>
                  <w:color w:val="FFFFFF" w:themeColor="background1"/>
                  <w:rtl/>
                </w:rPr>
                <w:t>8</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rsidR="00000360" w:rsidRPr="00254467" w:rsidRDefault="001974F5" w:rsidP="00000360">
          <w:pPr>
            <w:pStyle w:val="Header"/>
            <w:tabs>
              <w:tab w:val="right" w:pos="10467"/>
            </w:tabs>
            <w:jc w:val="right"/>
            <w:rPr>
              <w:color w:val="FFFFFF" w:themeColor="background1"/>
              <w:rtl/>
            </w:rPr>
          </w:pPr>
          <w:sdt>
            <w:sdtPr>
              <w:rPr>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EndPr/>
            <w:sdtContent>
              <w:r w:rsidR="00DA4E88">
                <w:rPr>
                  <w:rtl/>
                </w:rPr>
                <w:t>عارضه‌یابی متون قانونی کشور</w:t>
              </w:r>
            </w:sdtContent>
          </w:sdt>
          <w:r w:rsidR="00000360">
            <w:rPr>
              <w:rFonts w:hint="cs"/>
              <w:rtl/>
              <w:lang w:bidi="fa-IR"/>
            </w:rPr>
            <w:t xml:space="preserve">       </w:t>
          </w:r>
        </w:p>
      </w:tc>
    </w:tr>
  </w:tbl>
  <w:p w:rsidR="00433FF3" w:rsidRDefault="00000360">
    <w:pPr>
      <w:pStyle w:val="Header"/>
    </w:pPr>
    <w:r>
      <w:rPr>
        <w:noProof/>
      </w:rPr>
      <w:drawing>
        <wp:anchor distT="0" distB="0" distL="114300" distR="114300" simplePos="0" relativeHeight="251665408" behindDoc="0" locked="0" layoutInCell="1" allowOverlap="1" wp14:anchorId="6400BA3D" wp14:editId="0AF5A954">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712" w:type="pct"/>
      <w:tblInd w:w="520" w:type="dxa"/>
      <w:tblLook w:val="04A0" w:firstRow="1" w:lastRow="0" w:firstColumn="1" w:lastColumn="0" w:noHBand="0" w:noVBand="1"/>
    </w:tblPr>
    <w:tblGrid>
      <w:gridCol w:w="7951"/>
      <w:gridCol w:w="555"/>
    </w:tblGrid>
    <w:tr w:rsidR="00AC0714" w:rsidTr="00AC0714">
      <w:tc>
        <w:tcPr>
          <w:tcW w:w="4674" w:type="pct"/>
          <w:tcBorders>
            <w:top w:val="nil"/>
            <w:left w:val="nil"/>
            <w:bottom w:val="nil"/>
            <w:right w:val="nil"/>
          </w:tcBorders>
          <w:shd w:val="clear" w:color="auto" w:fill="DEEAF6" w:themeFill="accent1" w:themeFillTint="33"/>
          <w:vAlign w:val="center"/>
        </w:tcPr>
        <w:p w:rsidR="000101E6" w:rsidRPr="00254467" w:rsidRDefault="001974F5" w:rsidP="000101E6">
          <w:pPr>
            <w:pStyle w:val="Header"/>
            <w:tabs>
              <w:tab w:val="right" w:pos="10467"/>
            </w:tabs>
            <w:jc w:val="left"/>
            <w:rPr>
              <w:rtl/>
              <w:lang w:bidi="fa-IR"/>
            </w:rPr>
          </w:pPr>
          <w:sdt>
            <w:sdtPr>
              <w:rPr>
                <w:rtl/>
              </w:rPr>
              <w:alias w:val="Title"/>
              <w:tag w:val=""/>
              <w:id w:val="-2074958860"/>
              <w:dataBinding w:prefixMappings="xmlns:ns0='http://purl.org/dc/elements/1.1/' xmlns:ns1='http://schemas.openxmlformats.org/package/2006/metadata/core-properties' " w:xpath="/ns1:coreProperties[1]/ns0:title[1]" w:storeItemID="{6C3C8BC8-F283-45AE-878A-BAB7291924A1}"/>
              <w:text/>
            </w:sdtPr>
            <w:sdtEndPr/>
            <w:sdtContent>
              <w:r w:rsidR="00DA4E88">
                <w:rPr>
                  <w:rtl/>
                </w:rPr>
                <w:t>عارضه‌یابی متون قانونی کشور</w:t>
              </w:r>
            </w:sdtContent>
          </w:sdt>
          <w:r w:rsidR="000101E6">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EndPr/>
          <w:sdtContent>
            <w:p w:rsidR="000101E6" w:rsidRPr="00E1408F" w:rsidRDefault="000101E6"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221E77">
                <w:rPr>
                  <w:b/>
                  <w:bCs/>
                  <w:noProof/>
                  <w:color w:val="FFFFFF" w:themeColor="background1"/>
                  <w:rtl/>
                </w:rPr>
                <w:t>7</w:t>
              </w:r>
              <w:r w:rsidRPr="000101E6">
                <w:rPr>
                  <w:b/>
                  <w:bCs/>
                  <w:noProof/>
                  <w:color w:val="FFFFFF" w:themeColor="background1"/>
                </w:rPr>
                <w:fldChar w:fldCharType="end"/>
              </w:r>
            </w:p>
          </w:sdtContent>
        </w:sdt>
      </w:tc>
    </w:tr>
  </w:tbl>
  <w:p w:rsidR="00B46C07" w:rsidRDefault="00AC0714">
    <w:pPr>
      <w:pStyle w:val="Header"/>
    </w:pPr>
    <w:r>
      <w:rPr>
        <w:noProof/>
      </w:rPr>
      <w:drawing>
        <wp:anchor distT="0" distB="0" distL="114300" distR="114300" simplePos="0" relativeHeight="251667456" behindDoc="0" locked="0" layoutInCell="1" allowOverlap="1" wp14:anchorId="2B83B34F" wp14:editId="76829E5C">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C97"/>
    <w:multiLevelType w:val="hybridMultilevel"/>
    <w:tmpl w:val="441411AE"/>
    <w:lvl w:ilvl="0" w:tplc="72A223A8">
      <w:start w:val="5"/>
      <w:numFmt w:val="bullet"/>
      <w:lvlText w:val="-"/>
      <w:lvlJc w:val="left"/>
      <w:pPr>
        <w:ind w:left="720" w:hanging="360"/>
      </w:pPr>
      <w:rPr>
        <w:rFonts w:asciiTheme="minorHAnsi" w:eastAsiaTheme="minorEastAsia"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0D01"/>
    <w:multiLevelType w:val="hybridMultilevel"/>
    <w:tmpl w:val="2280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337EB"/>
    <w:multiLevelType w:val="hybridMultilevel"/>
    <w:tmpl w:val="6D56DE46"/>
    <w:lvl w:ilvl="0" w:tplc="DAD25FC4">
      <w:start w:val="5"/>
      <w:numFmt w:val="bullet"/>
      <w:lvlText w:val="-"/>
      <w:lvlJc w:val="left"/>
      <w:pPr>
        <w:ind w:left="720" w:hanging="360"/>
      </w:pPr>
      <w:rPr>
        <w:rFonts w:asciiTheme="minorHAnsi" w:eastAsiaTheme="minorEastAsia"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1389F"/>
    <w:multiLevelType w:val="hybridMultilevel"/>
    <w:tmpl w:val="F4B6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71EA3"/>
    <w:multiLevelType w:val="multilevel"/>
    <w:tmpl w:val="E20A2B20"/>
    <w:lvl w:ilvl="0">
      <w:start w:val="1"/>
      <w:numFmt w:val="decimal"/>
      <w:pStyle w:val="Heading1"/>
      <w:suff w:val="space"/>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CD51EED"/>
    <w:multiLevelType w:val="hybridMultilevel"/>
    <w:tmpl w:val="2F08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04C61"/>
    <w:multiLevelType w:val="multilevel"/>
    <w:tmpl w:val="63C63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3820DF"/>
    <w:multiLevelType w:val="hybridMultilevel"/>
    <w:tmpl w:val="18B08F6C"/>
    <w:lvl w:ilvl="0" w:tplc="EBF4A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3201C"/>
    <w:multiLevelType w:val="hybridMultilevel"/>
    <w:tmpl w:val="1E447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3284D"/>
    <w:multiLevelType w:val="multilevel"/>
    <w:tmpl w:val="D960E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EC62792"/>
    <w:multiLevelType w:val="hybridMultilevel"/>
    <w:tmpl w:val="9082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B3C52"/>
    <w:multiLevelType w:val="hybridMultilevel"/>
    <w:tmpl w:val="8898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B02A5"/>
    <w:multiLevelType w:val="hybridMultilevel"/>
    <w:tmpl w:val="640A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4"/>
  </w:num>
  <w:num w:numId="13">
    <w:abstractNumId w:val="4"/>
  </w:num>
  <w:num w:numId="14">
    <w:abstractNumId w:val="4"/>
  </w:num>
  <w:num w:numId="15">
    <w:abstractNumId w:val="9"/>
  </w:num>
  <w:num w:numId="16">
    <w:abstractNumId w:val="9"/>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11"/>
  </w:num>
  <w:num w:numId="27">
    <w:abstractNumId w:val="10"/>
  </w:num>
  <w:num w:numId="28">
    <w:abstractNumId w:val="7"/>
  </w:num>
  <w:num w:numId="29">
    <w:abstractNumId w:val="8"/>
  </w:num>
  <w:num w:numId="30">
    <w:abstractNumId w:val="1"/>
  </w:num>
  <w:num w:numId="31">
    <w:abstractNumId w:val="0"/>
  </w:num>
  <w:num w:numId="32">
    <w:abstractNumId w:val="5"/>
  </w:num>
  <w:num w:numId="33">
    <w:abstractNumId w:val="12"/>
  </w:num>
  <w:num w:numId="34">
    <w:abstractNumId w:val="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0F"/>
    <w:rsid w:val="00000360"/>
    <w:rsid w:val="000010F3"/>
    <w:rsid w:val="000101E6"/>
    <w:rsid w:val="0001350D"/>
    <w:rsid w:val="00026F8F"/>
    <w:rsid w:val="00027860"/>
    <w:rsid w:val="00030C18"/>
    <w:rsid w:val="00031E27"/>
    <w:rsid w:val="0003550B"/>
    <w:rsid w:val="00045D5C"/>
    <w:rsid w:val="000516E9"/>
    <w:rsid w:val="00054BA8"/>
    <w:rsid w:val="00057073"/>
    <w:rsid w:val="00067BB8"/>
    <w:rsid w:val="000A13CF"/>
    <w:rsid w:val="000B0C74"/>
    <w:rsid w:val="000B3EA3"/>
    <w:rsid w:val="000B6E0F"/>
    <w:rsid w:val="000C0FC1"/>
    <w:rsid w:val="000C4EBC"/>
    <w:rsid w:val="000C5068"/>
    <w:rsid w:val="000C531D"/>
    <w:rsid w:val="000D3CCA"/>
    <w:rsid w:val="000E62C2"/>
    <w:rsid w:val="000E67BA"/>
    <w:rsid w:val="000F0503"/>
    <w:rsid w:val="00101B4B"/>
    <w:rsid w:val="0011114D"/>
    <w:rsid w:val="00117CE9"/>
    <w:rsid w:val="001236FF"/>
    <w:rsid w:val="00125194"/>
    <w:rsid w:val="00125D6E"/>
    <w:rsid w:val="00127F9C"/>
    <w:rsid w:val="00134CB3"/>
    <w:rsid w:val="0016145D"/>
    <w:rsid w:val="00163D4D"/>
    <w:rsid w:val="00186C07"/>
    <w:rsid w:val="001917A7"/>
    <w:rsid w:val="00193CED"/>
    <w:rsid w:val="00196B69"/>
    <w:rsid w:val="001974F5"/>
    <w:rsid w:val="001A15CE"/>
    <w:rsid w:val="001C01CD"/>
    <w:rsid w:val="001C3F37"/>
    <w:rsid w:val="001C6405"/>
    <w:rsid w:val="001D0034"/>
    <w:rsid w:val="001D7D5B"/>
    <w:rsid w:val="001F1058"/>
    <w:rsid w:val="00200009"/>
    <w:rsid w:val="00203FC1"/>
    <w:rsid w:val="00214D61"/>
    <w:rsid w:val="0021539E"/>
    <w:rsid w:val="00221E77"/>
    <w:rsid w:val="00251A1F"/>
    <w:rsid w:val="002571CC"/>
    <w:rsid w:val="002600E9"/>
    <w:rsid w:val="00272A97"/>
    <w:rsid w:val="002855D8"/>
    <w:rsid w:val="0029040A"/>
    <w:rsid w:val="00296115"/>
    <w:rsid w:val="00296B18"/>
    <w:rsid w:val="00297949"/>
    <w:rsid w:val="002B2034"/>
    <w:rsid w:val="002C6F26"/>
    <w:rsid w:val="002D266E"/>
    <w:rsid w:val="002F4042"/>
    <w:rsid w:val="002F6F35"/>
    <w:rsid w:val="003108DC"/>
    <w:rsid w:val="00320805"/>
    <w:rsid w:val="0032205E"/>
    <w:rsid w:val="0032320D"/>
    <w:rsid w:val="00335A25"/>
    <w:rsid w:val="0034242E"/>
    <w:rsid w:val="00345EF1"/>
    <w:rsid w:val="0034705D"/>
    <w:rsid w:val="003475B4"/>
    <w:rsid w:val="00350F9A"/>
    <w:rsid w:val="0035117F"/>
    <w:rsid w:val="003554A0"/>
    <w:rsid w:val="00360DD1"/>
    <w:rsid w:val="003611C6"/>
    <w:rsid w:val="0036642F"/>
    <w:rsid w:val="00372A3D"/>
    <w:rsid w:val="00383EBE"/>
    <w:rsid w:val="003B1200"/>
    <w:rsid w:val="003B760D"/>
    <w:rsid w:val="003C1C30"/>
    <w:rsid w:val="003D37C6"/>
    <w:rsid w:val="003D62C6"/>
    <w:rsid w:val="003E3E68"/>
    <w:rsid w:val="003F2AD4"/>
    <w:rsid w:val="004001B5"/>
    <w:rsid w:val="00422321"/>
    <w:rsid w:val="004278FF"/>
    <w:rsid w:val="004336AD"/>
    <w:rsid w:val="00433FF3"/>
    <w:rsid w:val="00434A36"/>
    <w:rsid w:val="00443747"/>
    <w:rsid w:val="00447186"/>
    <w:rsid w:val="00457E6B"/>
    <w:rsid w:val="004750BE"/>
    <w:rsid w:val="00482DF0"/>
    <w:rsid w:val="00485CD4"/>
    <w:rsid w:val="004A002B"/>
    <w:rsid w:val="004A1248"/>
    <w:rsid w:val="004A3D58"/>
    <w:rsid w:val="004B1194"/>
    <w:rsid w:val="004C407F"/>
    <w:rsid w:val="004C422A"/>
    <w:rsid w:val="004D54FC"/>
    <w:rsid w:val="004E2832"/>
    <w:rsid w:val="004E5388"/>
    <w:rsid w:val="004E71DF"/>
    <w:rsid w:val="004F6A54"/>
    <w:rsid w:val="005254C9"/>
    <w:rsid w:val="00526564"/>
    <w:rsid w:val="005406DD"/>
    <w:rsid w:val="00545448"/>
    <w:rsid w:val="00556EF8"/>
    <w:rsid w:val="005638A4"/>
    <w:rsid w:val="005754FF"/>
    <w:rsid w:val="0058153A"/>
    <w:rsid w:val="00592E6B"/>
    <w:rsid w:val="005B66E5"/>
    <w:rsid w:val="005C03F6"/>
    <w:rsid w:val="005C05A3"/>
    <w:rsid w:val="005C6793"/>
    <w:rsid w:val="005D1111"/>
    <w:rsid w:val="005D2736"/>
    <w:rsid w:val="005E4D7F"/>
    <w:rsid w:val="005F3E57"/>
    <w:rsid w:val="00612FD5"/>
    <w:rsid w:val="00614CFB"/>
    <w:rsid w:val="00623A01"/>
    <w:rsid w:val="00630B52"/>
    <w:rsid w:val="0066304C"/>
    <w:rsid w:val="006649F9"/>
    <w:rsid w:val="00670A0A"/>
    <w:rsid w:val="00672B76"/>
    <w:rsid w:val="0067683E"/>
    <w:rsid w:val="00684E8B"/>
    <w:rsid w:val="006973F9"/>
    <w:rsid w:val="006A281D"/>
    <w:rsid w:val="006B3D0A"/>
    <w:rsid w:val="006B5DFA"/>
    <w:rsid w:val="006C211E"/>
    <w:rsid w:val="006C3740"/>
    <w:rsid w:val="006E5A8E"/>
    <w:rsid w:val="006F2190"/>
    <w:rsid w:val="006F7805"/>
    <w:rsid w:val="007053B9"/>
    <w:rsid w:val="00713958"/>
    <w:rsid w:val="007159ED"/>
    <w:rsid w:val="00721362"/>
    <w:rsid w:val="00725F26"/>
    <w:rsid w:val="007338D9"/>
    <w:rsid w:val="00747ECD"/>
    <w:rsid w:val="00754996"/>
    <w:rsid w:val="007648F2"/>
    <w:rsid w:val="007711DC"/>
    <w:rsid w:val="00771524"/>
    <w:rsid w:val="007837B7"/>
    <w:rsid w:val="007A18D4"/>
    <w:rsid w:val="007B00CD"/>
    <w:rsid w:val="007B54AF"/>
    <w:rsid w:val="007C14F6"/>
    <w:rsid w:val="007C29C5"/>
    <w:rsid w:val="007C6E15"/>
    <w:rsid w:val="007E06F5"/>
    <w:rsid w:val="007F1780"/>
    <w:rsid w:val="007F5D94"/>
    <w:rsid w:val="007F7911"/>
    <w:rsid w:val="00803A6D"/>
    <w:rsid w:val="0081270F"/>
    <w:rsid w:val="0081528D"/>
    <w:rsid w:val="00823BED"/>
    <w:rsid w:val="008410AE"/>
    <w:rsid w:val="00842260"/>
    <w:rsid w:val="00844A1D"/>
    <w:rsid w:val="0084557A"/>
    <w:rsid w:val="0085543B"/>
    <w:rsid w:val="00871A10"/>
    <w:rsid w:val="00885B8A"/>
    <w:rsid w:val="008A38C0"/>
    <w:rsid w:val="008C1BBB"/>
    <w:rsid w:val="008C2B67"/>
    <w:rsid w:val="008D01D7"/>
    <w:rsid w:val="008E3CCA"/>
    <w:rsid w:val="009014AB"/>
    <w:rsid w:val="00903EAF"/>
    <w:rsid w:val="00912FF6"/>
    <w:rsid w:val="00913A05"/>
    <w:rsid w:val="00933A16"/>
    <w:rsid w:val="00937045"/>
    <w:rsid w:val="00952D67"/>
    <w:rsid w:val="00953AF8"/>
    <w:rsid w:val="00956EFB"/>
    <w:rsid w:val="0096172A"/>
    <w:rsid w:val="00962D92"/>
    <w:rsid w:val="0096379C"/>
    <w:rsid w:val="00966593"/>
    <w:rsid w:val="00971C57"/>
    <w:rsid w:val="00972476"/>
    <w:rsid w:val="00974645"/>
    <w:rsid w:val="009944D2"/>
    <w:rsid w:val="009B6A5B"/>
    <w:rsid w:val="009D15E6"/>
    <w:rsid w:val="009D2FA1"/>
    <w:rsid w:val="009D3E19"/>
    <w:rsid w:val="00A06CFE"/>
    <w:rsid w:val="00A22C4D"/>
    <w:rsid w:val="00A544E9"/>
    <w:rsid w:val="00A57CB2"/>
    <w:rsid w:val="00A60996"/>
    <w:rsid w:val="00A73AE5"/>
    <w:rsid w:val="00A73CDB"/>
    <w:rsid w:val="00A75D58"/>
    <w:rsid w:val="00A80402"/>
    <w:rsid w:val="00A85BEF"/>
    <w:rsid w:val="00A90DCF"/>
    <w:rsid w:val="00AA34C8"/>
    <w:rsid w:val="00AA56E6"/>
    <w:rsid w:val="00AA62E5"/>
    <w:rsid w:val="00AB2525"/>
    <w:rsid w:val="00AB7445"/>
    <w:rsid w:val="00AC0714"/>
    <w:rsid w:val="00AC1EC8"/>
    <w:rsid w:val="00AC3A0B"/>
    <w:rsid w:val="00AC4ABD"/>
    <w:rsid w:val="00AC55B5"/>
    <w:rsid w:val="00AD6D0A"/>
    <w:rsid w:val="00AE184F"/>
    <w:rsid w:val="00AE2516"/>
    <w:rsid w:val="00AE7C51"/>
    <w:rsid w:val="00B10ED1"/>
    <w:rsid w:val="00B2095E"/>
    <w:rsid w:val="00B4625C"/>
    <w:rsid w:val="00B46C07"/>
    <w:rsid w:val="00B5266E"/>
    <w:rsid w:val="00B53929"/>
    <w:rsid w:val="00B552CF"/>
    <w:rsid w:val="00B5724C"/>
    <w:rsid w:val="00B5725D"/>
    <w:rsid w:val="00B616AB"/>
    <w:rsid w:val="00B63AA2"/>
    <w:rsid w:val="00B67080"/>
    <w:rsid w:val="00B67D13"/>
    <w:rsid w:val="00B80D11"/>
    <w:rsid w:val="00B95187"/>
    <w:rsid w:val="00BB16E2"/>
    <w:rsid w:val="00BC2762"/>
    <w:rsid w:val="00BC396B"/>
    <w:rsid w:val="00BC455D"/>
    <w:rsid w:val="00BF6C37"/>
    <w:rsid w:val="00C021F7"/>
    <w:rsid w:val="00C0318D"/>
    <w:rsid w:val="00C04E5E"/>
    <w:rsid w:val="00C135B7"/>
    <w:rsid w:val="00C17BA9"/>
    <w:rsid w:val="00C17D51"/>
    <w:rsid w:val="00C3406D"/>
    <w:rsid w:val="00C35FE9"/>
    <w:rsid w:val="00C36E94"/>
    <w:rsid w:val="00C406D8"/>
    <w:rsid w:val="00C51F45"/>
    <w:rsid w:val="00C52805"/>
    <w:rsid w:val="00C67B53"/>
    <w:rsid w:val="00C70FD7"/>
    <w:rsid w:val="00C7635D"/>
    <w:rsid w:val="00C7788A"/>
    <w:rsid w:val="00C809C5"/>
    <w:rsid w:val="00C87174"/>
    <w:rsid w:val="00C9044C"/>
    <w:rsid w:val="00C90571"/>
    <w:rsid w:val="00C9576F"/>
    <w:rsid w:val="00CA03B6"/>
    <w:rsid w:val="00CA5B47"/>
    <w:rsid w:val="00CB456D"/>
    <w:rsid w:val="00CB46AA"/>
    <w:rsid w:val="00CC47B7"/>
    <w:rsid w:val="00CC59C5"/>
    <w:rsid w:val="00CD7A03"/>
    <w:rsid w:val="00CE10D6"/>
    <w:rsid w:val="00CE6FB4"/>
    <w:rsid w:val="00CF2360"/>
    <w:rsid w:val="00CF2F88"/>
    <w:rsid w:val="00CF65D3"/>
    <w:rsid w:val="00D035B9"/>
    <w:rsid w:val="00D24F4F"/>
    <w:rsid w:val="00D3095C"/>
    <w:rsid w:val="00D30F72"/>
    <w:rsid w:val="00D35718"/>
    <w:rsid w:val="00D40312"/>
    <w:rsid w:val="00D71D1C"/>
    <w:rsid w:val="00D9246F"/>
    <w:rsid w:val="00D94662"/>
    <w:rsid w:val="00DA4E88"/>
    <w:rsid w:val="00DA6C21"/>
    <w:rsid w:val="00DB2682"/>
    <w:rsid w:val="00DB5E97"/>
    <w:rsid w:val="00DC0D2B"/>
    <w:rsid w:val="00DD516D"/>
    <w:rsid w:val="00DD732F"/>
    <w:rsid w:val="00DD7F74"/>
    <w:rsid w:val="00E03910"/>
    <w:rsid w:val="00E04E6D"/>
    <w:rsid w:val="00E27F9F"/>
    <w:rsid w:val="00E330E7"/>
    <w:rsid w:val="00E3369A"/>
    <w:rsid w:val="00E34DAC"/>
    <w:rsid w:val="00E417E6"/>
    <w:rsid w:val="00E44F32"/>
    <w:rsid w:val="00E55ADA"/>
    <w:rsid w:val="00E620A1"/>
    <w:rsid w:val="00E638C4"/>
    <w:rsid w:val="00E77F0D"/>
    <w:rsid w:val="00E917F5"/>
    <w:rsid w:val="00E91F32"/>
    <w:rsid w:val="00E964CF"/>
    <w:rsid w:val="00E969FF"/>
    <w:rsid w:val="00EA0A3F"/>
    <w:rsid w:val="00EB1AB6"/>
    <w:rsid w:val="00EC016D"/>
    <w:rsid w:val="00ED40B6"/>
    <w:rsid w:val="00ED766F"/>
    <w:rsid w:val="00EE66BA"/>
    <w:rsid w:val="00EF3988"/>
    <w:rsid w:val="00F04AEC"/>
    <w:rsid w:val="00F20C95"/>
    <w:rsid w:val="00F25A6C"/>
    <w:rsid w:val="00F37F8F"/>
    <w:rsid w:val="00F5567D"/>
    <w:rsid w:val="00F57BA4"/>
    <w:rsid w:val="00F621EC"/>
    <w:rsid w:val="00F7755D"/>
    <w:rsid w:val="00F86A84"/>
    <w:rsid w:val="00F91244"/>
    <w:rsid w:val="00F9266B"/>
    <w:rsid w:val="00F96226"/>
    <w:rsid w:val="00F96E15"/>
    <w:rsid w:val="00FA0D64"/>
    <w:rsid w:val="00FA465F"/>
    <w:rsid w:val="00FA7939"/>
    <w:rsid w:val="00FE30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EB4F0"/>
  <w15:chartTrackingRefBased/>
  <w15:docId w15:val="{94F5496B-DD0C-4E4F-AFED-E3C029AF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C6"/>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3611C6"/>
    <w:pPr>
      <w:numPr>
        <w:numId w:val="25"/>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3611C6"/>
    <w:pPr>
      <w:numPr>
        <w:ilvl w:val="1"/>
        <w:numId w:val="25"/>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outlineLvl w:val="1"/>
    </w:pPr>
    <w:rPr>
      <w:rFonts w:eastAsiaTheme="minorHAnsi"/>
      <w:sz w:val="26"/>
      <w:szCs w:val="28"/>
    </w:rPr>
  </w:style>
  <w:style w:type="paragraph" w:styleId="Heading3">
    <w:name w:val="heading 3"/>
    <w:basedOn w:val="Normal"/>
    <w:next w:val="Normal"/>
    <w:link w:val="Heading3Char"/>
    <w:uiPriority w:val="9"/>
    <w:unhideWhenUsed/>
    <w:qFormat/>
    <w:rsid w:val="003611C6"/>
    <w:pPr>
      <w:numPr>
        <w:ilvl w:val="2"/>
        <w:numId w:val="25"/>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3611C6"/>
    <w:pPr>
      <w:numPr>
        <w:ilvl w:val="3"/>
        <w:numId w:val="2"/>
      </w:numPr>
      <w:pBdr>
        <w:top w:val="dotted" w:sz="6" w:space="2" w:color="5B9BD5" w:themeColor="accent1"/>
      </w:pBdr>
      <w:bidi w:val="0"/>
      <w:spacing w:before="200" w:after="0"/>
      <w:outlineLvl w:val="3"/>
    </w:pPr>
    <w:rPr>
      <w:rFonts w:eastAsiaTheme="minorHAnsi"/>
      <w:color w:val="2E74B5" w:themeColor="accent1" w:themeShade="BF"/>
      <w:spacing w:val="10"/>
      <w:sz w:val="22"/>
      <w:szCs w:val="22"/>
    </w:rPr>
  </w:style>
  <w:style w:type="paragraph" w:styleId="Heading5">
    <w:name w:val="heading 5"/>
    <w:basedOn w:val="Normal"/>
    <w:next w:val="Normal"/>
    <w:link w:val="Heading5Char"/>
    <w:uiPriority w:val="9"/>
    <w:unhideWhenUsed/>
    <w:qFormat/>
    <w:rsid w:val="00EA0A3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C6"/>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3611C6"/>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3611C6"/>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3611C6"/>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3611C6"/>
    <w:rPr>
      <w:rFonts w:cs="B Mitra"/>
      <w:color w:val="1F4D78" w:themeColor="accent1" w:themeShade="7F"/>
      <w:sz w:val="26"/>
      <w:szCs w:val="28"/>
    </w:rPr>
  </w:style>
  <w:style w:type="paragraph" w:styleId="Caption">
    <w:name w:val="caption"/>
    <w:basedOn w:val="Normal"/>
    <w:next w:val="Normal"/>
    <w:uiPriority w:val="35"/>
    <w:unhideWhenUsed/>
    <w:qFormat/>
    <w:rsid w:val="003611C6"/>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3611C6"/>
    <w:rPr>
      <w:rFonts w:cs="B Mitra"/>
      <w:color w:val="2E74B5" w:themeColor="accent1" w:themeShade="BF"/>
      <w:spacing w:val="10"/>
    </w:rPr>
  </w:style>
  <w:style w:type="paragraph" w:styleId="NoSpacing">
    <w:name w:val="No Spacing"/>
    <w:link w:val="NoSpacingChar"/>
    <w:uiPriority w:val="1"/>
    <w:qFormat/>
    <w:rsid w:val="003611C6"/>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3611C6"/>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11C6"/>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basedOn w:val="Normal"/>
    <w:uiPriority w:val="34"/>
    <w:qFormat/>
    <w:rsid w:val="003611C6"/>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character" w:styleId="Strong">
    <w:name w:val="Strong"/>
    <w:basedOn w:val="DefaultParagraphFont"/>
    <w:uiPriority w:val="22"/>
    <w:qFormat/>
    <w:rsid w:val="003611C6"/>
    <w:rPr>
      <w:b/>
      <w:bCs/>
    </w:rPr>
  </w:style>
  <w:style w:type="character" w:customStyle="1" w:styleId="Heading5Char">
    <w:name w:val="Heading 5 Char"/>
    <w:basedOn w:val="DefaultParagraphFont"/>
    <w:link w:val="Heading5"/>
    <w:uiPriority w:val="9"/>
    <w:rsid w:val="00EA0A3F"/>
    <w:rPr>
      <w:rFonts w:asciiTheme="majorHAnsi" w:eastAsiaTheme="majorEastAsia" w:hAnsiTheme="majorHAnsi" w:cstheme="majorBidi"/>
      <w:color w:val="2E74B5"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lfazl%20Zare\Desktop\folders\&#1583;&#1605;%20&#1583;&#1587;&#1578;&#1740;%20&#1588;&#1601;&#1575;&#1601;&#1740;&#1578;\950326%20-%20TP4.i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437A314F4B4399AF28F3E0310C7B18"/>
        <w:category>
          <w:name w:val="General"/>
          <w:gallery w:val="placeholder"/>
        </w:category>
        <w:types>
          <w:type w:val="bbPlcHdr"/>
        </w:types>
        <w:behaviors>
          <w:behavior w:val="content"/>
        </w:behaviors>
        <w:guid w:val="{EDEA7DF4-076D-4C16-87D5-DBEC186A14C7}"/>
      </w:docPartPr>
      <w:docPartBody>
        <w:p w:rsidR="00D769DF" w:rsidRDefault="00CC799B">
          <w:pPr>
            <w:pStyle w:val="22437A314F4B4399AF28F3E0310C7B18"/>
          </w:pPr>
          <w:r w:rsidRPr="004D6FD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9B"/>
    <w:rsid w:val="00666081"/>
    <w:rsid w:val="00CC799B"/>
    <w:rsid w:val="00D769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437A314F4B4399AF28F3E0310C7B18">
    <w:name w:val="22437A314F4B4399AF28F3E0310C7B1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Calibri Light"/>
        <a:ea typeface=""/>
        <a:cs typeface="B Mitra"/>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 05 / 1396</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5DA9E4-788D-4A4E-8700-80EFA0D4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950326 - TP4.ir Template</Template>
  <TotalTime>12</TotalTime>
  <Pages>9</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عنوان</vt:lpstr>
    </vt:vector>
  </TitlesOfParts>
  <Company>پویش ملّی «شفّافیت داوطلبانه» نامزدهای نمایندگی مجلس شورای اسلامی</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عارضه‌یابی متون قانونی کشور</dc:title>
  <dc:subject>مطالعه موردی قانون پنجم برنامه توسعه</dc:subject>
  <dc:creator>شفافیت برای ایران</dc:creator>
  <cp:keywords/>
  <dc:description/>
  <cp:lastModifiedBy>Abolfazl Zare</cp:lastModifiedBy>
  <cp:revision>5</cp:revision>
  <dcterms:created xsi:type="dcterms:W3CDTF">2017-09-23T14:12:00Z</dcterms:created>
  <dcterms:modified xsi:type="dcterms:W3CDTF">2017-09-25T02:55:00Z</dcterms:modified>
  <cp:category>آموزش</cp:category>
  <cp:contentStatus>منتشر شده</cp:contentStatus>
</cp:coreProperties>
</file>