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9BF" w:rsidRPr="008A59BF" w:rsidRDefault="008A59BF" w:rsidP="008A59BF">
      <w:pPr>
        <w:rPr>
          <w:rFonts w:asciiTheme="majorHAnsi" w:hAnsiTheme="majorHAnsi" w:cs="2  Nazanin"/>
          <w:sz w:val="28"/>
          <w:szCs w:val="28"/>
          <w:rtl/>
        </w:rPr>
        <w:sectPr w:rsidR="008A59BF" w:rsidRPr="008A59BF" w:rsidSect="00A04FE6">
          <w:pgSz w:w="8391" w:h="11906" w:code="11"/>
          <w:pgMar w:top="737" w:right="737" w:bottom="737" w:left="737" w:header="709" w:footer="709" w:gutter="0"/>
          <w:cols w:space="708"/>
          <w:bidi/>
          <w:rtlGutter/>
          <w:docGrid w:linePitch="360"/>
        </w:sectPr>
      </w:pPr>
    </w:p>
    <w:p w:rsidR="008A59BF" w:rsidRPr="008A59BF" w:rsidRDefault="008A59BF" w:rsidP="008A59BF">
      <w:pPr>
        <w:pStyle w:val="Heading1"/>
        <w:jc w:val="center"/>
        <w:rPr>
          <w:rFonts w:asciiTheme="minorHAnsi" w:hAnsiTheme="minorHAnsi" w:cstheme="minorHAnsi"/>
          <w:rtl/>
        </w:rPr>
      </w:pPr>
      <w:r w:rsidRPr="008A59BF">
        <w:rPr>
          <w:rFonts w:asciiTheme="minorHAnsi" w:hAnsiTheme="minorHAnsi" w:cstheme="minorHAnsi"/>
          <w:rtl/>
        </w:rPr>
        <w:t>مسجدنما 297</w:t>
      </w:r>
    </w:p>
    <w:p w:rsidR="008A59BF" w:rsidRPr="00552DBC" w:rsidRDefault="008A59BF" w:rsidP="008A59BF">
      <w:pPr>
        <w:pStyle w:val="Heading1"/>
        <w:rPr>
          <w:rtl/>
        </w:rPr>
      </w:pPr>
      <w:r w:rsidRPr="00552DBC">
        <w:rPr>
          <w:rtl/>
        </w:rPr>
        <w:t>در محضر اهل‌بیت- خانواده مقاومتی (114)</w:t>
      </w:r>
    </w:p>
    <w:p w:rsidR="008A59BF" w:rsidRPr="00552DBC" w:rsidRDefault="008A59BF" w:rsidP="008A59BF">
      <w:pPr>
        <w:pStyle w:val="Heading2"/>
        <w:rPr>
          <w:sz w:val="28"/>
          <w:szCs w:val="28"/>
          <w:rtl/>
        </w:rPr>
      </w:pPr>
      <w:r w:rsidRPr="00552DBC">
        <w:rPr>
          <w:sz w:val="28"/>
          <w:szCs w:val="28"/>
          <w:rtl/>
        </w:rPr>
        <w:t>آغوش‌های آتشین</w:t>
      </w:r>
    </w:p>
    <w:p w:rsidR="008A59BF" w:rsidRPr="00552DBC" w:rsidRDefault="008A59BF" w:rsidP="008A59BF">
      <w:pPr>
        <w:rPr>
          <w:rFonts w:asciiTheme="majorHAnsi" w:hAnsiTheme="majorHAnsi" w:cstheme="majorBidi"/>
          <w:b/>
          <w:bCs/>
          <w:sz w:val="28"/>
          <w:szCs w:val="28"/>
          <w:rtl/>
        </w:rPr>
      </w:pPr>
      <w:r w:rsidRPr="00552DBC">
        <w:rPr>
          <w:rFonts w:asciiTheme="majorHAnsi" w:hAnsiTheme="majorHAnsi" w:cstheme="majorBidi"/>
          <w:sz w:val="28"/>
          <w:szCs w:val="28"/>
          <w:rtl/>
        </w:rPr>
        <w:t xml:space="preserve">معلم دوران مهدکودک یا دبستانش را دیده و مثل همان دوران کودکی می‌دود و او را در آغوش می‌گیرد. با اینکه اختلاف سنی زیادی دارند و شاید جای مادر و پسر بشود حسابشان کرد، ولی </w:t>
      </w:r>
      <w:r w:rsidRPr="00552DBC">
        <w:rPr>
          <w:rFonts w:asciiTheme="majorHAnsi" w:hAnsiTheme="majorHAnsi" w:cstheme="majorBidi"/>
          <w:b/>
          <w:bCs/>
          <w:sz w:val="28"/>
          <w:szCs w:val="28"/>
          <w:rtl/>
        </w:rPr>
        <w:t>نامحرم نامحرم است و این‌گونه رفتارها نتیجه‌ای جز آتش ندارد:</w:t>
      </w:r>
    </w:p>
    <w:p w:rsidR="008A59BF" w:rsidRPr="00552DBC" w:rsidRDefault="008A59BF" w:rsidP="008A59BF">
      <w:pPr>
        <w:rPr>
          <w:rFonts w:asciiTheme="majorHAnsi" w:hAnsiTheme="majorHAnsi" w:cstheme="majorBidi"/>
          <w:b/>
          <w:bCs/>
          <w:sz w:val="28"/>
          <w:szCs w:val="28"/>
          <w:rtl/>
        </w:rPr>
      </w:pPr>
      <w:r w:rsidRPr="00552DBC">
        <w:rPr>
          <w:rFonts w:asciiTheme="majorHAnsi" w:hAnsiTheme="majorHAnsi" w:cstheme="majorBidi"/>
          <w:b/>
          <w:bCs/>
          <w:sz w:val="28"/>
          <w:szCs w:val="28"/>
          <w:rtl/>
        </w:rPr>
        <w:t>مَنِ الْتَزَمَ امْرَأَةً حَرَاماً قُرِنَ فِي سِلْسِلَةٍ مِنْ نَارٍ مَعَ شَيْطَانٍ فَيُقْذَفَانِ فِي النَّارِ</w:t>
      </w:r>
      <w:r w:rsidRPr="00552DBC">
        <w:rPr>
          <w:rFonts w:asciiTheme="majorHAnsi" w:hAnsiTheme="majorHAnsi" w:cstheme="majorBidi"/>
          <w:b/>
          <w:bCs/>
          <w:sz w:val="28"/>
          <w:szCs w:val="28"/>
          <w:vertAlign w:val="superscript"/>
          <w:rtl/>
        </w:rPr>
        <w:footnoteReference w:id="1"/>
      </w:r>
    </w:p>
    <w:p w:rsidR="008A59BF" w:rsidRPr="00552DBC" w:rsidRDefault="008A59BF" w:rsidP="008A59BF">
      <w:pPr>
        <w:rPr>
          <w:rFonts w:asciiTheme="majorHAnsi" w:hAnsiTheme="majorHAnsi" w:cstheme="majorBidi"/>
          <w:sz w:val="28"/>
          <w:szCs w:val="28"/>
        </w:rPr>
      </w:pPr>
      <w:r w:rsidRPr="00552DBC">
        <w:rPr>
          <w:rFonts w:asciiTheme="majorHAnsi" w:hAnsiTheme="majorHAnsi" w:cstheme="majorBidi"/>
          <w:sz w:val="28"/>
          <w:szCs w:val="28"/>
          <w:rtl/>
        </w:rPr>
        <w:t>هر کس زن نامحرمي را در آغوش گيرد، به وسيله زنجيري آتشين، با شيطاني همراه شده و هر دو در آتش فرو مي‌افتند.</w:t>
      </w:r>
    </w:p>
    <w:p w:rsidR="008A59BF" w:rsidRPr="00552DBC" w:rsidRDefault="008A59BF" w:rsidP="008A59BF">
      <w:pPr>
        <w:rPr>
          <w:rFonts w:asciiTheme="majorHAnsi" w:hAnsiTheme="majorHAnsi" w:cstheme="majorBidi"/>
          <w:sz w:val="28"/>
          <w:szCs w:val="28"/>
          <w:rtl/>
        </w:rPr>
      </w:pPr>
      <w:r w:rsidRPr="00552DBC">
        <w:rPr>
          <w:rFonts w:asciiTheme="majorHAnsi" w:hAnsiTheme="majorHAnsi" w:cstheme="majorBidi"/>
          <w:b/>
          <w:bCs/>
          <w:sz w:val="28"/>
          <w:szCs w:val="28"/>
          <w:rtl/>
        </w:rPr>
        <w:t>یادمان نرود زلیخا که از یوسف علیه‌السلام کام خواست، او را از بچگی بزرگ کرده بود!</w:t>
      </w:r>
      <w:r w:rsidRPr="00552DBC">
        <w:rPr>
          <w:rFonts w:asciiTheme="majorHAnsi" w:hAnsiTheme="majorHAnsi" w:cstheme="majorBidi"/>
          <w:sz w:val="28"/>
          <w:szCs w:val="28"/>
          <w:rtl/>
        </w:rPr>
        <w:t xml:space="preserve"> حالا بماند که در بعضی خانواده‌ها روابط دخترعمو پسرعموها، خواهر برادرانه است! و همین‌طور روابط نامحرمانه در مهمانی‌ها، بوستان‌ها و خیابان‌ها!</w:t>
      </w:r>
    </w:p>
    <w:p w:rsidR="008A59BF" w:rsidRPr="00552DBC" w:rsidRDefault="008A59BF" w:rsidP="008A59BF">
      <w:pPr>
        <w:rPr>
          <w:rFonts w:asciiTheme="majorHAnsi" w:hAnsiTheme="majorHAnsi" w:cstheme="majorBidi"/>
          <w:sz w:val="28"/>
          <w:szCs w:val="28"/>
        </w:rPr>
      </w:pPr>
      <w:r w:rsidRPr="00552DBC">
        <w:rPr>
          <w:rFonts w:asciiTheme="majorHAnsi" w:hAnsiTheme="majorHAnsi" w:cstheme="majorBidi"/>
          <w:sz w:val="28"/>
          <w:szCs w:val="28"/>
          <w:rtl/>
        </w:rPr>
        <w:t>پناه بر خدا از آتش داغ جهنم...</w:t>
      </w:r>
    </w:p>
    <w:p w:rsidR="008A59BF" w:rsidRPr="00552DBC" w:rsidRDefault="008A59BF" w:rsidP="008A59BF">
      <w:pPr>
        <w:rPr>
          <w:rFonts w:asciiTheme="majorHAnsi" w:hAnsiTheme="majorHAnsi" w:cstheme="majorBidi"/>
          <w:sz w:val="28"/>
          <w:szCs w:val="28"/>
          <w:rtl/>
        </w:rPr>
      </w:pPr>
    </w:p>
    <w:p w:rsidR="008A59BF" w:rsidRPr="00552DBC" w:rsidRDefault="008A59BF" w:rsidP="008A59BF">
      <w:pPr>
        <w:rPr>
          <w:rFonts w:asciiTheme="majorHAnsi" w:hAnsiTheme="majorHAnsi" w:cstheme="majorBidi"/>
          <w:sz w:val="28"/>
          <w:szCs w:val="28"/>
          <w:rtl/>
        </w:rPr>
        <w:sectPr w:rsidR="008A59BF" w:rsidRPr="00552DBC" w:rsidSect="00A04FE6">
          <w:pgSz w:w="8391" w:h="11906" w:code="11"/>
          <w:pgMar w:top="737" w:right="737" w:bottom="737" w:left="737" w:header="709" w:footer="709" w:gutter="0"/>
          <w:cols w:space="708"/>
          <w:bidi/>
          <w:rtlGutter/>
          <w:docGrid w:linePitch="360"/>
        </w:sectPr>
      </w:pPr>
    </w:p>
    <w:p w:rsidR="008A59BF" w:rsidRPr="00552DBC" w:rsidRDefault="008A59BF" w:rsidP="008A59BF">
      <w:pPr>
        <w:pStyle w:val="Heading1"/>
        <w:rPr>
          <w:rtl/>
        </w:rPr>
      </w:pPr>
      <w:bookmarkStart w:id="0" w:name="_Toc438330871"/>
      <w:r w:rsidRPr="00552DBC">
        <w:rPr>
          <w:rtl/>
        </w:rPr>
        <w:t>امام روح‌الله</w:t>
      </w:r>
    </w:p>
    <w:p w:rsidR="008A59BF" w:rsidRPr="00552DBC" w:rsidRDefault="008A59BF" w:rsidP="008A59BF">
      <w:pPr>
        <w:pStyle w:val="Heading2"/>
        <w:rPr>
          <w:sz w:val="28"/>
          <w:szCs w:val="28"/>
          <w:rtl/>
        </w:rPr>
      </w:pPr>
      <w:r w:rsidRPr="00552DBC">
        <w:rPr>
          <w:sz w:val="28"/>
          <w:szCs w:val="28"/>
          <w:rtl/>
        </w:rPr>
        <w:t>مدرسه عشق</w:t>
      </w:r>
    </w:p>
    <w:bookmarkEnd w:id="0"/>
    <w:p w:rsidR="008A59BF" w:rsidRPr="00552DBC" w:rsidRDefault="008A59BF" w:rsidP="008A59BF">
      <w:pPr>
        <w:rPr>
          <w:rFonts w:asciiTheme="majorHAnsi" w:hAnsiTheme="majorHAnsi" w:cstheme="majorBidi"/>
          <w:b/>
          <w:bCs/>
          <w:sz w:val="28"/>
          <w:szCs w:val="28"/>
        </w:rPr>
      </w:pPr>
      <w:r w:rsidRPr="00552DBC">
        <w:rPr>
          <w:rFonts w:asciiTheme="majorHAnsi" w:hAnsiTheme="majorHAnsi" w:cstheme="majorBidi"/>
          <w:sz w:val="28"/>
          <w:szCs w:val="28"/>
          <w:rtl/>
        </w:rPr>
        <w:t xml:space="preserve">بسیج، شجره طیبه و </w:t>
      </w:r>
      <w:r w:rsidRPr="00552DBC">
        <w:rPr>
          <w:rFonts w:asciiTheme="majorHAnsi" w:hAnsiTheme="majorHAnsi" w:cstheme="majorBidi"/>
          <w:b/>
          <w:bCs/>
          <w:sz w:val="28"/>
          <w:szCs w:val="28"/>
          <w:rtl/>
        </w:rPr>
        <w:t>درخت تناور و پرثمری</w:t>
      </w:r>
      <w:r w:rsidRPr="00552DBC">
        <w:rPr>
          <w:rFonts w:asciiTheme="majorHAnsi" w:hAnsiTheme="majorHAnsi" w:cstheme="majorBidi"/>
          <w:sz w:val="28"/>
          <w:szCs w:val="28"/>
          <w:rtl/>
        </w:rPr>
        <w:t xml:space="preserve"> است که شکوفه‌های آن بوی بهار وصل و طراوت یقین و حدیث عشق می‌دهد. بسیج، مدرسه عشق و مکتب شاهدان و شهیدان گمنامی است که پیروانش بر گلدسته‌های رفیع آن، اذان شهادت و رشادت سر داده‌اند. بسیج میقات پابرهنگان و معراج اندیشه پاک اسلامی است که تربیت‌یافتگان آن، نام و نشان در گمنامی و بی‌نشانی گرفته‌اند. بسیج لشکر مخلص خداست که </w:t>
      </w:r>
      <w:r w:rsidRPr="00552DBC">
        <w:rPr>
          <w:rFonts w:asciiTheme="majorHAnsi" w:hAnsiTheme="majorHAnsi" w:cstheme="majorBidi"/>
          <w:b/>
          <w:bCs/>
          <w:sz w:val="28"/>
          <w:szCs w:val="28"/>
          <w:rtl/>
        </w:rPr>
        <w:t>دفتر تشکل آن را همه مجاهدان از اولین تا آخرین امضا نموده‌اند.</w:t>
      </w:r>
    </w:p>
    <w:p w:rsidR="008A59BF" w:rsidRPr="00552DBC" w:rsidRDefault="008A59BF" w:rsidP="008A59BF">
      <w:pPr>
        <w:rPr>
          <w:rFonts w:asciiTheme="majorHAnsi" w:hAnsiTheme="majorHAnsi" w:cstheme="majorBidi"/>
          <w:b/>
          <w:bCs/>
          <w:sz w:val="28"/>
          <w:szCs w:val="28"/>
          <w:rtl/>
        </w:rPr>
      </w:pPr>
      <w:r w:rsidRPr="00552DBC">
        <w:rPr>
          <w:rFonts w:asciiTheme="majorHAnsi" w:hAnsiTheme="majorHAnsi" w:cstheme="majorBidi"/>
          <w:b/>
          <w:bCs/>
          <w:sz w:val="28"/>
          <w:szCs w:val="28"/>
          <w:rtl/>
        </w:rPr>
        <w:t>من همواره به خلوص و صفای بسیجیان غبطه می‌خورم و از خدا می‌خواهم تا با بسیجیانم محشور گرداند، چراکه در این دنیا افتخارم این است که خود بسیجی‌ام.</w:t>
      </w:r>
    </w:p>
    <w:p w:rsidR="008A59BF" w:rsidRPr="00552DBC" w:rsidRDefault="008A59BF" w:rsidP="008A59BF">
      <w:pPr>
        <w:rPr>
          <w:rFonts w:asciiTheme="majorHAnsi" w:hAnsiTheme="majorHAnsi" w:cstheme="majorBidi"/>
          <w:b/>
          <w:sz w:val="28"/>
          <w:szCs w:val="28"/>
          <w:rtl/>
        </w:rPr>
        <w:sectPr w:rsidR="008A59BF" w:rsidRPr="00552DBC" w:rsidSect="00A04FE6">
          <w:pgSz w:w="8391" w:h="11906" w:code="11"/>
          <w:pgMar w:top="737" w:right="737" w:bottom="737" w:left="737" w:header="709" w:footer="709" w:gutter="0"/>
          <w:cols w:space="708"/>
          <w:bidi/>
          <w:rtlGutter/>
          <w:docGrid w:linePitch="360"/>
        </w:sectPr>
      </w:pPr>
      <w:r w:rsidRPr="00552DBC">
        <w:rPr>
          <w:rFonts w:asciiTheme="majorHAnsi" w:hAnsiTheme="majorHAnsi" w:cstheme="majorBidi"/>
          <w:b/>
          <w:sz w:val="28"/>
          <w:szCs w:val="28"/>
          <w:rtl/>
        </w:rPr>
        <w:t>(صحیفه امام، ج 21، ص 194)</w:t>
      </w:r>
    </w:p>
    <w:p w:rsidR="008A59BF" w:rsidRPr="00552DBC" w:rsidRDefault="008A59BF" w:rsidP="008A59BF">
      <w:pPr>
        <w:pStyle w:val="Heading1"/>
        <w:rPr>
          <w:rtl/>
        </w:rPr>
        <w:sectPr w:rsidR="008A59BF" w:rsidRPr="00552DBC" w:rsidSect="00A04FE6">
          <w:pgSz w:w="8391" w:h="11906" w:code="11"/>
          <w:pgMar w:top="737" w:right="737" w:bottom="737" w:left="737" w:header="709" w:footer="709" w:gutter="0"/>
          <w:cols w:space="708"/>
          <w:bidi/>
          <w:rtlGutter/>
          <w:docGrid w:linePitch="360"/>
        </w:sectPr>
      </w:pPr>
      <w:bookmarkStart w:id="1" w:name="_Toc438330879"/>
    </w:p>
    <w:p w:rsidR="008A59BF" w:rsidRPr="00552DBC" w:rsidRDefault="008A59BF" w:rsidP="008A59BF">
      <w:pPr>
        <w:pStyle w:val="Heading1"/>
      </w:pPr>
    </w:p>
    <w:p w:rsidR="008A59BF" w:rsidRPr="00552DBC" w:rsidRDefault="008A59BF" w:rsidP="008A59BF">
      <w:pPr>
        <w:pStyle w:val="Heading1"/>
        <w:rPr>
          <w:rtl/>
        </w:rPr>
      </w:pPr>
      <w:r w:rsidRPr="00552DBC">
        <w:rPr>
          <w:rtl/>
        </w:rPr>
        <w:t>کار تشکیلاتی</w:t>
      </w:r>
    </w:p>
    <w:p w:rsidR="008A59BF" w:rsidRPr="00552DBC" w:rsidRDefault="008A59BF" w:rsidP="008A59BF">
      <w:pPr>
        <w:pStyle w:val="Heading2"/>
        <w:rPr>
          <w:sz w:val="28"/>
          <w:szCs w:val="28"/>
        </w:rPr>
      </w:pPr>
      <w:r w:rsidRPr="00552DBC">
        <w:rPr>
          <w:sz w:val="28"/>
          <w:szCs w:val="28"/>
          <w:rtl/>
        </w:rPr>
        <w:t>نه به تک‌روی</w:t>
      </w:r>
    </w:p>
    <w:bookmarkEnd w:id="1"/>
    <w:p w:rsidR="008A59BF" w:rsidRPr="00552DBC" w:rsidRDefault="008A59BF" w:rsidP="008A59BF">
      <w:pPr>
        <w:rPr>
          <w:rFonts w:asciiTheme="majorHAnsi" w:hAnsiTheme="majorHAnsi" w:cstheme="majorBidi"/>
          <w:sz w:val="28"/>
          <w:szCs w:val="28"/>
          <w:rtl/>
        </w:rPr>
      </w:pPr>
      <w:r w:rsidRPr="00552DBC">
        <w:rPr>
          <w:rFonts w:asciiTheme="majorHAnsi" w:hAnsiTheme="majorHAnsi" w:cstheme="majorBidi"/>
          <w:sz w:val="28"/>
          <w:szCs w:val="28"/>
          <w:rtl/>
        </w:rPr>
        <w:t xml:space="preserve">تشکل یعنی مجموعه‌ای از افراد که بر اساس </w:t>
      </w:r>
      <w:r w:rsidRPr="00552DBC">
        <w:rPr>
          <w:rFonts w:asciiTheme="majorHAnsi" w:hAnsiTheme="majorHAnsi" w:cstheme="majorBidi"/>
          <w:b/>
          <w:bCs/>
          <w:sz w:val="28"/>
          <w:szCs w:val="28"/>
          <w:rtl/>
        </w:rPr>
        <w:t>آرمان مشترک و ایمان مشترک و باور مشترک</w:t>
      </w:r>
      <w:r w:rsidRPr="00552DBC">
        <w:rPr>
          <w:rFonts w:asciiTheme="majorHAnsi" w:hAnsiTheme="majorHAnsi" w:cstheme="majorBidi"/>
          <w:sz w:val="28"/>
          <w:szCs w:val="28"/>
          <w:rtl/>
        </w:rPr>
        <w:t xml:space="preserve"> و نقطه‌نظرهای مشترک گرد هم می‌آیند تا جماعت بشوند که «</w:t>
      </w:r>
      <w:r w:rsidRPr="00552DBC">
        <w:rPr>
          <w:rFonts w:asciiTheme="majorHAnsi" w:hAnsiTheme="majorHAnsi" w:cstheme="majorBidi"/>
          <w:b/>
          <w:bCs/>
          <w:sz w:val="28"/>
          <w:szCs w:val="28"/>
          <w:rtl/>
        </w:rPr>
        <w:t>یدالله مع الجماعه</w:t>
      </w:r>
      <w:r w:rsidRPr="00552DBC">
        <w:rPr>
          <w:rFonts w:asciiTheme="majorHAnsi" w:hAnsiTheme="majorHAnsi" w:cstheme="majorBidi"/>
          <w:sz w:val="28"/>
          <w:szCs w:val="28"/>
          <w:rtl/>
        </w:rPr>
        <w:t>»؛ به خصوص تا بتوانند زمینه را برای رشد اخلاق کار دسته‌جمعی و برای رشد استعدادها و شناخت و تربیت کادرها و تهیه برنامه‌ها و قبول مسئولیت اجرای برنامه‌ها هموارتر کنند. این تعریف تشکیلات از نظر ماست.</w:t>
      </w:r>
    </w:p>
    <w:p w:rsidR="008A59BF" w:rsidRPr="00552DBC" w:rsidRDefault="008A59BF" w:rsidP="008A59BF">
      <w:pPr>
        <w:rPr>
          <w:rFonts w:asciiTheme="majorHAnsi" w:hAnsiTheme="majorHAnsi" w:cstheme="majorBidi"/>
          <w:sz w:val="28"/>
          <w:szCs w:val="28"/>
          <w:rtl/>
        </w:rPr>
      </w:pPr>
      <w:r w:rsidRPr="00552DBC">
        <w:rPr>
          <w:rFonts w:asciiTheme="majorHAnsi" w:hAnsiTheme="majorHAnsi" w:cstheme="majorBidi"/>
          <w:sz w:val="28"/>
          <w:szCs w:val="28"/>
          <w:rtl/>
        </w:rPr>
        <w:t xml:space="preserve">بنابراین تشکیلات </w:t>
      </w:r>
      <w:r w:rsidRPr="00552DBC">
        <w:rPr>
          <w:rFonts w:asciiTheme="majorHAnsi" w:hAnsiTheme="majorHAnsi" w:cstheme="majorBidi"/>
          <w:b/>
          <w:bCs/>
          <w:sz w:val="28"/>
          <w:szCs w:val="28"/>
          <w:rtl/>
        </w:rPr>
        <w:t>وسیله‌ای است برای بهتر انجام دادن مسئولیت‌ها و خودسازی.</w:t>
      </w:r>
      <w:r w:rsidRPr="00552DBC">
        <w:rPr>
          <w:rFonts w:asciiTheme="majorHAnsi" w:hAnsiTheme="majorHAnsi" w:cstheme="majorBidi"/>
          <w:sz w:val="28"/>
          <w:szCs w:val="28"/>
          <w:rtl/>
        </w:rPr>
        <w:t xml:space="preserve"> آدم‌های منفرد غالباً با خصلت تک‌روی بار می‌آیند و از مجموعه تک‌روها به زحمت می‌شود یک مجموعه فعال ساخت. </w:t>
      </w:r>
      <w:r w:rsidRPr="00552DBC">
        <w:rPr>
          <w:rFonts w:asciiTheme="majorHAnsi" w:hAnsiTheme="majorHAnsi" w:cstheme="majorBidi"/>
          <w:b/>
          <w:bCs/>
          <w:sz w:val="28"/>
          <w:szCs w:val="28"/>
          <w:rtl/>
        </w:rPr>
        <w:t xml:space="preserve">رشد اخلاق دسته‌جمعی </w:t>
      </w:r>
      <w:r w:rsidRPr="00552DBC">
        <w:rPr>
          <w:rFonts w:asciiTheme="majorHAnsi" w:hAnsiTheme="majorHAnsi" w:cstheme="majorBidi"/>
          <w:sz w:val="28"/>
          <w:szCs w:val="28"/>
          <w:rtl/>
        </w:rPr>
        <w:t>خود یکی از ارزش‌های تشکیلات است.</w:t>
      </w:r>
    </w:p>
    <w:p w:rsidR="009B6A5F" w:rsidRPr="00552DBC" w:rsidRDefault="00552DBC" w:rsidP="00552DBC">
      <w:pPr>
        <w:pStyle w:val="Heading1"/>
        <w:rPr>
          <w:rtl/>
        </w:rPr>
      </w:pPr>
      <w:r w:rsidRPr="00552DBC">
        <w:rPr>
          <w:rtl/>
        </w:rPr>
        <w:t>ایام ویژه</w:t>
      </w:r>
    </w:p>
    <w:p w:rsidR="00552DBC" w:rsidRPr="00552DBC" w:rsidRDefault="003A6DFF" w:rsidP="00552DBC">
      <w:pPr>
        <w:pStyle w:val="Heading2"/>
        <w:rPr>
          <w:sz w:val="28"/>
          <w:szCs w:val="28"/>
          <w:rtl/>
        </w:rPr>
      </w:pPr>
      <w:r>
        <w:rPr>
          <w:sz w:val="28"/>
          <w:szCs w:val="28"/>
          <w:rtl/>
        </w:rPr>
        <w:t>ضعف</w:t>
      </w:r>
      <w:r w:rsidR="00552DBC" w:rsidRPr="00552DBC">
        <w:rPr>
          <w:sz w:val="28"/>
          <w:szCs w:val="28"/>
          <w:rtl/>
        </w:rPr>
        <w:t xml:space="preserve"> در مقابل دشمن</w:t>
      </w:r>
    </w:p>
    <w:p w:rsidR="00552DBC" w:rsidRPr="00552DBC" w:rsidRDefault="00552DBC" w:rsidP="00552DBC">
      <w:pPr>
        <w:rPr>
          <w:rFonts w:asciiTheme="majorHAnsi" w:hAnsiTheme="majorHAnsi" w:cstheme="majorBidi"/>
          <w:sz w:val="28"/>
          <w:szCs w:val="28"/>
          <w:rtl/>
        </w:rPr>
      </w:pPr>
      <w:bookmarkStart w:id="2" w:name="_GoBack"/>
      <w:r w:rsidRPr="00552DBC">
        <w:rPr>
          <w:rFonts w:asciiTheme="majorHAnsi" w:hAnsiTheme="majorHAnsi" w:cstheme="majorBidi"/>
          <w:sz w:val="28"/>
          <w:szCs w:val="28"/>
          <w:rtl/>
        </w:rPr>
        <w:t>اوضاع مالی ایران پس از روی کار آمدن احمد شاه به شدت مختل بود و مجلس شورای ملی تصمیم گرفت تا از آمریکا، کارشناس امور اقتصادی و مالی استخدام کند. در نتیجه، به رغم مخالفت روس‏ها، مورگان شوستر به‌عنوان خزانه‏دار کل کشور استخدام شد.</w:t>
      </w:r>
    </w:p>
    <w:p w:rsidR="00552DBC" w:rsidRPr="00552DBC" w:rsidRDefault="00552DBC" w:rsidP="00552DBC">
      <w:pPr>
        <w:rPr>
          <w:rFonts w:asciiTheme="majorHAnsi" w:hAnsiTheme="majorHAnsi" w:cstheme="majorBidi"/>
          <w:sz w:val="28"/>
          <w:szCs w:val="28"/>
          <w:rtl/>
        </w:rPr>
      </w:pPr>
      <w:r w:rsidRPr="00552DBC">
        <w:rPr>
          <w:rFonts w:asciiTheme="majorHAnsi" w:hAnsiTheme="majorHAnsi" w:cstheme="majorBidi"/>
          <w:sz w:val="28"/>
          <w:szCs w:val="28"/>
          <w:rtl/>
        </w:rPr>
        <w:t xml:space="preserve"> این امر به مذاق روس‏ها که گمرک را در اختیار داشتند خوش نیامد، بنابراین برای اخراج شوستر و توجه به نظر روس‏ها، به مجلس شورای ملی اولتیماتوم دادند. پس از این اولتیماتوم، قوای روسیه به سمت تهران به راه افتادند و دولت هم که خود را در حد روسیه نمی‌دید، شروط روسیه را پذیرفت. البته از طرف مجلس مخالفت‌هایی صورت گرفت اما سرانجام تسلیم شدند. یکی از شروط روسیه پرداختن هزینه قوای روس برای حمله به تهران بود! دیگر خفت از این بالاتر چه می‌شود؟</w:t>
      </w:r>
    </w:p>
    <w:p w:rsidR="00552DBC" w:rsidRPr="00552DBC" w:rsidRDefault="00552DBC" w:rsidP="00552DBC">
      <w:pPr>
        <w:rPr>
          <w:rFonts w:asciiTheme="majorHAnsi" w:hAnsiTheme="majorHAnsi" w:cstheme="majorBidi"/>
          <w:sz w:val="28"/>
          <w:szCs w:val="28"/>
          <w:rtl/>
        </w:rPr>
      </w:pPr>
      <w:r w:rsidRPr="00552DBC">
        <w:rPr>
          <w:rFonts w:asciiTheme="majorHAnsi" w:hAnsiTheme="majorHAnsi" w:cstheme="majorBidi"/>
          <w:sz w:val="28"/>
          <w:szCs w:val="28"/>
          <w:rtl/>
        </w:rPr>
        <w:t xml:space="preserve">به ما حمله کنند، پول‌ حمله‌شان را هم بدهیم! </w:t>
      </w:r>
    </w:p>
    <w:p w:rsidR="008A59BF" w:rsidRPr="00552DBC" w:rsidRDefault="00552DBC" w:rsidP="00552DBC">
      <w:pPr>
        <w:rPr>
          <w:rFonts w:asciiTheme="majorHAnsi" w:hAnsiTheme="majorHAnsi" w:cstheme="majorBidi"/>
          <w:sz w:val="28"/>
          <w:szCs w:val="28"/>
          <w:rtl/>
        </w:rPr>
      </w:pPr>
      <w:r w:rsidRPr="00552DBC">
        <w:rPr>
          <w:rFonts w:asciiTheme="majorHAnsi" w:hAnsiTheme="majorHAnsi" w:cstheme="majorBidi"/>
          <w:sz w:val="28"/>
          <w:szCs w:val="28"/>
          <w:rtl/>
        </w:rPr>
        <w:t>اگر در مقابل دشمن از خود ضعف نشان بدهیم، باید چنین شروط خفت‌باری را هم متحمل شویم.</w:t>
      </w:r>
    </w:p>
    <w:bookmarkEnd w:id="2"/>
    <w:p w:rsidR="00552DBC" w:rsidRPr="00552DBC" w:rsidRDefault="00552DBC" w:rsidP="00552DBC">
      <w:pPr>
        <w:pStyle w:val="Heading1"/>
        <w:rPr>
          <w:rtl/>
        </w:rPr>
      </w:pPr>
      <w:r w:rsidRPr="00552DBC">
        <w:rPr>
          <w:rtl/>
        </w:rPr>
        <w:t xml:space="preserve">در مسیر بهشت </w:t>
      </w:r>
    </w:p>
    <w:p w:rsidR="00552DBC" w:rsidRPr="00552DBC" w:rsidRDefault="00552DBC" w:rsidP="00552DBC">
      <w:pPr>
        <w:pStyle w:val="Heading2"/>
        <w:rPr>
          <w:sz w:val="28"/>
          <w:szCs w:val="28"/>
          <w:rtl/>
        </w:rPr>
      </w:pPr>
      <w:r w:rsidRPr="00552DBC">
        <w:rPr>
          <w:sz w:val="28"/>
          <w:szCs w:val="28"/>
          <w:rtl/>
        </w:rPr>
        <w:t>هم جاذبه؛ هم دافعه</w:t>
      </w:r>
    </w:p>
    <w:p w:rsidR="00552DBC" w:rsidRPr="00552DBC" w:rsidRDefault="00552DBC" w:rsidP="00552DBC">
      <w:pPr>
        <w:rPr>
          <w:rFonts w:asciiTheme="majorHAnsi" w:hAnsiTheme="majorHAnsi" w:cstheme="majorBidi"/>
          <w:sz w:val="28"/>
          <w:szCs w:val="28"/>
          <w:rtl/>
        </w:rPr>
      </w:pPr>
      <w:r w:rsidRPr="00552DBC">
        <w:rPr>
          <w:rFonts w:asciiTheme="majorHAnsi" w:hAnsiTheme="majorHAnsi" w:cstheme="majorBidi"/>
          <w:sz w:val="28"/>
          <w:szCs w:val="28"/>
          <w:rtl/>
        </w:rPr>
        <w:t>بعضی از مردم فکر می‌کنند که باید با همه مهربان بود و با همه یک‌جور رفتار کرد. درحالی‌که پیامبر اکرم (ص) که پیامبر رحمت بود هم این‌جور نبود؛ با مؤمنان باکمال رأفت رفتار می‌کرد و با کافران درنهایت شدت. ما هم به تأسی از پیامبر (ص) باید این‌گونه باشیم؛ باید هم جاذبه داشته باشیم و هم دافعه. هرکدام هم که نباشد، معلوم است که یک‌جای کارمان می‌لنگد.</w:t>
      </w:r>
    </w:p>
    <w:p w:rsidR="00552DBC" w:rsidRPr="00552DBC" w:rsidRDefault="00552DBC" w:rsidP="00552DBC">
      <w:pPr>
        <w:rPr>
          <w:rFonts w:asciiTheme="majorHAnsi" w:hAnsiTheme="majorHAnsi" w:cstheme="majorBidi"/>
          <w:sz w:val="28"/>
          <w:szCs w:val="28"/>
          <w:rtl/>
        </w:rPr>
      </w:pPr>
      <w:r w:rsidRPr="00552DBC">
        <w:rPr>
          <w:rFonts w:asciiTheme="majorHAnsi" w:hAnsiTheme="majorHAnsi" w:cstheme="majorBidi"/>
          <w:sz w:val="28"/>
          <w:szCs w:val="28"/>
          <w:rtl/>
        </w:rPr>
        <w:t>وَ أَنَّکَ قَدْ رَؤُفْتَ بِالْمُؤْمِنِینَ وَ غَلُظْتَ عَلَى الْکَافِرِینَ وَ عَبَدْتَ اللَّهَ مُخْلِصاً حَتَّى أَتَاکَ الْیَقِینُ‏</w:t>
      </w:r>
    </w:p>
    <w:p w:rsidR="00552DBC" w:rsidRPr="00552DBC" w:rsidRDefault="00552DBC" w:rsidP="00552DBC">
      <w:pPr>
        <w:rPr>
          <w:rFonts w:asciiTheme="majorHAnsi" w:hAnsiTheme="majorHAnsi" w:cstheme="majorBidi"/>
          <w:sz w:val="28"/>
          <w:szCs w:val="28"/>
          <w:rtl/>
        </w:rPr>
      </w:pPr>
      <w:r w:rsidRPr="00552DBC">
        <w:rPr>
          <w:rFonts w:asciiTheme="majorHAnsi" w:hAnsiTheme="majorHAnsi" w:cstheme="majorBidi"/>
          <w:sz w:val="28"/>
          <w:szCs w:val="28"/>
          <w:rtl/>
        </w:rPr>
        <w:t>و با اهل ایمان باکمال رأفت و با کافران درنهایت شدت بودى و خدا را خالصانه عبادت کردى تا به مقام یقین رسیدى</w:t>
      </w:r>
    </w:p>
    <w:p w:rsidR="00552DBC" w:rsidRPr="00552DBC" w:rsidRDefault="00552DBC" w:rsidP="00552DBC">
      <w:pPr>
        <w:rPr>
          <w:rFonts w:asciiTheme="majorHAnsi" w:hAnsiTheme="majorHAnsi" w:cstheme="majorBidi"/>
          <w:sz w:val="28"/>
          <w:szCs w:val="28"/>
          <w:rtl/>
        </w:rPr>
      </w:pPr>
      <w:r w:rsidRPr="00552DBC">
        <w:rPr>
          <w:rFonts w:asciiTheme="majorHAnsi" w:hAnsiTheme="majorHAnsi" w:cstheme="majorBidi"/>
          <w:sz w:val="28"/>
          <w:szCs w:val="28"/>
          <w:rtl/>
        </w:rPr>
        <w:t>فرازی از زیارت حضرت رسول اکرم (ص)، مفاتیح‌الجنان</w:t>
      </w:r>
    </w:p>
    <w:p w:rsidR="008A59BF" w:rsidRPr="00552DBC" w:rsidRDefault="008A59BF" w:rsidP="008A59BF">
      <w:pPr>
        <w:rPr>
          <w:rFonts w:asciiTheme="majorHAnsi" w:hAnsiTheme="majorHAnsi" w:cstheme="majorBidi"/>
          <w:sz w:val="28"/>
          <w:szCs w:val="28"/>
        </w:rPr>
      </w:pPr>
    </w:p>
    <w:sectPr w:rsidR="008A59BF" w:rsidRPr="00552DBC" w:rsidSect="0069118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BF" w:rsidRDefault="008A59BF" w:rsidP="008A59BF">
      <w:pPr>
        <w:spacing w:after="0" w:line="240" w:lineRule="auto"/>
      </w:pPr>
      <w:r>
        <w:separator/>
      </w:r>
    </w:p>
  </w:endnote>
  <w:endnote w:type="continuationSeparator" w:id="0">
    <w:p w:rsidR="008A59BF" w:rsidRDefault="008A59BF" w:rsidP="008A5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2  Nazanin">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BF" w:rsidRDefault="008A59BF" w:rsidP="008A59BF">
      <w:pPr>
        <w:spacing w:after="0" w:line="240" w:lineRule="auto"/>
      </w:pPr>
      <w:r>
        <w:separator/>
      </w:r>
    </w:p>
  </w:footnote>
  <w:footnote w:type="continuationSeparator" w:id="0">
    <w:p w:rsidR="008A59BF" w:rsidRDefault="008A59BF" w:rsidP="008A59BF">
      <w:pPr>
        <w:spacing w:after="0" w:line="240" w:lineRule="auto"/>
      </w:pPr>
      <w:r>
        <w:continuationSeparator/>
      </w:r>
    </w:p>
  </w:footnote>
  <w:footnote w:id="1">
    <w:p w:rsidR="008A59BF" w:rsidRDefault="008A59BF" w:rsidP="008A59BF">
      <w:pPr>
        <w:pStyle w:val="FootnoteText"/>
      </w:pPr>
      <w:r>
        <w:rPr>
          <w:rStyle w:val="FootnoteReference"/>
        </w:rPr>
        <w:footnoteRef/>
      </w:r>
      <w:r>
        <w:rPr>
          <w:rtl/>
        </w:rPr>
        <w:t xml:space="preserve"> </w:t>
      </w:r>
      <w:r w:rsidRPr="00A151D1">
        <w:rPr>
          <w:rtl/>
        </w:rPr>
        <w:t>وسائل الشيع</w:t>
      </w:r>
      <w:r>
        <w:rPr>
          <w:rFonts w:hint="cs"/>
          <w:rtl/>
        </w:rPr>
        <w:t>ه</w:t>
      </w:r>
      <w:r>
        <w:rPr>
          <w:rtl/>
        </w:rPr>
        <w:t>، ج‏20، ص</w:t>
      </w:r>
      <w:r w:rsidRPr="00A151D1">
        <w:rPr>
          <w:rtl/>
        </w:rPr>
        <w:t xml:space="preserve"> 196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ED9"/>
    <w:rsid w:val="002A4ED9"/>
    <w:rsid w:val="003A6DFF"/>
    <w:rsid w:val="00552DBC"/>
    <w:rsid w:val="00691185"/>
    <w:rsid w:val="008A59BF"/>
    <w:rsid w:val="009B6A5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A5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5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9BF"/>
    <w:rPr>
      <w:sz w:val="20"/>
      <w:szCs w:val="20"/>
    </w:rPr>
  </w:style>
  <w:style w:type="character" w:styleId="FootnoteReference">
    <w:name w:val="footnote reference"/>
    <w:basedOn w:val="DefaultParagraphFont"/>
    <w:uiPriority w:val="99"/>
    <w:semiHidden/>
    <w:unhideWhenUsed/>
    <w:rsid w:val="008A59BF"/>
    <w:rPr>
      <w:vertAlign w:val="superscript"/>
    </w:rPr>
  </w:style>
  <w:style w:type="character" w:styleId="Hyperlink">
    <w:name w:val="Hyperlink"/>
    <w:basedOn w:val="DefaultParagraphFont"/>
    <w:uiPriority w:val="99"/>
    <w:unhideWhenUsed/>
    <w:rsid w:val="008A59BF"/>
    <w:rPr>
      <w:color w:val="0000FF" w:themeColor="hyperlink"/>
      <w:u w:val="single"/>
    </w:rPr>
  </w:style>
  <w:style w:type="paragraph" w:styleId="Title">
    <w:name w:val="Title"/>
    <w:basedOn w:val="Normal"/>
    <w:next w:val="Normal"/>
    <w:link w:val="TitleChar"/>
    <w:uiPriority w:val="10"/>
    <w:qFormat/>
    <w:rsid w:val="008A59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9B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A59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59B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8A5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A5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A59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59BF"/>
    <w:rPr>
      <w:sz w:val="20"/>
      <w:szCs w:val="20"/>
    </w:rPr>
  </w:style>
  <w:style w:type="character" w:styleId="FootnoteReference">
    <w:name w:val="footnote reference"/>
    <w:basedOn w:val="DefaultParagraphFont"/>
    <w:uiPriority w:val="99"/>
    <w:semiHidden/>
    <w:unhideWhenUsed/>
    <w:rsid w:val="008A59BF"/>
    <w:rPr>
      <w:vertAlign w:val="superscript"/>
    </w:rPr>
  </w:style>
  <w:style w:type="character" w:styleId="Hyperlink">
    <w:name w:val="Hyperlink"/>
    <w:basedOn w:val="DefaultParagraphFont"/>
    <w:uiPriority w:val="99"/>
    <w:unhideWhenUsed/>
    <w:rsid w:val="008A59BF"/>
    <w:rPr>
      <w:color w:val="0000FF" w:themeColor="hyperlink"/>
      <w:u w:val="single"/>
    </w:rPr>
  </w:style>
  <w:style w:type="paragraph" w:styleId="Title">
    <w:name w:val="Title"/>
    <w:basedOn w:val="Normal"/>
    <w:next w:val="Normal"/>
    <w:link w:val="TitleChar"/>
    <w:uiPriority w:val="10"/>
    <w:qFormat/>
    <w:rsid w:val="008A59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59BF"/>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8A59B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A59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2019-11-24T12:36:00Z</dcterms:created>
  <dcterms:modified xsi:type="dcterms:W3CDTF">2019-11-24T12:56:00Z</dcterms:modified>
</cp:coreProperties>
</file>