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b/>
          <w:bCs/>
          <w:rtl/>
        </w:rPr>
      </w:pPr>
      <w:r w:rsidRPr="00857A6E">
        <w:rPr>
          <w:rFonts w:ascii="Times New Roman" w:eastAsia="Times New Roman" w:hAnsi="Times New Roman"/>
          <w:b/>
          <w:bCs/>
          <w:rtl/>
        </w:rPr>
        <w:t>14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اعجاز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علمی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قرآن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در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تفسیر</w:t>
      </w:r>
      <w:r w:rsidR="0007208F" w:rsidRPr="00AE771B">
        <w:rPr>
          <w:rFonts w:ascii="Times New Roman" w:eastAsia="Times New Roman" w:hAnsi="Times New Roman"/>
          <w:b/>
          <w:bCs/>
          <w:rtl/>
        </w:rPr>
        <w:t xml:space="preserve"> </w:t>
      </w:r>
      <w:r w:rsidRPr="00857A6E">
        <w:rPr>
          <w:rFonts w:ascii="Times New Roman" w:eastAsia="Times New Roman" w:hAnsi="Times New Roman"/>
          <w:b/>
          <w:bCs/>
          <w:rtl/>
        </w:rPr>
        <w:t>نمونه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660066"/>
          <w:rtl/>
        </w:rPr>
      </w:pPr>
      <w:r w:rsidRPr="00857A6E">
        <w:rPr>
          <w:rFonts w:ascii="Times New Roman" w:eastAsia="Times New Roman" w:hAnsi="Times New Roman" w:hint="cs"/>
          <w:b/>
          <w:bCs/>
          <w:color w:val="660066"/>
          <w:rtl/>
          <w:lang w:bidi="ar-SA"/>
        </w:rPr>
        <w:t>چکيده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مباحث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برخي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اخبار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محسوب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اكتشافات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Pr="0007208F">
        <w:rPr>
          <w:rFonts w:ascii="Times New Roman" w:eastAsia="Times New Roman" w:hAnsi="Times New Roman" w:hint="eastAsia"/>
          <w:color w:val="000000"/>
          <w:rtl/>
          <w:lang w:bidi="ar-SA"/>
        </w:rPr>
        <w:t>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گردآوري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پاره</w:t>
      </w:r>
      <w:r w:rsidRPr="0007208F">
        <w:rPr>
          <w:rFonts w:ascii="Times New Roman" w:eastAsia="Times New Roman" w:hAnsi="Times New Roman" w:hint="eastAsia"/>
          <w:color w:val="000000"/>
          <w:rtl/>
          <w:lang w:bidi="ar-SA"/>
        </w:rPr>
        <w:t>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تحليل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موضوع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عبارتند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تزيين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جرياني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زراعت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زوجيت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اجسام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اجتماعي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شکل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رقيق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ارتفاعات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بريدگي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660066"/>
          <w:rtl/>
          <w:lang w:bidi="ar-SA"/>
        </w:rPr>
      </w:pPr>
      <w:r w:rsidRPr="00857A6E">
        <w:rPr>
          <w:rFonts w:ascii="Times New Roman" w:eastAsia="Times New Roman" w:hAnsi="Times New Roman" w:hint="cs"/>
          <w:b/>
          <w:bCs/>
          <w:color w:val="660066"/>
          <w:rtl/>
          <w:lang w:bidi="ar-SA"/>
        </w:rPr>
        <w:t>مقدمه</w:t>
      </w:r>
    </w:p>
    <w:p w:rsidR="00857A6E" w:rsidRPr="00857A6E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مهم‌ترين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ابعاد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حاضر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ارزشمند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«نمونه»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مرجع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عاليقدر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حضرت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العظمي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مكارم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شيرازي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همکاران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تفاسيري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نسبت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رويكردي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متعادل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فهم،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تلاش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راستا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نظريه‌هاي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تحميل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نماید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مؤلف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محترم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شريفه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ذلِكَ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الْكِتَابُ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لاَرَيْبَ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فِيهِ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هُدىً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لِلْمُتَّقِينَ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بقره/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مي‌نويسد: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طراوت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كائنات،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حقائق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درخشش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ادعا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لابه‌لاي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شیرازی،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66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ذیل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89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مبارکه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اسراء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مي‌نويسد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«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جامعيت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راستي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محتويات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نخوانده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دلايل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عقلي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كاري‌هاي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عقاید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احكام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نيازمندي‌هاي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تاريخي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بي‌نظير،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هيجان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انگيز،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بيدارگر،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دلچسب،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خرافه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مباحث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اخلاقيش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مرده!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مسائل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مطرح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حقايقي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حداقل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276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بیان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می‌دارد: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طبيعي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انسان‌سازي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بنابر‌اين،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انتظار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جزئيات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مسائل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تكامل،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تشريح،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شناسي،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مطرح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تربيتي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كوتاهي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قسمت‌هايي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بشود»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81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رويكرد،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چهارده‌گانه‌اي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بیان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می‌پردازیم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1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>تزيين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>آسمان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>با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  <w:lang w:bidi="ar-SA"/>
        </w:rPr>
        <w:t>ستارگان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إِنَّا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زَيَّنَّا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السَّمَاء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الدُّنْيَا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بِزِينَةٍ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الْكَوَاكِبِ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الصافات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6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نزديك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سيّارات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آراستيم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Pr="00AE771B" w:rsidRDefault="00AE771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800000"/>
          <w:rtl/>
          <w:lang w:bidi="ar-SA"/>
        </w:rPr>
      </w:pPr>
      <w:r w:rsidRPr="00AE771B">
        <w:rPr>
          <w:rFonts w:ascii="Times New Roman" w:eastAsia="Times New Roman" w:hAnsi="Times New Roman" w:hint="cs"/>
          <w:b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فرمايد: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پایين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كواكب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تزيين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كرديم»،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هشتم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ثوابت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قــرآن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نادرست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مشهور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19/17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زيباي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خاطر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اطراف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السماء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الدنيا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»؛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پايين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زیبای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2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جايگاه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و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مسير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مشخص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ستارگان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فَلَا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أُقْسِمُ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بِمَوَاقِعِ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النُّجُومِ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وَإِنَّهُ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لَقَسَمٌ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لَّوْ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تَعْلَمُونَ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عَظِيمٌ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واقعه/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75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76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كنم!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مسلماً،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بدانيد</w:t>
      </w:r>
      <w:r w:rsidRPr="00857A6E">
        <w:rPr>
          <w:rFonts w:ascii="Times New Roman" w:eastAsia="Times New Roman" w:hAnsi="Times New Roman"/>
          <w:color w:val="000000"/>
          <w:rtl/>
        </w:rPr>
        <w:t>!».</w:t>
      </w:r>
    </w:p>
    <w:p w:rsidR="007478D1" w:rsidRDefault="00AE771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AE771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مســير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دافعه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تعيين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حساب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برنامه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معيني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پذيرد.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محاسبه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منظومه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خانواده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نزديك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حساب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شگفتي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كهكشان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ميليون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كهكشان‌هاي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اهميت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بیشتر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می‌بریم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فلكي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معتقدند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تعداد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بیش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ميلياردها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غير‌مسلح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تلسكوب‌ها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حتی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تلسكوب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دیده‌شدنی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وسائل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عكس‌برداري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شناورند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نیز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حوزة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تصادف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تصادفي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اقيانوس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درياي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مديترانه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اقيانوس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تصادف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يكسو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واحدي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نباشد،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لااقل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اكتشافات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اهميت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بیشتر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این‌رو،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افزايد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إِنّ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هُ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وْ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عْل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مُون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ظِيمٌ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واقعه/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76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مسلماً،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بدانيد!».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آیه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عصري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پنداشتند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ميخ‌هاي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سقف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كوبيده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محيطي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محيط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ناداني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23/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265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3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حركت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دوراني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و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جرياني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خورشيد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وَالشَّمْسُ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تَجْرِي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لِمُسْتَقَرٍّ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لَّهَا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ذَلِكَ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تَقْدِيرُ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الْعَزِيزِ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الْعَلِيمِ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وَالْقَمَرَ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قَدَّرْنَاهُ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مَنَازِلَ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حَتَّى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عَادَ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كَالْعُرْجُونِ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الْقَدِيمِ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الشَّمْسُ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يَنبَغِي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تُدْرِكَ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الْقَمَرَ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وَلَااللَّيْلُ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سَابِقُ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النَّهَارِوَكُلٌّ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فَلَكٍ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يَسْبَحُونَ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يس/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38ـ40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قرارگاهش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اندازه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خداى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ناپذير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*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منزلگاه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شاخك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ديرينه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[قوسى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شكلِ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رنگ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برگردد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*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سزاوار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دريابد،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شناورند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AE771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AE771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نازل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هيأت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محافل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اجرام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نداشتند،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افلاك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اجسامي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بلورين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متراكم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ميخكوب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تابع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افلاكشان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بنا‌بر‌اين،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مفهومي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داشت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جرياني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فرضية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آزاد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اجرام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افلاك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بلورين،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مركز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منظومه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منظومه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چرخند.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مفهوم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نسبت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علـم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ادامـه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حركت‌هایی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خـورشيد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حرکت‌هایی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قبیل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1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خودش؛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2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منظومه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نقطه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آسمان؛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3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مجموعه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كهكشاني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جزیي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دايرة‌المعارف‌ها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پيرامون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آوريم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ساليانه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نيمكره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مشرق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طلوع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نصف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النهار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مغرب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نماید.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نصف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النهار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حقيقي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ظاهري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ساليانه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نزدیک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مغرب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مشرق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يك‌بار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برج‌ها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صفحه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دائرة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البروج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تاريخ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نجوم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اهميت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اعتدالين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انقلاب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مبتني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علاوه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كهكشان،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ميليون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كيلومتر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فضا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داخل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كهكشان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هفتاد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كيلومتر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ساعت!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جانب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فلكي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سريع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فضا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اجرام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فلكي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مأخذ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تشخيص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استواي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388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درباره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انطباق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تذکر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لازم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«مستقر»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مصدر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«لمستقر»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«الي»،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«في»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غایت.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«جريان»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انتقالي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ادامه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ترکیب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36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متصور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ممکن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اين‌رو،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مقصود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دیگر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نفی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البته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37ـ40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يس،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واژه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«يسبحون»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تأييد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انتقالي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«لمستقر»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تعيين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‌ستاره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يا...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تحميل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صحيح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نمي‌رسد؛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تعيين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لذا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نسبت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صريح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بگيريم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رازگويي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فلک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هيأت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کاذب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رسميت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مي‌شناخت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یعنی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پيامبر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اکرم9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مي‌دهد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علـمي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قـــرآن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علمـي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خير،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تفصيل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قایل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بگویيم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گزارش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هيأت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«خورشيد»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پهلوان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دويدن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مقدس،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مزامير،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19/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انتقالي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پهلوانان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ميادين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جلو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مي‌دوند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انتقالي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ابتکارات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رضایی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اصفهانی،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پژوهشی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169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4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حرکت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زمين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وَتَرَى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الْجِبَالَ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تَحْسَبُهَا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جَامِدَةً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وَهِيَ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تَمُرُّ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مَرَّ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السَّحَابِ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صُنْعَ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اللَّهِ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الَّذِي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أَتْقَنَ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شَيْءٍ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إِنَّهُ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خَبِيرٌ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بِمَا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تَفْعَلُونَ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نمل/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88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پنداري،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صنع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متقن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كارهايي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AE771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AE771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مبدأ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حوادث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مفسران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معتقدند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حوادث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آستانه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آغاز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زلزله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انفجارها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دگرگوني‌هاي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متلاشي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آخر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صريحاً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تأييد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توحيد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دنياست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محسوس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توضيح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تفسیر،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زیر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1.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حوادث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آغاز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حوادث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آشكار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مشاهده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كودكان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شيرخوار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فراموش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نمايند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مستانند،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2.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تشبيه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يكنواخت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صداست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انفجارهاي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عظيمي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صداي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رعد‌آسايش،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3.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آیه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شيء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واحد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4.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اتقان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برقراري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ريزد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متلاشي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ويران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5.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إِنَّهُ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خَبِيرٌ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بِمَا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تَفْعَلُونَ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«تفعلون»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فعل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مضارع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دنياست؛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اعمالي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لذا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فعلتـم»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داديد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مجموع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عجایب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پنداريم،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مسلّماً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ابرها.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محاسبات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نزديك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كيلومتر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انتقالي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مركز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سنگيني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ضرب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المثل‌اند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تشريح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خوبی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زیرا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سنگيني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ثبوت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نخستين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گاليله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ايتاليایي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كپرنيك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لهستاني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اواخر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16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اوائل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17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عقيده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برملا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ارباب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كليسا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محكوم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تحت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فشار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گذاشتند.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می‌بینیم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يك‌هزار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عنوان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توحيد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مطرح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15/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563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لازم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اجمالاً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پذيرش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متفاوت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هيأت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حاکم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فضاي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هيأت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ساکن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مرکز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مي‌دانستند،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صادق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9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امثال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کپرنيک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پيامبر9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می‌کند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مي‌رساند،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نمی‌رود؛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فيثاغورث،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فلوته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خوس،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ارشميدس،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استرخوس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ساموسي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کليانتوس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آسوسي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قایل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اسلام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محافل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سکون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ديد‌گاه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حاکم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مشهور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سکون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ديد‌گاه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مغلوب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وقتي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ابراز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بياورد،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حرکت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مشهور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ضرري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نمي‌زند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عصري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مشهور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مقهور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سکون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بطلميوس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شجاعانه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صراحت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صادقي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عرضه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رضایی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اصفهانی،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پژوهشی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185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5</w:t>
      </w:r>
      <w:r w:rsidR="0007208F" w:rsidRPr="00AE771B">
        <w:rPr>
          <w:rFonts w:ascii="Times New Roman" w:eastAsia="Times New Roman" w:hAnsi="Times New Roman" w:cs="2  Titr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قانون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جاذبه</w:t>
      </w:r>
    </w:p>
    <w:p w:rsidR="007478D1" w:rsidRDefault="00857A6E" w:rsidP="007478D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الَّذِي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رَفَعَ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السَّمَاوَاتِ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بِغَيْرِ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عَمَدٍ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تَرَوْنَهَا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ثُمَّ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اسْتَوي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عَلَى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الْعَرْشِ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وَسَخَّرَ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الشَّمْسَ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وَالْقَمَرَ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كُلٌّ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يَجْرِي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لأَجَلٍ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مُّسَمًّى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يُدَبِّرُ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الأَمْرَ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يُفَصِّلُ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الآيَاتِ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لَعَلَّكُم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بِلِقَاء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رَبِّكُمْ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تُوقِنُونَ</w:t>
      </w:r>
      <w:r w:rsidR="007478D1">
        <w:rPr>
          <w:rFonts w:ascii="Times New Roman" w:eastAsia="Times New Roman" w:hAnsi="Times New Roman" w:hint="cs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رعد/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ببينيد،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برافراشت؛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دارى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تسلّط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سرآمد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معيّنى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تدبير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شرح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ملاقات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پروردگارتان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يقين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آشكار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مي‌كردند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طبعاً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معلّق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نیست،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افلاك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پيازي،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موهوم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معلّق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تكيه‌گاهي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تعادل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قوة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دافعه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ارتباط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تعادل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دافعه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نامریي،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مؤمنان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علي7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فرمود: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«هذه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النجوم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السماء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مدائن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المدائن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الارض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مدينة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شهرهایي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شهرهاي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شهري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ستونـــي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مربوط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مجلسی،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بحارالانوار،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55/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91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رساتر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نامریي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ادبيات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امواج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تعادل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دافعه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شد؟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فرمايد: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انتهاي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استيلا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حكومت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شیرازی،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111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لقمان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قمر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«ترونها»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مفهوم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رؤيت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لطيفي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دافعه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نيرومند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نامرئي،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حسين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موسى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الرضا7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تصريح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فرمودند: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سبحان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اللَّه،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اليس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اللَّه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يقول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بِغَيْرِ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عَمَدٍ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تَرَوْنَها؟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قلت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بلى،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فقال: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ثم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عمد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و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لكن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لا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33CC"/>
          <w:rtl/>
          <w:lang w:bidi="ar-SA"/>
        </w:rPr>
        <w:t>ترونها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مشاهده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كنيد؟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راوى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كردم: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آرى،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فرمود: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بينيد»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تفسیر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القمی،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125</w:t>
      </w:r>
      <w:r w:rsidR="00AE771B">
        <w:rPr>
          <w:rFonts w:ascii="Times New Roman" w:eastAsia="Times New Roman" w:hAnsi="Times New Roman" w:hint="cs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17/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29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انطباق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تذکر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لازم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«بغير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ترونها»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تأمل‌برانگیز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الف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«عمد»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«ستون‌ها»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مي‌باشد.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ممکن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مقصود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متفاوت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آیندگان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پیشرفت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صحيح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نمي‌رسد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«سماوات»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جوّ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معنوي،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ستارگان،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و...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صحيح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«کرات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کنيم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لقمان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مي‌گويد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مي‌برد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دنبال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ذکر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خورشيد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مي‌گويد،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متقين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جوّ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و...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41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فاطر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تأمل‌برانگیز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«آسمان‌ها»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کنيم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نگهداري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نگهداري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کنيم.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آري،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ممکن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وسايل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نگه‌دارد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منحرف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انحصار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صحيح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انطباق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احتمال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لقمان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منحصر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مصاديق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«عمد»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ستون‌ها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می‌باشد.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اطلاع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مي‌سازد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رضایی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اصفهانی،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پژوهشی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155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AE771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57A6E">
        <w:rPr>
          <w:rFonts w:ascii="Times New Roman" w:eastAsia="Times New Roman" w:hAnsi="Times New Roman" w:cs="2  Titr"/>
          <w:b/>
          <w:bCs/>
          <w:color w:val="660066"/>
          <w:rtl/>
        </w:rPr>
        <w:t>6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آماده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شدن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زمين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براي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زراعت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به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وسيله</w:t>
      </w:r>
      <w:r w:rsidR="0007208F" w:rsidRPr="00AE771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57A6E">
        <w:rPr>
          <w:rFonts w:ascii="Times New Roman" w:eastAsia="Times New Roman" w:hAnsi="Times New Roman" w:cs="2  Titr" w:hint="cs"/>
          <w:b/>
          <w:bCs/>
          <w:color w:val="660066"/>
          <w:rtl/>
        </w:rPr>
        <w:t>باران</w:t>
      </w:r>
    </w:p>
    <w:p w:rsidR="007478D1" w:rsidRDefault="00857A6E" w:rsidP="00AE771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فَلْيَنظُرِ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الْإِنسَانُ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إِلَى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طَعَامِهِ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أَنَّا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صَبَبْنَا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الْمَاء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صَبًّا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ثُمَّ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شَقَقْنَا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الْأَرْضَ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شَقًّا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فَأَنبَتْنَا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فِيهَا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حَبًّا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وَعِنَبًا</w:t>
      </w:r>
      <w:r w:rsidR="0007208F" w:rsidRPr="00AE771B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/>
          <w:b/>
          <w:bCs/>
          <w:color w:val="008000"/>
          <w:rtl/>
          <w:lang w:bidi="ar-SA"/>
        </w:rPr>
        <w:t>وَقَضْبًا</w:t>
      </w:r>
      <w:r w:rsidR="00AE771B">
        <w:rPr>
          <w:rFonts w:ascii="Times New Roman" w:eastAsia="Times New Roman" w:hAnsi="Times New Roman" w:hint="cs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عبس/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24ـ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28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غذايش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بارشى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ريختيم؛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شكافتيم؛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رويانديم؛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آغاز،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سطح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عظيمي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سنگ‌ها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سيلابي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باريدند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سنگ‌ها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شكافتند.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گستردند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تودة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زراعت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سيلاب‌ها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ريزند.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خاك‌هاي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جديدي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مجدداً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وگرنه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زراعتي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زراعت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ادامه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شیرازی،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26/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148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7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زوجيت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در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گياهان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وَهُوَ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الَّذِي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مَدَّ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الأَرْضَ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وَجَعَلَ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رَوَاسِيَ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وَأَنْهَارًا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وَمِن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كُلِّ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الثَّمَرَاتِ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جَعَلَ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زَوْجَيْنِ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اثْنَيْنِ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يُغْشِي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اللَّيْلَ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النَّهَارَ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إِنَّ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ذَلِكَ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لَآيَاتٍ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لِّقَوْمٍ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يَتَفَكَّرُونَ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رعد/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گسترانيد؛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‌‌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محصولات،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دوتايى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[ها]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گروهى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تفكّر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عبارت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وَمِن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كُلِّ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الثَّمَرَاتِ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جَعَلَ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زَوْجَيْنِ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اثْنَيْنِ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تلقيح،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‌لينه،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معروف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سوئدي،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اواسط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موفق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زوجيت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تقريباً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همگاني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حيوانات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آميزش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يك‌هزار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اجمالاً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بعضي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ندهند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نپاشند،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ثمر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درستي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تقريبا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همگاني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موفق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سلسله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محققاني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غالباً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119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8</w:t>
      </w:r>
      <w:r w:rsidR="0007208F" w:rsidRPr="008E162B">
        <w:rPr>
          <w:rFonts w:ascii="Times New Roman" w:eastAsia="Times New Roman" w:hAnsi="Times New Roman" w:cs="2  Titr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رستاخيز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انرژي‌ها</w:t>
      </w:r>
    </w:p>
    <w:p w:rsidR="007478D1" w:rsidRDefault="00857A6E" w:rsidP="00AE771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الَّذِي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جَعَلَ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لَكُم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مِّنَ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الشَّجَرِ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الْأَخْضَرِ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نَارًا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فَإِذَا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أَنتُم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مِّنْهُ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تُوقِدُونَ</w:t>
      </w:r>
      <w:r w:rsidR="00AE771B">
        <w:rPr>
          <w:rFonts w:ascii="Times New Roman" w:eastAsia="Times New Roman" w:hAnsi="Times New Roman" w:hint="cs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يس/80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نياز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افروزيد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نخستين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مفسران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اعصار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عرب‌ها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رایج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افروختن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عفار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بيابان‌هاي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رویيد،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مي‌كردند.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چرخ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</w:t>
      </w:r>
      <w:r w:rsidRPr="00857A6E">
        <w:rPr>
          <w:rFonts w:ascii="Times New Roman" w:eastAsia="Times New Roman" w:hAnsi="Times New Roman" w:cs="Traditional Arabic" w:hint="cs"/>
          <w:color w:val="008000"/>
          <w:rtl/>
          <w:lang w:bidi="ar-SA"/>
        </w:rPr>
        <w:t>َ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تبار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سنگ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توليد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شد‌.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كبريت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مي‌كردند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بفرستد،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لباس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بپوشاند.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متضاد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مسلماً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پوشانيدن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لباس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بگذاريم،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دقيق‌تري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افروزي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منحصر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عفار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اجسام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مزبور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مخصوصشان،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آمادگي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خلاصه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بخورند،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دليل،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سوزي‌هاي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وحشتناكي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جنگل‌ها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نیست،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طوفان‌هايي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شاخه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می‌کوبد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برگ‌هاي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می‌افتد،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دامن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آتش‌سوزی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الكتريسته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اصطكاك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مالش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آشكار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‌گردد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اصطكاك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مالش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شجر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اخضر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آفريند!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وسيع‌تري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اضداد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گسترده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بقا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فنا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واضح‌تر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عميق‌تر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گذارده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ايم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توضيح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نباتي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اجزای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ئيدروژن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ببينيم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گياهان،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تجزيه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آزاد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تركيب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طبيعي،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تركيب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شيميايي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يابد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توأم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جذب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آزاد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بنا‌بر‌اين،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مشغولند،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احتياج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عنوان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فعال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اصطلاح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سوزانيم،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آزاد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تركيب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ئيدروژن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مقداري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آزاد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اصطلاحي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بگذريم،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مطبوعي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زمستان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روستایي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زغال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شهرنشين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ضمن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تدريجاً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بي‌كم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دهد‌</w:t>
      </w:r>
      <w:r w:rsidRPr="00857A6E">
        <w:rPr>
          <w:rFonts w:ascii="Times New Roman" w:eastAsia="Times New Roman" w:hAnsi="Times New Roman"/>
          <w:color w:val="000000"/>
          <w:rtl/>
        </w:rPr>
        <w:t>!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فضا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پراكنده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نوازش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هرگز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تغيير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شاخه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شعله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شروع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لحظه،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نشورش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اندازة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كوتاه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موضوع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سطوح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استعدادهاي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متفاوت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فهميدند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فهميم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آيندگان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بيشتر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صحيح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پذیرفتنی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ذهن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«شجر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اخضر»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است؟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افروختن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الشجر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اليابس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باید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كربن‌گيري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تابش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افزوده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موقعي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بنابراين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«شجر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اخضر»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وقود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بسازد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مرموزي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مرطوب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تعطيل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زيبایي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جاويدان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«شجر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اخضر»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زيباست؛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اصطكاك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مبدأ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آتش‌افروزي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حفظ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463ـ466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می‌بینیم،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تابش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پنجاه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رفته،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غافل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ذخيره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جرقه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آتش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چوب‌هاي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خشك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شروع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سوختن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برپا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انرژي‌های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گيرند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ساخت،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رستاخيز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سازد!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23/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258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9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تشكيل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تمام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اجسام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از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اتم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قُلْ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هُوَاللَّهُ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أَحَدٌ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الصمَد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اخلاص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1ـ2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«بگو: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يكتاست،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خداىِ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همواره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مقصود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روايات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كلمات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مفسران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ارباب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لغت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راغب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مفردات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آقا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بعضي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مقاييس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اللغة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ريشه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صلابت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استحكام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خاطر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بندگانش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مناسبت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لغت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منتهاي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حوایج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دایم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باقي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حنفيه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مـؤمنان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علي7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درباره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سؤال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حضرت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7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فرمود: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تأويل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صمد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جسم؛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تمثال؛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مكان؛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ايستاده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نشسته؛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سكون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ظلماني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نوراني؛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روحاني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نفساني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مكاني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گنجايش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رنگ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پاكش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منتفي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مفهوم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مخلوقات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ساحت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مقدسش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اسم‌هاي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جسميت،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رنگ،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مكان،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سكون،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كيفيت،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اينها،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ممكنات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مخلوقات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غالباً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اوصاف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اكتشافات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اخير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اشيای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كوچكي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مركب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مركزي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الكترون‌هايي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عجیب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الكترون‌ها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فاصله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البته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مقايسه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حجم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فاصله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اجسام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كوچك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فاصله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فشرده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ديدنش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چشم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60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كيلو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بعضي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اكتشاف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اجوف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جسمانيتي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اجسام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فراموش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لغت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بزرگي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نيازمندان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بقيه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ذكر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ريشه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27/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440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متوقف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صريح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بنابراين،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تحمل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ادعاي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قرينة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مذكور،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كلمة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«صمد»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خالي،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سيّد،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قصد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...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قرایني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موضوع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صرفاً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توحيد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توخالي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ارتكاز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ذهني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مخاطبان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اتم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10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زندگي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اجتماعي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زنبور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عسل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وَأَوْحَى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رَبُّكَ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إِلَى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النَّحْلِ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اتَّخِذِي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مِنَ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الْجِبَالِ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بُيُوتًا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وَمِنَ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الشَّجَرِ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وَمِمَّا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يَعْرِشُونَ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ثُمَّ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مِن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كُلِّ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الثَّمَرَاتِ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فَاسْلُكِي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سُبُلَ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رَبِّكِ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ذُلُلاً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يَخْرُجُ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مِن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بُطُونِهَا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شَرَابٌ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مُّخْتَلِفٌ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أَلْوَانُهُ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فِيهِ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شِفَاء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لِلنَّاسِ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إِنَّ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ذَلِكَ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لآيَةً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لِّقَوْمٍ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يَتَفَكَّرُونَ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نحل/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68ـ69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پروردگارت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=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غريزى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بخشى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درختان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داربست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برگزين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*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‌‌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محصولات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پروردگارت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فروتنانه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بپيما.»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هايشان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نوشيدنى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=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رنگ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متفاوت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[و]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درمانى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قطعاً،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[ها]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گروهى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تفكّر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كنند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پیرامون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نعمت‌هاي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نحل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مأموريت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مرموز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گذارده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«وحي»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راغب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مفردات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سريع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القا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مخفيانه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«وحي»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بازگشت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«وحي»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خود‌آگاه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وَأَوْحَيْنَا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إِلَى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أُمِّ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مُوسَى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أَرْضِعِيهِ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فَإِذَا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خِفْتِ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عَلَيْهِ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فَأَلْقِيهِ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الْيَمِّ</w:t>
      </w:r>
      <w:r w:rsidR="00AE771B" w:rsidRPr="00AE771B">
        <w:rPr>
          <w:rFonts w:ascii="Times New Roman" w:eastAsia="Times New Roman" w:hAnsi="Times New Roman"/>
          <w:color w:val="008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قصص/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7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ناآگاه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خوانديم؛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غريزه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انگيزه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ناخودآگاهي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جانداران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سؤال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غرایز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الهام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غريزي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منحصر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حيوانات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است؟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نكته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پاسخ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سؤال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دانشمندان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حشره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اجتماعي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اجتماعي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.البته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شگرفش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هرگز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ابعاد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مختلف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عجيب‌تر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اعجازآميزي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موضوع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زنبوران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عسل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هرگز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انعام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مقايسه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انگيزه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اسرارآميز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حشره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بگذاريم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آفريدگارش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آشنا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296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11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آفرينش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انسان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از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علق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خَلَقَ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الْإِنسَانَ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مِنْ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عَلَقٍ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/>
          <w:color w:val="000000"/>
          <w:rtl/>
        </w:rPr>
        <w:t>«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چسبيدن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لذا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زالو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مكيدن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«علق»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گذراندن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نخستين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مبدأ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آفرينش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قدرت‌نمایي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پروردگار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بي‌ارزش،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مخلوقي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ارزش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بعضي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منظور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بديهي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قطعه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شايسته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ستايش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صاحب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علاقه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اجتماعي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عُلقه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تكامل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تمدن‌ها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تشكيل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بعضي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اسپرم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شباهت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زالو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رحم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تركيب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مسائل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شناخته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چهارگانه،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27/156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صاحب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علاقه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اجتماعي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آدم7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چسبندگي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ظاهر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ندارد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رحم،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متناسب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ويژه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جنين‌شناسي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عنوان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واسطه‌اي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می‌رود؛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24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ساعت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رحم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تغذيه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شکل‌گيري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خداوند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«الدم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المنقبضة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المتصله»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زيباي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«علق»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برساند.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جنين‌شناسي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آگاهي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پزشکان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دقيق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وظريف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تکامل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رازگویي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آگاه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نکته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ـ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مثل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عاجز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غيب‌گویي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نتوانند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عادي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اطلاع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يابند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بياورند،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اسلام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پي‌گيري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نطفه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زنان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کالبد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شکافي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اقدام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مي‌نمودند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مي‌بردند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خلقت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همان‌طور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انجام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تازگي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مي‌رساند،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دليلي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مردم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رضایی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اصفهانی،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پژوهشی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487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12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شکل‌گيري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استخوان‌ها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در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جنين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ثُمَّ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خَلَقْنَا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النُّطْفَةَ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عَلَقَةً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فَخَلَقْنَا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الْعَلَقَةَ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مُضْغَةً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فَخَلَقْنَا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الْمُضْغَةَ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عِظَامًا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فَكَسَوْنَا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الْعِظَامَ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لَحْمًا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مومنون/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سيّال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[خون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]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چيزى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شبيه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آفريديم؛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آفريديم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پوشانديم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مي‌نويسد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نويسنده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ظلال»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ذيل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عجيبي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گذاشت،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تدريجاً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عضلات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بنا‌بر‌اين،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جمله‌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کَسَوْنَا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الْعِظَامَ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لَحْمًا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مسأله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هيچ‌كس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«مضغه»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لباس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پوشانديم.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نخست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شیرازی،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213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بررسي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ادعای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اینکه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عضلات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مي‌پوشاند،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جهت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الف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لحاظ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زیرا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متخصصان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جنين‌شناسي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تصريح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کرده‌اند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اوليه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سلکروتوم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لايه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وسطي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مزودرم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تشکيل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مي‌فرمايد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فَخَلَقْنَا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الْمُضْغَةَ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عِظَامًا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مؤمنون/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مي‌فرمايد‌</w:t>
      </w:r>
      <w:r w:rsidRPr="00857A6E">
        <w:rPr>
          <w:rFonts w:ascii="Times New Roman" w:eastAsia="Times New Roman" w:hAnsi="Times New Roman"/>
          <w:color w:val="000000"/>
          <w:rtl/>
        </w:rPr>
        <w:t>: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ثُمَّ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جَعَلْنَاهُ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نُطْفَةً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قَرَارٍ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مَّكِينٍ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«جعل»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مي‌آورد،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تعبير،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تغيير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واژه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«خلق»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«خلق»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کيفيت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مخصوص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وحتي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برخي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لغويان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گفته‌اند: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لغت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«خلق»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تقدير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اندازه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زدن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مصطفوی،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التحقيق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کلمات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109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بنابراين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ترجمه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کوبيده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کيفيت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محکم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عبارت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«مضغة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مخلقة»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يعني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کوبيده‌اي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تسويه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تعديل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مِن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مُّضْغَةٍ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مُّخَلَّقَةٍ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وَغَيْرِ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مُخَلَّقَةٍ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حج/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گوشتي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استخوان‌بندي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عظام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مصداق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مرحله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مخلقه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مي‌گيريم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مخلقه؛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مخلقه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اعضا،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استخوان‌بندي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و...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مشخص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عظام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غيراستخواني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معناي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تقسيم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اعضا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و...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نتيجه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می‌گيريم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مقصود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«مضغه»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گوشتي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قسمتي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اعضا،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جوارح،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...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سخن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منقول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تبديل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تمام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سلول‌هاي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مؤمنون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سازگار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14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سورة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مؤمنون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حيرت‌انگيزي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همان‌طور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ملاحظه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جديد‌ترين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يافته‌هاي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جنين‌شناسان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منطبق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مي‌کند،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مي‌رسد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اثبات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نمي‌کند؛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بسيار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نزول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اطلاعي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نداشت.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معمولاً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عمر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بچه‌هاي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سقط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مي‌بينند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هنگام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استفاده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حيوانات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حامله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بچه‌هاي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ناقص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برخورد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معمولاً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برخي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فرق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کامل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ناقص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مي‌دانستند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استخوان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مي‌گيرد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لباس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مي‌پوشاند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اطلاعات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اجمالي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حيوانات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کلي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نمي‌توان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البته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ممکن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ترتيب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مراحل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مضغه،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عظام،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پوشاندن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عظام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وسيله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گوشت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آميز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رضایی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اصفهانی،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پژوهشی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511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13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رقيق‌تر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بودن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هوا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در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ارتفاعات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فَمَن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يُرِدِ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يَهْدِيَهُ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يَشْرَحْ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صَدْرَهُ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لِلإِسْلاَمِ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وَمَن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يُرِدْ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يُضِلَّهُ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يَجْعَلْ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صَدْرَهُ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ضَيِّقًا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حَرَجًا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كَأَنَّمَا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يَصَّعَّدُ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السَّمَاء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كَذَلِكَ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يَجْعَلُ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اللّهُ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الرِّجْسَ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عَلَى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الَّذِينَ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لاَيُؤْمِنُونَ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انعام/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125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هركس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پذيرش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اسلام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گشايد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خاطر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اعمالش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گمراهى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سينه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تنگِ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برود؛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پليدى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كسانى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ايمان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امروزه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اطراف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نقاط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مجاور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كاملاً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فشرده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تنفس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آماده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هوا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رقيق‌تر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ميزان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كيلومتر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سطح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بالا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ماسك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تنفس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لحظه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مشكل‌تر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پيشروي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ادامه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دهيم،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تنگـــي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نفس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كمبود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اكسيژن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بيهوشي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مـي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گردد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تشبيـه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هنوز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واقعيت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علمـي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ثبوت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نرسيده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معجـزات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قـرآن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می‌رود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مکارم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شیرازی،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5/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436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Pr="008E162B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2  Titr"/>
          <w:b/>
          <w:bCs/>
          <w:color w:val="660066"/>
          <w:rtl/>
        </w:rPr>
      </w:pPr>
      <w:r w:rsidRPr="008E162B">
        <w:rPr>
          <w:rFonts w:ascii="Times New Roman" w:eastAsia="Times New Roman" w:hAnsi="Times New Roman" w:cs="2  Titr"/>
          <w:b/>
          <w:bCs/>
          <w:color w:val="660066"/>
          <w:rtl/>
        </w:rPr>
        <w:t>14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ـ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بريدگي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ميان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رشته</w:t>
      </w:r>
      <w:r w:rsidR="0007208F"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 xml:space="preserve"> </w:t>
      </w:r>
      <w:r w:rsidRPr="008E162B">
        <w:rPr>
          <w:rFonts w:ascii="Times New Roman" w:eastAsia="Times New Roman" w:hAnsi="Times New Roman" w:cs="2  Titr" w:hint="cs"/>
          <w:b/>
          <w:bCs/>
          <w:color w:val="660066"/>
          <w:rtl/>
        </w:rPr>
        <w:t>كوه‌ها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وَأَلْقى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‌‌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فِي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الْأَرْضِ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رَواسِيَ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تَمِيدَ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بِكُمْ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</w:t>
      </w:r>
      <w:r w:rsidR="009A6399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أَنْهاراً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</w:t>
      </w:r>
      <w:r w:rsidR="009A6399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bookmarkStart w:id="0" w:name="_GoBack"/>
      <w:bookmarkEnd w:id="0"/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سُبُلاً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لَعَلَّكُمْ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تَهْتَدُونَ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نحل/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15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محكمى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لرزش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نسبت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بگيرد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ايجاد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راه‌هايى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هدايت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شويد</w:t>
      </w:r>
      <w:r w:rsidRPr="00857A6E">
        <w:rPr>
          <w:rFonts w:ascii="Times New Roman" w:eastAsia="Times New Roman" w:hAnsi="Times New Roman"/>
          <w:color w:val="000000"/>
          <w:rtl/>
        </w:rPr>
        <w:t>».</w:t>
      </w:r>
    </w:p>
    <w:p w:rsidR="007478D1" w:rsidRDefault="008E162B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E162B">
        <w:rPr>
          <w:rFonts w:ascii="Times New Roman" w:eastAsia="Times New Roman" w:hAnsi="Times New Roman" w:hint="cs"/>
          <w:bCs/>
          <w:color w:val="800000"/>
          <w:rtl/>
          <w:lang w:bidi="ar-SA"/>
        </w:rPr>
        <w:t>نكته‌ی علمي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نظر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ثابت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ريشه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پيوسته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همچون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زرهى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گرفته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سبب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لرزش‌هاى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فشار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گازهاى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لحظه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جلوگيرى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شود.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وضع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خاص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مقاومت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مقابل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جاذبه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ماه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جزر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مد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زياد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اثر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حداقل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رساند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قدرت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طوفان‌هاى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حركت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دایمى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پوسته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كاهد؛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نبودند،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سطح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هموار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دایماً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معرض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تندبادها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داشت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آرامشى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متصور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نبود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مخازن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اصلى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يخ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صورت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آب‌هاى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درونى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باشند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بلافاصله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بعد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نعمت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نهرها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كرده،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گويد: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نهرهايى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داديم</w:t>
      </w:r>
      <w:r w:rsidRPr="00857A6E">
        <w:rPr>
          <w:rFonts w:ascii="Times New Roman" w:eastAsia="Times New Roman" w:hAnsi="Times New Roman"/>
          <w:color w:val="000000"/>
          <w:rtl/>
        </w:rPr>
        <w:t>»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</w:t>
      </w:r>
      <w:r w:rsidR="009A6399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أَنْهاراً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آنجا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ممكن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توهم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وجود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آورد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بخش‌هاى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زمين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يكديگر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بندد،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اضافه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>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كند: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شما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راه‌ها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قرار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هدايت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شويد</w:t>
      </w:r>
      <w:r w:rsidRPr="00857A6E">
        <w:rPr>
          <w:rFonts w:ascii="Times New Roman" w:eastAsia="Times New Roman" w:hAnsi="Times New Roman"/>
          <w:color w:val="000000"/>
          <w:rtl/>
        </w:rPr>
        <w:t>»</w:t>
      </w:r>
      <w:r w:rsidR="0007208F">
        <w:rPr>
          <w:rFonts w:ascii="Times New Roman" w:eastAsia="Times New Roman" w:hAnsi="Times New Roman"/>
          <w:color w:val="000000"/>
          <w:rtl/>
        </w:rPr>
        <w:t xml:space="preserve"> </w:t>
      </w:r>
      <w:r w:rsidRPr="0007208F">
        <w:rPr>
          <w:rFonts w:ascii="Times New Roman" w:eastAsia="Times New Roman" w:hAnsi="Times New Roman"/>
          <w:color w:val="000000"/>
          <w:rtl/>
        </w:rPr>
        <w:t>(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وَ</w:t>
      </w:r>
      <w:r w:rsidR="009A6399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سُبُلًا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لَعَلَّكُمْ</w:t>
      </w:r>
      <w:r w:rsidR="0007208F" w:rsidRPr="00AE771B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 xml:space="preserve"> </w:t>
      </w:r>
      <w:r w:rsidRPr="00857A6E">
        <w:rPr>
          <w:rFonts w:ascii="Traditional Arabic" w:eastAsia="Times New Roman" w:hAnsi="Traditional Arabic" w:cs="Traditional Arabic" w:hint="cs"/>
          <w:b/>
          <w:bCs/>
          <w:color w:val="008000"/>
          <w:rtl/>
          <w:lang w:bidi="ar-SA"/>
        </w:rPr>
        <w:t>تَهْتَدُونَ</w:t>
      </w:r>
      <w:r w:rsidR="00AE771B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صاحب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پس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بيان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مطالب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پاورقي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مي‌افزاید: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«به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حال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فوق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يكى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معجزات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مجيد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حداقل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براى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انسان‌ها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كشف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نشده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بود»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‌‌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11/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182</w:t>
      </w:r>
      <w:r w:rsidRPr="0007208F">
        <w:rPr>
          <w:rFonts w:ascii="Times New Roman" w:eastAsia="Times New Roman" w:hAnsi="Times New Roman"/>
          <w:color w:val="000000"/>
          <w:rtl/>
        </w:rPr>
        <w:t>)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جمع‌بندي</w:t>
      </w:r>
    </w:p>
    <w:p w:rsidR="007478D1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توجه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گذشت،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متعددي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معتقد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هم‌چنين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lastRenderedPageBreak/>
        <w:t>برخي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آيات،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اشارات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كريم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منطبق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دانسته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شگفتي‌هاي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‌شمارد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(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برای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ك: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همان،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20/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228؛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373؛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22/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375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8/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227؛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26/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171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186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...</w:t>
      </w:r>
      <w:r w:rsidRPr="0007208F">
        <w:rPr>
          <w:rFonts w:ascii="Times New Roman" w:eastAsia="Times New Roman" w:hAnsi="Times New Roman" w:hint="cs"/>
          <w:color w:val="000000"/>
          <w:rtl/>
          <w:lang w:bidi="ar-SA"/>
        </w:rPr>
        <w:t>)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.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البته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شيوه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تفسير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نمونه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مباحث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علمي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شيوه‌اي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معتدل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دور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افراط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و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تفريط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در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حقيقت،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جديدي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قرآن‌پژوهي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معاصر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گشوده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07208F" w:rsidRDefault="00857A6E" w:rsidP="0007208F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rtl/>
        </w:rPr>
      </w:pP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بديهي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است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با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پيشرفت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علوم،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هر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ابعاد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تازه‌اي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اعجاز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اين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كتاب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آسماني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بشر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روشن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خواهد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شد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که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موجب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تکميل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مباحث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قبل</w:t>
      </w:r>
      <w:r w:rsidR="0007208F">
        <w:rPr>
          <w:rFonts w:ascii="Times New Roman" w:eastAsia="Times New Roman" w:hAnsi="Times New Roman" w:hint="cs"/>
          <w:color w:val="000000"/>
          <w:rtl/>
          <w:lang w:bidi="ar-SA"/>
        </w:rPr>
        <w:t xml:space="preserve"> </w:t>
      </w:r>
      <w:r w:rsidRPr="00857A6E">
        <w:rPr>
          <w:rFonts w:ascii="Times New Roman" w:eastAsia="Times New Roman" w:hAnsi="Times New Roman" w:hint="cs"/>
          <w:color w:val="000000"/>
          <w:rtl/>
          <w:lang w:bidi="ar-SA"/>
        </w:rPr>
        <w:t>مي‌شود</w:t>
      </w:r>
      <w:r w:rsidRPr="00857A6E">
        <w:rPr>
          <w:rFonts w:ascii="Times New Roman" w:eastAsia="Times New Roman" w:hAnsi="Times New Roman"/>
          <w:color w:val="000000"/>
          <w:rtl/>
        </w:rPr>
        <w:t>.</w:t>
      </w:r>
    </w:p>
    <w:p w:rsidR="00601432" w:rsidRPr="0007208F" w:rsidRDefault="00601432" w:rsidP="0007208F">
      <w:pPr>
        <w:widowControl w:val="0"/>
        <w:spacing w:after="0" w:line="240" w:lineRule="auto"/>
        <w:ind w:firstLine="284"/>
        <w:jc w:val="both"/>
      </w:pPr>
    </w:p>
    <w:sectPr w:rsidR="00601432" w:rsidRPr="0007208F" w:rsidSect="00B24FFD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10E"/>
    <w:multiLevelType w:val="multilevel"/>
    <w:tmpl w:val="D126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E"/>
    <w:rsid w:val="0007208F"/>
    <w:rsid w:val="00601432"/>
    <w:rsid w:val="007478D1"/>
    <w:rsid w:val="00857A6E"/>
    <w:rsid w:val="008E162B"/>
    <w:rsid w:val="009844F7"/>
    <w:rsid w:val="009A6399"/>
    <w:rsid w:val="00AE771B"/>
    <w:rsid w:val="00B24FFD"/>
    <w:rsid w:val="00E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2 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57A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57A6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57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A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2 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57A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57A6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57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A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99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508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52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429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3364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5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6785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</dc:creator>
  <cp:lastModifiedBy>Khadem</cp:lastModifiedBy>
  <cp:revision>7</cp:revision>
  <dcterms:created xsi:type="dcterms:W3CDTF">2018-11-08T05:31:00Z</dcterms:created>
  <dcterms:modified xsi:type="dcterms:W3CDTF">2018-11-08T06:00:00Z</dcterms:modified>
</cp:coreProperties>
</file>