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995C8" w14:textId="38FD2630" w:rsidR="00BE1C0F" w:rsidRPr="004F53BA" w:rsidRDefault="00BE1C0F" w:rsidP="00BE1C0F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4F53BA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4F53BA">
        <w:rPr>
          <w:rFonts w:ascii="Traditional Arabic" w:hAnsi="Traditional Arabic" w:cs="Traditional Arabic"/>
          <w:sz w:val="26"/>
          <w:szCs w:val="26"/>
          <w:rtl/>
        </w:rPr>
        <w:t xml:space="preserve"> قاعدة عدم اشتراط الأحكام الوضعيّة بالبلوغ</w:t>
      </w:r>
      <w:r w:rsidR="004F53BA" w:rsidRPr="004F53BA">
        <w:rPr>
          <w:rFonts w:ascii="Traditional Arabic" w:hAnsi="Traditional Arabic" w:cs="Traditional Arabic"/>
          <w:sz w:val="26"/>
          <w:szCs w:val="26"/>
          <w:rtl/>
        </w:rPr>
        <w:t>/</w:t>
      </w:r>
      <w:r w:rsidRPr="004F53BA">
        <w:rPr>
          <w:rFonts w:ascii="Traditional Arabic" w:hAnsi="Traditional Arabic" w:cs="Traditional Arabic"/>
          <w:sz w:val="26"/>
          <w:szCs w:val="26"/>
          <w:rtl/>
        </w:rPr>
        <w:t>قواعد فقهیه</w:t>
      </w:r>
    </w:p>
    <w:p w14:paraId="1009BAA6" w14:textId="7DF1DFA4" w:rsidR="00B911B8" w:rsidRPr="004F53BA" w:rsidRDefault="00B911B8" w:rsidP="00CB31C6">
      <w:pPr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  <w:t>قاعدة عدم اشتراط الأحكام الوضعيّة بالبلوغ</w:t>
      </w:r>
      <w:r w:rsidRPr="004F53BA">
        <w:rPr>
          <w:rFonts w:ascii="Traditional Arabic" w:eastAsia="Times New Roman" w:hAnsi="Traditional Arabic" w:cs="Traditional Arabic"/>
          <w:color w:val="FF0000"/>
          <w:sz w:val="30"/>
          <w:szCs w:val="30"/>
          <w:lang w:bidi="fa-IR"/>
        </w:rPr>
        <w:t>‌</w:t>
      </w:r>
      <w:bookmarkStart w:id="0" w:name="_GoBack"/>
      <w:bookmarkEnd w:id="0"/>
    </w:p>
    <w:p w14:paraId="54C0CD24" w14:textId="6A177BFE" w:rsidR="00260107" w:rsidRPr="004F53BA" w:rsidRDefault="00CB31C6" w:rsidP="00CB31C6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در باب نا بالغِ ممیز کلام در دو بحث است</w:t>
      </w:r>
      <w:r w:rsidR="00D6599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</w:p>
    <w:p w14:paraId="5C21A6A7" w14:textId="2E8F661A" w:rsidR="00D6599E" w:rsidRPr="004F53BA" w:rsidRDefault="00D6599E" w:rsidP="00CB31C6">
      <w:pPr>
        <w:pStyle w:val="ListParagraph"/>
        <w:numPr>
          <w:ilvl w:val="0"/>
          <w:numId w:val="10"/>
        </w:numPr>
        <w:bidi/>
        <w:jc w:val="lowKashida"/>
        <w:rPr>
          <w:rFonts w:ascii="Traditional Arabic" w:hAnsi="Traditional Arabic" w:cs="Traditional Arabic"/>
          <w:sz w:val="26"/>
          <w:szCs w:val="26"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آیا عبادات نابالغ تمرینی است؟</w:t>
      </w:r>
    </w:p>
    <w:p w14:paraId="4E4CD227" w14:textId="619DB317" w:rsidR="000C36CF" w:rsidRPr="004F53BA" w:rsidRDefault="000C36CF" w:rsidP="00CB31C6">
      <w:pPr>
        <w:pStyle w:val="ListParagraph"/>
        <w:bidi/>
        <w:jc w:val="lowKashida"/>
        <w:rPr>
          <w:rFonts w:ascii="Traditional Arabic" w:hAnsi="Traditional Arabic" w:cs="Traditional Arabic"/>
          <w:sz w:val="26"/>
          <w:szCs w:val="26"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البته بحثی هم در معاملات است که همه می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گویند معاملات صبی باطل است. این مساله اجماعی است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. ولی ما الان به معاملات صبی کاری نداریم.</w:t>
      </w:r>
    </w:p>
    <w:p w14:paraId="3B113CE2" w14:textId="77777777" w:rsidR="00CB31C6" w:rsidRPr="004F53BA" w:rsidRDefault="009E6AE2" w:rsidP="00CB31C6">
      <w:pPr>
        <w:pStyle w:val="ListParagraph"/>
        <w:numPr>
          <w:ilvl w:val="0"/>
          <w:numId w:val="10"/>
        </w:numPr>
        <w:bidi/>
        <w:jc w:val="lowKashida"/>
        <w:rPr>
          <w:rFonts w:ascii="Traditional Arabic" w:hAnsi="Traditional Arabic" w:cs="Traditional Arabic"/>
          <w:sz w:val="26"/>
          <w:szCs w:val="26"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بحث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احکام وضعیه است.</w:t>
      </w:r>
      <w:r w:rsidR="000C36C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( ع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دم اشتراط احکام وضعیه به بلوغ).</w:t>
      </w:r>
    </w:p>
    <w:p w14:paraId="7FAC8ED7" w14:textId="77777777" w:rsidR="0098499F" w:rsidRPr="004F53BA" w:rsidRDefault="000C36CF" w:rsidP="0098499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اما در این مطلب که احکام تکلیفیه مشروط به بلوغ است شکی نیست. بحث در احکام وضعی است. مثلا اگر نجاستی به بدن او اصابت کرد بدنش نجس می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خیر؟ یا ا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گر در 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 افتاد 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آیا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بدنش پاک می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شود؟ و یا مثلا اگر سبب جنابت برایش محقق شد جنب می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یا خیر ؟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ولو اینکه غسل بعد از بلوغ بر او واجب </w:t>
      </w:r>
      <w:r w:rsidR="00CB31C6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شود.</w:t>
      </w:r>
    </w:p>
    <w:p w14:paraId="72358DE1" w14:textId="4CB675C1" w:rsidR="000C36CF" w:rsidRPr="004F53BA" w:rsidRDefault="000926D7" w:rsidP="0098499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مشهور بین اصحاب این است که احکام وضعیه مشروط به بلوغ نیستند.</w:t>
      </w:r>
    </w:p>
    <w:p w14:paraId="69BAA943" w14:textId="27400055" w:rsidR="000C36CF" w:rsidRPr="004F53BA" w:rsidRDefault="007251FA" w:rsidP="00CB31C6">
      <w:pPr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  <w:t>مدرک قاعده:</w:t>
      </w:r>
    </w:p>
    <w:p w14:paraId="5D59851C" w14:textId="44439F18" w:rsidR="00233567" w:rsidRPr="004F53BA" w:rsidRDefault="00233567" w:rsidP="00CB31C6">
      <w:pPr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  <w:t>اجماع</w:t>
      </w:r>
    </w:p>
    <w:p w14:paraId="571E402C" w14:textId="06C19272" w:rsidR="007251FA" w:rsidRPr="004F53BA" w:rsidRDefault="007251FA" w:rsidP="00CB31C6">
      <w:pPr>
        <w:bidi/>
        <w:jc w:val="lowKashida"/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rtl/>
          <w:lang w:bidi="fa-IR"/>
        </w:rPr>
        <w:t>الأوّل: الإجماع، فإنّه لا خلاف بينهم في أنّ إتلاف الصبي مال الغير كإتلاف البالغين موجب للضمان، و اشتغال ذمّته بمثل ما أتلف إن كان مثليّا، و بقيمته إن كان قيميّا</w:t>
      </w:r>
      <w:r w:rsidR="00233567" w:rsidRPr="004F53BA"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rtl/>
          <w:lang w:bidi="fa-IR"/>
        </w:rPr>
        <w:t>... و هذا الإجماع محقّق لكلّ من تتبّع في الفقه، إذ لم ينقل الخلاف من أحد... فهذا إجماع يمكن الاعتماد عليه. و لا يرد عليه ما أوردنا على الإجماعات التي ادّعيت في أغلب القواعد الفقهيّة المذكورة في هذا الكتاب.</w:t>
      </w:r>
    </w:p>
    <w:p w14:paraId="01642DA4" w14:textId="5B250AD1" w:rsidR="007251FA" w:rsidRPr="004F53BA" w:rsidRDefault="007251FA" w:rsidP="0098499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محقق بجنوردی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فرماید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اولین دلیل ما برای اثبات مدلول این قاعده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اجماع است. چراکه بین فقها اجماعی است که اگر فرد نابالغی مال غیر را تلف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کرد،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ضامن است.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ایشان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سپس می فرمای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 کسی که در فقه تتبع کند این اجماع برایش حاصل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و نکته دیگر اینکه این اجماع مانند اجماعات سابقه مدرکی نیست و متکی به عموماتی که در سابق خواندیم نیست. مانند قاعده علی الید و قاعده من اتلف چرا که آن عمومات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صبی 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انصراف داشتند. لذا این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اجماع، 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اجماع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تعبدی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قابل تمسک است</w:t>
      </w:r>
      <w:r w:rsidR="00233567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41075699" w14:textId="02296D68" w:rsidR="00233567" w:rsidRPr="004F53BA" w:rsidRDefault="00233567" w:rsidP="00CB31C6">
      <w:pPr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  <w:t>سیره عقلا و متدینین</w:t>
      </w:r>
    </w:p>
    <w:p w14:paraId="0A56DCB7" w14:textId="5414FF4A" w:rsidR="00233567" w:rsidRPr="004F53BA" w:rsidRDefault="00233567" w:rsidP="00CB31C6">
      <w:pPr>
        <w:bidi/>
        <w:jc w:val="lowKashida"/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rtl/>
          <w:lang w:bidi="fa-IR"/>
        </w:rPr>
        <w:t>الثاني: سيرة المتديّنين، بل العقلاء قاطبة على أنّ الصبي إذا أتلف مال الغير أو غصبه، فوقع عليه التلف- و إن كان التلف في غير يده- فهو له ضامن.</w:t>
      </w:r>
    </w:p>
    <w:p w14:paraId="4492AACD" w14:textId="11A1A5AC" w:rsidR="005C7459" w:rsidRPr="004F53BA" w:rsidRDefault="005C7459" w:rsidP="0098499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سیره متشرعه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این قائم شده که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صبی مال کسی را تلف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کرد،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ضامن است.</w:t>
      </w:r>
    </w:p>
    <w:p w14:paraId="5609B0BB" w14:textId="77777777" w:rsidR="005C7459" w:rsidRPr="004F53BA" w:rsidRDefault="005C7459" w:rsidP="00CB31C6">
      <w:pPr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</w:pPr>
    </w:p>
    <w:p w14:paraId="7543F699" w14:textId="1A053D34" w:rsidR="005C7459" w:rsidRPr="004F53BA" w:rsidRDefault="005C7459" w:rsidP="00CB31C6">
      <w:pPr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</w:pPr>
      <w:r w:rsidRPr="004F53BA">
        <w:rPr>
          <w:rFonts w:ascii="Traditional Arabic" w:eastAsia="Times New Roman" w:hAnsi="Traditional Arabic" w:cs="Traditional Arabic"/>
          <w:color w:val="FF0000"/>
          <w:sz w:val="30"/>
          <w:szCs w:val="30"/>
          <w:rtl/>
          <w:lang w:bidi="fa-IR"/>
        </w:rPr>
        <w:t>روایات</w:t>
      </w:r>
    </w:p>
    <w:p w14:paraId="3C6080FB" w14:textId="77777777" w:rsidR="005C7459" w:rsidRPr="004F53BA" w:rsidRDefault="005C7459" w:rsidP="00CB31C6">
      <w:pPr>
        <w:bidi/>
        <w:jc w:val="lowKashida"/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lang w:bidi="fa-IR"/>
        </w:rPr>
      </w:pPr>
      <w:r w:rsidRPr="004F53BA">
        <w:rPr>
          <w:rFonts w:ascii="Traditional Arabic" w:eastAsia="Times New Roman" w:hAnsi="Traditional Arabic" w:cs="Traditional Arabic"/>
          <w:b/>
          <w:bCs/>
          <w:color w:val="000080"/>
          <w:sz w:val="30"/>
          <w:szCs w:val="30"/>
          <w:rtl/>
          <w:lang w:bidi="fa-IR"/>
        </w:rPr>
        <w:lastRenderedPageBreak/>
        <w:t>الثالث: الروايات و الأدلّة العامّة الواردة في أبواب الضمانات و النجاسات و الطهارات، و في باب إحياء أراضي الموات، و في أبواب الديات و الحيازات، فإنّه في جميع الأدلّة عامّة أو مطلقة تشمل البالغ و الصبيّ على نهج واحد.</w:t>
      </w:r>
    </w:p>
    <w:p w14:paraId="0F648144" w14:textId="77777777" w:rsidR="0098499F" w:rsidRPr="004F53BA" w:rsidRDefault="005C7459" w:rsidP="0098499F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البته منظور از صبی در اینجا صبی ممیز است.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قدر متیقنی که ادله شامل آن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شود صبی ممیز است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صبی غیر ممیز دو اشکال وارد است.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اول آن که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نابالغ است و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دوم آنکه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شرط عقل را ندارد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. و چون ما الان با بحث عقل کاری نداریم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غیر ممیز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بحث خارج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خواهد بود. </w:t>
      </w:r>
    </w:p>
    <w:p w14:paraId="2D139259" w14:textId="3464858F" w:rsidR="00E4265F" w:rsidRPr="004F53BA" w:rsidRDefault="0098499F" w:rsidP="0098499F">
      <w:pPr>
        <w:pStyle w:val="NormalWeb"/>
        <w:bidi/>
        <w:jc w:val="lowKashida"/>
        <w:rPr>
          <w:rFonts w:ascii="Traditional Arabic" w:hAnsi="Traditional Arabic" w:cs="Traditional Arabic"/>
          <w:color w:val="008000"/>
          <w:sz w:val="30"/>
          <w:szCs w:val="30"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بنابر</w:t>
      </w:r>
      <w:r w:rsidR="00E4265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 توان گفت: </w:t>
      </w:r>
      <w:r w:rsidR="00E4265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عمومات و اطلاقات احکام وضعیه شامل صبی ممیز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E4265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مثل این روایت که میفرماید: </w:t>
      </w:r>
      <w:r w:rsidR="00E4265F" w:rsidRPr="004F53BA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قوله صلّى اللّه عليه و آله: «من أحيا أرضا مواتا فهي له» «1» أو قوله: «من حاز شيئا من المباحات ملكه»</w:t>
      </w:r>
    </w:p>
    <w:p w14:paraId="27841962" w14:textId="6B976902" w:rsidR="005C7459" w:rsidRPr="004F53BA" w:rsidRDefault="00F50C71" w:rsidP="00CB31C6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تعبیر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که می فرماید: </w:t>
      </w:r>
      <w:r w:rsidRPr="004F53BA">
        <w:rPr>
          <w:rFonts w:ascii="Traditional Arabic" w:eastAsia="Times New Roman" w:hAnsi="Traditional Arabic" w:cs="Traditional Arabic"/>
          <w:b/>
          <w:bCs/>
          <w:color w:val="008000"/>
          <w:sz w:val="30"/>
          <w:szCs w:val="30"/>
          <w:rtl/>
          <w:lang w:bidi="fa-IR"/>
        </w:rPr>
        <w:t>من أحيا أرضا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r w:rsidRPr="004F53BA">
        <w:rPr>
          <w:rFonts w:ascii="Traditional Arabic" w:eastAsia="Times New Roman" w:hAnsi="Traditional Arabic" w:cs="Traditional Arabic"/>
          <w:b/>
          <w:bCs/>
          <w:color w:val="008000"/>
          <w:sz w:val="30"/>
          <w:szCs w:val="30"/>
          <w:rtl/>
          <w:lang w:bidi="fa-IR"/>
        </w:rPr>
        <w:t>من حاز شيئا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شامل صبی هم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حق السبق و حق التحجیر هم همینطور است. البته تحجیر موجب ملکیت نیست چون احیاء موات نکرده بلکه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تنها اولویت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ایجاد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کند.</w:t>
      </w:r>
    </w:p>
    <w:p w14:paraId="321284EC" w14:textId="3D9106DE" w:rsidR="00F50C71" w:rsidRPr="004F53BA" w:rsidRDefault="00F50C71" w:rsidP="0098499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فقط بحث حدیث رفع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ماند. حضرت امیر المومنین ع فرمودند: </w:t>
      </w:r>
      <w:r w:rsidRPr="004F53BA">
        <w:rPr>
          <w:rFonts w:ascii="Traditional Arabic" w:eastAsia="Times New Roman" w:hAnsi="Traditional Arabic" w:cs="Traditional Arabic"/>
          <w:b/>
          <w:bCs/>
          <w:color w:val="008000"/>
          <w:sz w:val="30"/>
          <w:szCs w:val="30"/>
          <w:rtl/>
          <w:lang w:bidi="fa-IR"/>
        </w:rPr>
        <w:t>قال رسول الله: رفع القلم عن الصبی حتی یحتلم و عن النائم حتی یستسقض و عن المجنون حتی یفیق.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توضیح این روایت فرموده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ند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دید که مامورین عم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 زن مجنونه ای را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برند. 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حضرت سوال کرد این زن را کجا می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برید؟ گفتند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عم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 دستور داده بر این زن حد جاری 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شود. حضرت فرمود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زن که مجنونه بنی عامر است و پیغمبر هم فرمود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قلم از دیوانه برداشته شد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909FE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پس چگونه عمر این دستور را صادر کرد؟</w:t>
      </w:r>
    </w:p>
    <w:p w14:paraId="13BF75D8" w14:textId="3E00BA26" w:rsidR="005909FE" w:rsidRPr="004F53BA" w:rsidRDefault="005909FE" w:rsidP="0098499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حال بحث بر این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که آیا این رفع قلم علاوه بر احکام تکلیفی شامل احکام وضعی هم </w:t>
      </w:r>
      <w:r w:rsidR="0098499F" w:rsidRPr="004F53BA">
        <w:rPr>
          <w:rFonts w:ascii="Traditional Arabic" w:hAnsi="Traditional Arabic" w:cs="Traditional Arabic"/>
          <w:sz w:val="26"/>
          <w:szCs w:val="26"/>
          <w:rtl/>
          <w:lang w:bidi="fa-IR"/>
        </w:rPr>
        <w:t>هست یا خیر؟</w:t>
      </w:r>
    </w:p>
    <w:p w14:paraId="1F06BB69" w14:textId="77777777" w:rsidR="00233567" w:rsidRPr="004F53BA" w:rsidRDefault="00233567" w:rsidP="00CB31C6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</w:p>
    <w:sectPr w:rsidR="00233567" w:rsidRPr="004F53BA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EC2DA" w14:textId="77777777" w:rsidR="009128B4" w:rsidRDefault="009128B4" w:rsidP="00CF2919">
      <w:pPr>
        <w:spacing w:after="0" w:line="240" w:lineRule="auto"/>
      </w:pPr>
      <w:r>
        <w:separator/>
      </w:r>
    </w:p>
  </w:endnote>
  <w:endnote w:type="continuationSeparator" w:id="0">
    <w:p w14:paraId="5D95D87E" w14:textId="77777777" w:rsidR="009128B4" w:rsidRDefault="009128B4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7DA48" w14:textId="77777777" w:rsidR="009128B4" w:rsidRDefault="009128B4" w:rsidP="00CF2919">
      <w:pPr>
        <w:spacing w:after="0" w:line="240" w:lineRule="auto"/>
      </w:pPr>
      <w:r>
        <w:separator/>
      </w:r>
    </w:p>
  </w:footnote>
  <w:footnote w:type="continuationSeparator" w:id="0">
    <w:p w14:paraId="3971E9E2" w14:textId="77777777" w:rsidR="009128B4" w:rsidRDefault="009128B4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7284" w14:textId="432A8976" w:rsidR="00BE1C0F" w:rsidRPr="00083717" w:rsidRDefault="00BE1C0F" w:rsidP="00BE1C0F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سه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07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30E8F9FF" w:rsidR="002A2F47" w:rsidRPr="00BE1C0F" w:rsidRDefault="002A2F47" w:rsidP="00BE1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50A9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53BA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5DE4"/>
    <w:rsid w:val="005C0EA0"/>
    <w:rsid w:val="005C4215"/>
    <w:rsid w:val="005C7459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51FA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8B4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499F"/>
    <w:rsid w:val="00986E21"/>
    <w:rsid w:val="00992AC1"/>
    <w:rsid w:val="009A102B"/>
    <w:rsid w:val="009A12C7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418A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E1C0F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31C6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C130A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A347-7124-444B-92B6-F5BA1A2A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</cp:revision>
  <dcterms:created xsi:type="dcterms:W3CDTF">2016-05-25T08:11:00Z</dcterms:created>
  <dcterms:modified xsi:type="dcterms:W3CDTF">2016-05-26T08:42:00Z</dcterms:modified>
</cp:coreProperties>
</file>