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052D2AD9" w14:textId="77777777" w:rsidR="00AB2131" w:rsidRPr="00AB2131" w:rsidRDefault="00BE6D46" w:rsidP="00AB2131">
      <w:pPr>
        <w:pStyle w:val="ListParagraph"/>
        <w:numPr>
          <w:ilvl w:val="0"/>
          <w:numId w:val="1"/>
        </w:numPr>
        <w:jc w:val="center"/>
        <w:rPr>
          <w:rFonts w:ascii="IRLotus" w:hAnsi="IRLotus" w:cs="B Nazanin"/>
          <w:color w:val="FF0000"/>
          <w:sz w:val="32"/>
          <w:szCs w:val="32"/>
          <w:rtl/>
        </w:rPr>
      </w:pPr>
      <w:bookmarkStart w:id="0" w:name="_Toc467679108"/>
      <w:r w:rsidRPr="00AB2131">
        <w:rPr>
          <w:rFonts w:ascii="IRLotus" w:hAnsi="IRLotus" w:cs="B Nazanin" w:hint="cs"/>
          <w:color w:val="FF0000"/>
          <w:sz w:val="32"/>
          <w:szCs w:val="32"/>
          <w:rtl/>
          <w:lang w:bidi="fa-IR"/>
        </w:rPr>
        <w:t xml:space="preserve">منازل </w:t>
      </w:r>
      <w:r w:rsidRPr="00AB2131">
        <w:rPr>
          <w:rFonts w:ascii="IRLotus" w:hAnsi="IRLotus" w:cs="B Nazanin" w:hint="cs"/>
          <w:color w:val="FF0000"/>
          <w:sz w:val="32"/>
          <w:szCs w:val="32"/>
          <w:rtl/>
        </w:rPr>
        <w:t>سلوک مهدوی؛</w:t>
      </w:r>
    </w:p>
    <w:p w14:paraId="30D177B0" w14:textId="77777777" w:rsidR="00B2387C" w:rsidRDefault="00AB2131" w:rsidP="00AB2131">
      <w:pPr>
        <w:jc w:val="center"/>
        <w:rPr>
          <w:rFonts w:ascii="IRLotus" w:hAnsi="IRLotus" w:cs="B Nazanin"/>
          <w:color w:val="FF0000"/>
          <w:sz w:val="32"/>
          <w:szCs w:val="32"/>
        </w:rPr>
      </w:pPr>
      <w:r>
        <w:rPr>
          <w:rFonts w:ascii="IRLotus" w:hAnsi="IRLotus" w:cs="B Nazanin" w:hint="cs"/>
          <w:color w:val="FF0000"/>
          <w:sz w:val="32"/>
          <w:szCs w:val="32"/>
          <w:rtl/>
        </w:rPr>
        <w:t xml:space="preserve">            </w:t>
      </w:r>
      <w:r w:rsidR="00BE6D46" w:rsidRPr="00935F0B">
        <w:rPr>
          <w:rFonts w:ascii="IRLotus" w:hAnsi="IRLotus" w:cs="B Nazanin" w:hint="cs"/>
          <w:color w:val="FF0000"/>
          <w:sz w:val="32"/>
          <w:szCs w:val="32"/>
          <w:rtl/>
        </w:rPr>
        <w:t xml:space="preserve">معرفت،محبت، ولایت، </w:t>
      </w:r>
      <w:r w:rsidR="00B2387C" w:rsidRPr="00935F0B">
        <w:rPr>
          <w:rFonts w:ascii="IRLotus" w:hAnsi="IRLotus" w:cs="B Nazanin"/>
          <w:color w:val="FF0000"/>
          <w:sz w:val="32"/>
          <w:szCs w:val="32"/>
          <w:rtl/>
        </w:rPr>
        <w:t>عهد</w:t>
      </w:r>
      <w:r w:rsidR="00BE6D46" w:rsidRPr="00935F0B">
        <w:rPr>
          <w:rFonts w:ascii="IRLotus" w:hAnsi="IRLotus" w:cs="B Nazanin" w:hint="cs"/>
          <w:color w:val="FF0000"/>
          <w:sz w:val="32"/>
          <w:szCs w:val="32"/>
          <w:rtl/>
        </w:rPr>
        <w:t xml:space="preserve"> </w:t>
      </w:r>
      <w:r w:rsidR="00B2387C" w:rsidRPr="00935F0B">
        <w:rPr>
          <w:rFonts w:ascii="IRLotus" w:hAnsi="IRLotus" w:cs="B Nazanin"/>
          <w:color w:val="FF0000"/>
          <w:sz w:val="32"/>
          <w:szCs w:val="32"/>
          <w:rtl/>
        </w:rPr>
        <w:t>و اطاعت</w:t>
      </w:r>
      <w:r w:rsidR="00B2387C" w:rsidRPr="00935F0B">
        <w:rPr>
          <w:rStyle w:val="FootnoteReference"/>
          <w:rFonts w:ascii="IRLotus" w:hAnsi="IRLotus" w:cs="B Nazanin"/>
          <w:color w:val="FF0000"/>
          <w:sz w:val="32"/>
          <w:szCs w:val="32"/>
          <w:rtl/>
        </w:rPr>
        <w:footnoteReference w:customMarkFollows="1" w:id="1"/>
        <w:t>*</w:t>
      </w:r>
      <w:bookmarkEnd w:id="0"/>
    </w:p>
    <w:p w14:paraId="6EE95EE5" w14:textId="77777777" w:rsidR="00935F0B" w:rsidRPr="00935F0B" w:rsidRDefault="00935F0B" w:rsidP="00AB2131">
      <w:pPr>
        <w:jc w:val="center"/>
        <w:rPr>
          <w:rFonts w:ascii="IRLotus" w:hAnsi="IRLotus" w:cs="B Nazanin"/>
          <w:color w:val="FF0000"/>
          <w:sz w:val="32"/>
          <w:szCs w:val="32"/>
          <w:rtl/>
        </w:rPr>
      </w:pPr>
    </w:p>
    <w:p w14:paraId="09EA6DBB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 xml:space="preserve"> يوم‌ اللّه‌ نهم‌ ربيع‌ الاول، سالروز آغاز امامت‌ قائم‌ آل‌ محمد، خاتم‌ الاوصياء، بقيت اللّه‌ الاعظم</w:t>
      </w:r>
      <w:r w:rsidR="00BE6D46" w:rsidRPr="00935F0B">
        <w:rPr>
          <w:rFonts w:ascii="IRLotus" w:hAnsi="IRLotus" w:cs="B Nazanin"/>
          <w:sz w:val="32"/>
          <w:szCs w:val="32"/>
          <w:rtl/>
        </w:rPr>
        <w:t>(عج)</w:t>
      </w:r>
      <w:r w:rsidRPr="00935F0B">
        <w:rPr>
          <w:rFonts w:ascii="IRLotus" w:hAnsi="IRLotus" w:cs="B Nazanin"/>
          <w:sz w:val="32"/>
          <w:szCs w:val="32"/>
          <w:rtl/>
        </w:rPr>
        <w:t xml:space="preserve"> و روز تجديد ميثاق‌ با آن‌ امام‌ هُمام‌ و اهداف‌ و آرمان‌هاي‌ بلند اوست.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2"/>
      </w:r>
    </w:p>
    <w:p w14:paraId="01806033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روزي‌ كه‌ در امتداد غدير و بلكه‌ خود</w:t>
      </w:r>
      <w:r w:rsidR="00D91182" w:rsidRPr="00935F0B">
        <w:rPr>
          <w:rFonts w:ascii="IRLotus" w:hAnsi="IRLotus" w:cs="B Nazanin" w:hint="cs"/>
          <w:sz w:val="32"/>
          <w:szCs w:val="32"/>
          <w:rtl/>
        </w:rPr>
        <w:t>،</w:t>
      </w:r>
      <w:r w:rsidRPr="00935F0B">
        <w:rPr>
          <w:rFonts w:ascii="IRLotus" w:hAnsi="IRLotus" w:cs="B Nazanin"/>
          <w:sz w:val="32"/>
          <w:szCs w:val="32"/>
          <w:rtl/>
        </w:rPr>
        <w:t xml:space="preserve"> غديري‌ ديگر است.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3"/>
      </w:r>
    </w:p>
    <w:p w14:paraId="34F74005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 xml:space="preserve"> شايسته‌ است‌ عاشقان‌ مهدوي‌ و منتظران‌ منجي‌ بشريت، در هر كجا هستند به‌ ويژه‌ در كشورهاي‌ اسلامي‌ و بالاخص‌ در اين‌ مرز و بوم‌ كه‌ شيعه‌ خانه‌ امام‌ زمان</w:t>
      </w:r>
      <w:r w:rsidR="00BE6D46" w:rsidRPr="00935F0B">
        <w:rPr>
          <w:rFonts w:ascii="IRLotus" w:hAnsi="IRLotus" w:cs="B Nazanin"/>
          <w:sz w:val="32"/>
          <w:szCs w:val="32"/>
          <w:rtl/>
        </w:rPr>
        <w:t>(عج)</w:t>
      </w:r>
      <w:r w:rsidRPr="00935F0B">
        <w:rPr>
          <w:rFonts w:ascii="IRLotus" w:hAnsi="IRLotus" w:cs="B Nazanin"/>
          <w:sz w:val="32"/>
          <w:szCs w:val="32"/>
          <w:rtl/>
        </w:rPr>
        <w:t xml:space="preserve"> است، با مراسمي‌ ويژه‌ به‌ پاسداشت‌ اين‌ روز بزرگ‌ و عيداللّه‌ الاكبر همت‌ گمارند.</w:t>
      </w:r>
    </w:p>
    <w:p w14:paraId="0C5FE234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بايد در اين‌ روز با امام‌ زمانِ خود، تجديد پيمان‌ كرده‌ و بر مفاد عهد و ميثاق‌ خود - كه‌ به‌ آن‌ها در روايات‌ و دعاها به‌ ويژه‌ دعاي‌ عهد اشاره‌ شده‌ - مروري‌ دوباره‌ داشته‌ باشيم‌ و به‌ بازشناسي‌ و بازخواني‌ حقوق‌ و تعهداتي‌ كه‌ نسبت‌ به‌ آن‌ امام‌ نور و گنجينه عهد الهي‌ و اميد همهِ‌ مستضعفان‌ عالم‌ بر عهده‌ داريم، بپردازيم‌ كه‌؛</w:t>
      </w:r>
    </w:p>
    <w:p w14:paraId="55759076" w14:textId="77777777" w:rsidR="00B2387C" w:rsidRPr="00935F0B" w:rsidRDefault="00B2387C" w:rsidP="00935F0B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همانا عهد در نزد خداوند، پذيرش‌ ولايت‌ اميرالمؤ‌منين</w:t>
      </w:r>
      <w:r w:rsidR="00935F0B">
        <w:rPr>
          <w:rFonts w:ascii="IRLotus" w:hAnsi="IRLotus" w:cs="B Nazanin" w:hint="cs"/>
          <w:sz w:val="32"/>
          <w:szCs w:val="32"/>
          <w:rtl/>
          <w:lang w:bidi="fa-IR"/>
        </w:rPr>
        <w:t>(ع)</w:t>
      </w:r>
      <w:r w:rsidRPr="00935F0B">
        <w:rPr>
          <w:rFonts w:ascii="IRLotus" w:hAnsi="IRLotus" w:cs="B Nazanin"/>
          <w:sz w:val="32"/>
          <w:szCs w:val="32"/>
          <w:rtl/>
        </w:rPr>
        <w:t xml:space="preserve"> و امامان‌ بعد از اوست.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4"/>
      </w:r>
    </w:p>
    <w:p w14:paraId="1A33DD77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 xml:space="preserve">روايتي‌ ديگر چنين‌ مي‌فرمايد: </w:t>
      </w:r>
    </w:p>
    <w:p w14:paraId="52C3F140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ما همان‌ پيمان‌ و عهد خداييم، هر كس‌ به‌ عهد ما وفا كند، به‌ عهد الهي‌ وفا كرده‌ است‌ و هر كس‌ با ما پيمان‌ بشكند، با خداوند پيمان‌ شكسته‌ است.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5"/>
      </w:r>
    </w:p>
    <w:p w14:paraId="420B07FB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در اين‌ جا به‌ برخي‌ عهدها و پيمان‌هاي‌ خود نسبت‌ به‌ امام‌ زمان</w:t>
      </w:r>
      <w:r w:rsidR="00BE6D46" w:rsidRPr="00935F0B">
        <w:rPr>
          <w:rFonts w:ascii="IRLotus" w:hAnsi="IRLotus" w:cs="B Nazanin"/>
          <w:sz w:val="32"/>
          <w:szCs w:val="32"/>
          <w:rtl/>
        </w:rPr>
        <w:t>(عج)</w:t>
      </w:r>
      <w:r w:rsidRPr="00935F0B">
        <w:rPr>
          <w:rFonts w:ascii="IRLotus" w:hAnsi="IRLotus" w:cs="B Nazanin"/>
          <w:sz w:val="32"/>
          <w:szCs w:val="32"/>
          <w:rtl/>
        </w:rPr>
        <w:t xml:space="preserve"> همچنين‌ به‌ زمينه‌ها و ريشه‌هاي‌ آن‌ (معرفت‌ و محبت) و جايگاه‌ و پي‌آمدهاي‌ آن‌ (تبعيت‌ و اطاعت) اشاره‌اي‌ كوتاه‌ </w:t>
      </w:r>
      <w:r w:rsidRPr="00935F0B">
        <w:rPr>
          <w:rFonts w:ascii="IRLotus" w:hAnsi="IRLotus" w:cs="B Nazanin"/>
          <w:sz w:val="32"/>
          <w:szCs w:val="32"/>
          <w:rtl/>
        </w:rPr>
        <w:lastRenderedPageBreak/>
        <w:t>خواهيم‌ داشت‌ و به‌ ترتيب‌ از معرفت، محبت، ولايت، عهد و اطاعت، گفت‌وگو خواهيم‌ كرد، شايد بتوانيم‌ با استعانت‌ از ذات‌ ربوبي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6"/>
      </w:r>
      <w:r w:rsidRPr="00935F0B">
        <w:rPr>
          <w:rFonts w:ascii="IRLotus" w:hAnsi="IRLotus" w:cs="B Nazanin"/>
          <w:sz w:val="32"/>
          <w:szCs w:val="32"/>
          <w:rtl/>
        </w:rPr>
        <w:t xml:space="preserve"> به‌ انجام‌ آن‌ها موفق‌ شويم.</w:t>
      </w:r>
    </w:p>
    <w:p w14:paraId="3C3DF8F5" w14:textId="77777777" w:rsidR="00B2387C" w:rsidRPr="00935F0B" w:rsidRDefault="00B2387C" w:rsidP="00B2387C">
      <w:pPr>
        <w:rPr>
          <w:rFonts w:ascii="IRLotus" w:hAnsi="IRLotus" w:cs="B Nazanin"/>
          <w:color w:val="FF0000"/>
          <w:sz w:val="32"/>
          <w:szCs w:val="32"/>
          <w:rtl/>
        </w:rPr>
      </w:pPr>
      <w:r w:rsidRPr="00935F0B">
        <w:rPr>
          <w:rFonts w:ascii="IRLotus" w:hAnsi="IRLotus" w:cs="B Nazanin"/>
          <w:color w:val="FF0000"/>
          <w:sz w:val="32"/>
          <w:szCs w:val="32"/>
          <w:rtl/>
        </w:rPr>
        <w:t>1. معرفت‌ امام‌</w:t>
      </w:r>
    </w:p>
    <w:p w14:paraId="3084A180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شناخت‌ امام، درك‌ اضطرار به‌ او و آگاهي‌ به‌ حق‌ ولايت‌ اوست؛ ‹‹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عارفاً بحقه</w:t>
      </w:r>
      <w:r w:rsidRPr="00935F0B">
        <w:rPr>
          <w:rFonts w:ascii="IRLotus" w:hAnsi="IRLotus" w:cs="B Nazanin"/>
          <w:sz w:val="32"/>
          <w:szCs w:val="32"/>
          <w:rtl/>
        </w:rPr>
        <w:t>››؛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7"/>
      </w:r>
      <w:r w:rsidRPr="00935F0B">
        <w:rPr>
          <w:rFonts w:ascii="IRLotus" w:hAnsi="IRLotus" w:cs="B Nazanin"/>
          <w:sz w:val="32"/>
          <w:szCs w:val="32"/>
          <w:rtl/>
        </w:rPr>
        <w:t xml:space="preserve"> زيرا امام‌ از ما به‌ ما و مصالحمان‌ آگاه‌تر و نسبت‌ به‌ ما از خودِ ما مهربان‌تر است؛ چرا كه‌ آگاهي‌ او شهودي‌ و وجودي‌ است‌ و محبت‌ او غريزي‌ و محدود نيست، بلكه‌ ربوبي‌ و محيط‌ است. امام‌ از همه كشش‌هاي‌ نفساني‌ آزاد است. او به‌ راه‌هاي‌ آسمان‌ آگاه‌تر ازراه‌هاي‌ زمين‌ است. تلفيق‌ اين‌ آگاهي‌ و آزادي‌ مي‌شود عصمت‌ و همين‌ زيربنا و رمز پذيرش‌ ولايت‌ و سرپرستي‌ آن‌ها و تسليم‌ در برابر آن‌هاست.</w:t>
      </w:r>
    </w:p>
    <w:p w14:paraId="6B3484D0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مردم‌ به‌ سه‌ تكليف‌ مكلفند: معرفت‌ امامان، تسليم‌ در برابر ايشان‌ و واگذاري‌ امور به‌ ايشان‌ در اموري‌ كه‌ اختلاف‌ پيش‌ مي‌آيد.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8"/>
      </w:r>
    </w:p>
    <w:p w14:paraId="58D80D2E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ناآگاهي‌ از حق‌ ولايت‌ امام‌ و جهل‌ در تشخيص‌ و مصداق‌ اين‌ چنين‌ امامي‌ آثار زيانباري‌ همچون‌ چشم‌پوشي‌ از همه‌ دستاوردهاي‌ وحي، مرگ‌ جاهلي، گمراهي‌ و هلاكت‌ و... را در پي‌ دارد:</w:t>
      </w:r>
    </w:p>
    <w:p w14:paraId="737E9405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كسي‌ كه‌ در چهار چيز شك‌ كند، به‌ همهِ‌ آن‌ چه‌ كه‌ خداوند آن‌ را نازل‌ فرموده‌ كافر شده‌ است؛ يكي‌ از آن‌ها شناختن‌ امام‌ در هر عصر و زمان‌ است‌ كه‌ شخص‌ امام‌ را با صفاتي‌ كه‌ داراست‌، بشناسد.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9"/>
      </w:r>
    </w:p>
    <w:p w14:paraId="5A017CC0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كسي‌ كه‌ بميرد و امام‌ زمان‌ خود را نشناسد به‌ مرگ‌ جاهليت‌ مرده‌ است.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0"/>
      </w:r>
    </w:p>
    <w:p w14:paraId="061BB230" w14:textId="77777777" w:rsidR="00B2387C" w:rsidRPr="00935F0B" w:rsidRDefault="00B2387C" w:rsidP="00B2387C">
      <w:pPr>
        <w:rPr>
          <w:rFonts w:ascii="IRLotus" w:hAnsi="IRLotus" w:cs="B Nazanin"/>
          <w:color w:val="FF0000"/>
          <w:sz w:val="32"/>
          <w:szCs w:val="32"/>
          <w:rtl/>
        </w:rPr>
      </w:pPr>
      <w:r w:rsidRPr="00935F0B">
        <w:rPr>
          <w:rFonts w:ascii="IRLotus" w:hAnsi="IRLotus" w:cs="B Nazanin"/>
          <w:color w:val="FF0000"/>
          <w:sz w:val="32"/>
          <w:szCs w:val="32"/>
          <w:rtl/>
        </w:rPr>
        <w:t>2. محبت‌</w:t>
      </w:r>
    </w:p>
    <w:p w14:paraId="6F8F8625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محبت، ادامه معرفت‌ است.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1"/>
      </w:r>
      <w:r w:rsidRPr="00935F0B">
        <w:rPr>
          <w:rFonts w:ascii="IRLotus" w:hAnsi="IRLotus" w:cs="B Nazanin"/>
          <w:sz w:val="32"/>
          <w:szCs w:val="32"/>
          <w:rtl/>
        </w:rPr>
        <w:t xml:space="preserve"> با درك‌ اضطرار به‌ امام‌ و آگاهي‌ از حق‌ ولايت‌ او، محبت‌ امام‌ در دل‌ مي‌نشيند و عشق‌ به‌ او كه‌ عشق‌ به‌ همه خوبي‌ها و زيبايي‌هاست‌ در قلب‌ آدمي‌ ريشه‌ مي‌گستراند. بدون‌ اين‌ معرفت، عشق‌ را دوامي‌ نيست.</w:t>
      </w:r>
    </w:p>
    <w:p w14:paraId="701A27CF" w14:textId="77777777" w:rsidR="00B2387C" w:rsidRPr="00935F0B" w:rsidRDefault="00B2387C" w:rsidP="00935F0B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lastRenderedPageBreak/>
        <w:t>آن‌ چه‌ كه‌ مي‌تواند بر اين‌ محبت‌ بيفزايد، درك اين‌ نكته‌ است‌ كه‌ اين‌ محبت‌ يك‌ طرفه‌ نيست، بلكه‌ دو سويه‌ و طرفيني‌ است. اين‌گونه‌ نيست‌ كه‌ فقط‌ من‌ امام‌ را دوست‌ داشته‌ باشم، بلكه‌ او هم‌ به‌ من‌ محبت‌ دارد و حتي‌ از من‌ به‌ من‌ مهربان‌تر است؛ چون‌ همان‌ طور كه‌ اشاره‌ شد، علاقه‌ من‌ به‌ خودم‌ غريزي‌ است، ولي‌ علاقه‌ امام‌ به‌ من‌ غريزي‌ و محدود نيست‌ كه‌ ربوبي‌ و محيط‌ است‌ و بر اساس‌ سعه‌ وجودي‌ او و برخاسته‌ از معرفت‌ شهودي‌ و وجودي‌ اوست. همين‌ است‌ كه‌ امام‌ صادق</w:t>
      </w:r>
      <w:r w:rsidR="00935F0B">
        <w:rPr>
          <w:rFonts w:ascii="IRLotus" w:hAnsi="IRLotus" w:cs="B Nazanin" w:hint="cs"/>
          <w:sz w:val="32"/>
          <w:szCs w:val="32"/>
          <w:rtl/>
        </w:rPr>
        <w:t>(ع)</w:t>
      </w:r>
      <w:r w:rsidRPr="00935F0B">
        <w:rPr>
          <w:rFonts w:ascii="IRLotus" w:hAnsi="IRLotus" w:cs="B Nazanin"/>
          <w:sz w:val="32"/>
          <w:szCs w:val="32"/>
          <w:rtl/>
        </w:rPr>
        <w:t xml:space="preserve"> مي‌فرمايد: به‌ خدا سوگند! كه‌ من‌ نسبت‌ به‌ شما از خود شما مهربان‌ترم.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2"/>
      </w:r>
    </w:p>
    <w:p w14:paraId="36761F78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سيد بن‌ طاووس‌ نقل‌ مي‌كند: سحرگاهي‌ در سرداب‌ مقدس‌ بودم، ناگاه‌ صداي‌ مولايم‌ را شنيدم‌ كه‌ براي‌ شيعيان‌ خود چنين‌ دعا مي‌كرد:</w:t>
      </w:r>
    </w:p>
    <w:p w14:paraId="6CA20E64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بارالها! شيعيان‌ ما از شعاع‌ نور ما و باقي‌ماندهِ‌ سرشت‌ ما خلق‌ شده‌اند. آن‌ها گناهان‌ زيادي‌ با اتّكاي‌ بر محبّت‌ به‌ ما و ولايت‌ ما انجام‌ داده‌اند. اگر گناهان‌ آن‌ها گناهي‌ است‌ كه‌ در ارتباط‌ با توست، از آن‌ها بگذر كه‌ ما راضي‌ شديم و آن‌چه‌ از گناهان‌ آن‌ها در ارتباط‌ با خودشان‌ هست، خودت‌ بين‌ آن‌ها را اصلاح‌ كن‌ و از خمسي‌ كه‌ حقّ ماست‌ به‌ آن‌ها بده‌ تا راضي‌ شوند و آن‌ها را داخل‌ بهشت‌ بگردان‌ و از آتش‌ جهنّم‌ نجات‌ بده‌ و با دشمنان‌ ما در غضب‌ خود جمع‌ مفرما.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3"/>
      </w:r>
    </w:p>
    <w:p w14:paraId="200EFD54" w14:textId="77777777" w:rsidR="00B2387C" w:rsidRPr="00935F0B" w:rsidRDefault="00B2387C" w:rsidP="00B2387C">
      <w:pPr>
        <w:rPr>
          <w:rFonts w:ascii="IRLotus" w:hAnsi="IRLotus" w:cs="B Nazanin"/>
          <w:color w:val="FF0000"/>
          <w:sz w:val="32"/>
          <w:szCs w:val="32"/>
          <w:rtl/>
        </w:rPr>
      </w:pPr>
      <w:r w:rsidRPr="00935F0B">
        <w:rPr>
          <w:rFonts w:ascii="IRLotus" w:hAnsi="IRLotus" w:cs="B Nazanin"/>
          <w:color w:val="FF0000"/>
          <w:sz w:val="32"/>
          <w:szCs w:val="32"/>
          <w:rtl/>
        </w:rPr>
        <w:t>3. ولايت‌</w:t>
      </w:r>
    </w:p>
    <w:p w14:paraId="7A1941AD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با معرفت‌ و محبت‌ امام‌ به‌ ولايت‌ و سرپرستي‌ او مي‌رسيم. ولايت‌ نه‌ به‌ معناي‌ محبت‌ كه‌ به‌ معناي‌ سرپرستي‌ و توليت‌ در امور و امامت‌ و پيشوايي‌ است، يعني‌ سرپرستي‌ و حاكميت‌ امام‌ بر فرد و جامعه؛ بر فكر و احساس‌ و عمل‌ فرد و خانه‌ و مدرسه‌ و جاي‌ جاي‌ زندگي‌ و متن‌ جامعه.</w:t>
      </w:r>
    </w:p>
    <w:p w14:paraId="35F97299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اين‌ ولايت‌ است‌ كه‌ ركن‌ ركين، اساس‌ دين، كليد و گشايش‌گر و راهنماي‌ همه‌ ابعاد دين‌ است‌ و آن‌ قدر كه‌ به‌ آن، دعوت‌ و سفارش‌ شده‌ به‌ هيچ‌ يك‌ از ديگر ابعاد و اركان‌ دين‌ دعوت‌ نشده‌ است.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4"/>
      </w:r>
    </w:p>
    <w:p w14:paraId="3DAE2F06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اين ولايت است‌ كه اگر كسي‌ تمام‌ شب‌ها به‌ نماز بايستد، همه‌ روزها روزه‌ باشد، همه اموالش‌ را صدقه‌ بدهد و همه‌ عمر حج‌ بگزارد، اما وليّ زمان‌ خود را نشناسد و اعمالش‌ را به‌ سرپرستي‌ و ولايت‌ او انجام‌ ندهد، از اعمالش‌ هيچ‌ بهره‌اي‌ نمي‌برد و از اهل‌ ايمان‌ نخواهد بود.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5"/>
      </w:r>
    </w:p>
    <w:p w14:paraId="5E4ED20B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lastRenderedPageBreak/>
        <w:t>البته اين‌ معناي‌ از ولايت، نه‌ نفي‌ و مسخ‌ انسان‌ است‌ و نه‌ با هويت‌ و انسانيت‌ او در تعارض‌ كه‌ با انتخاب‌ انسان‌ همراه‌ است، زيرا به‌ آگاهي‌ بيش‌تر و به‌ رحمت‌ واسع‌ حق‌ و محبت‌ و عنايت‌ او دست‌ يافته‌ است. به‌ راستي‌ كساني‌ كه‌ هوس‌ها و رؤِ‌ياهاي‌ خود را حاكم‌ كرده‌اند و از پشتوانه‌هاي‌ معرفت‌ و محبت‌ برخوردار نيستند و يا در كوره‌ بلا و امتحان‌ آبديده‌ نشده‌اند، تحمل‌ ولايت‌ و حاكميت‌ امام‌ را ندارند.</w:t>
      </w:r>
    </w:p>
    <w:p w14:paraId="10DCDA2C" w14:textId="77777777" w:rsidR="00B2387C" w:rsidRPr="00935F0B" w:rsidRDefault="00B2387C" w:rsidP="00B2387C">
      <w:pPr>
        <w:rPr>
          <w:rFonts w:ascii="IRLotus" w:hAnsi="IRLotus" w:cs="B Nazanin"/>
          <w:color w:val="FF0000"/>
          <w:sz w:val="32"/>
          <w:szCs w:val="32"/>
          <w:rtl/>
        </w:rPr>
      </w:pPr>
      <w:r w:rsidRPr="00935F0B">
        <w:rPr>
          <w:rFonts w:ascii="IRLotus" w:hAnsi="IRLotus" w:cs="B Nazanin"/>
          <w:color w:val="FF0000"/>
          <w:sz w:val="32"/>
          <w:szCs w:val="32"/>
          <w:rtl/>
        </w:rPr>
        <w:t>4. عهد</w:t>
      </w:r>
    </w:p>
    <w:p w14:paraId="03AA8C3A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معرفت‌ امام‌ و محبت‌ و ولايت‌ او، زمينه‌ساز عهد و پيمان‌ و بيعت‌ با امام‌ مي‌شود، زيرا عشق‌ و ولايت‌ بدون‌ عهده‌داري‌ و مسئوليت‌پذيري، هوسي‌ بيش‌ نيست؛‌ كه«عشق‌ آسان نمود اول، ولي‌ افتاد مشكل‌ها».</w:t>
      </w:r>
    </w:p>
    <w:p w14:paraId="40D23010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عهد، التزام‌ خاص‌ و نوعي‌ تعهدپذيري‌ در مقابل‌ شخص‌ يا كاري‌ است.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6"/>
      </w:r>
      <w:r w:rsidRPr="00935F0B">
        <w:rPr>
          <w:rFonts w:ascii="IRLotus" w:hAnsi="IRLotus" w:cs="B Nazanin"/>
          <w:sz w:val="32"/>
          <w:szCs w:val="32"/>
          <w:rtl/>
        </w:rPr>
        <w:t xml:space="preserve"> بايد خود را به‌ وظايفي‌ كه‌ نسبت‌ به‌ امام‌ داريم‌، ملتزم‌ سازيم‌ و با او براي‌ انجام‌ خواسته‌ها و آرمان‌هايش‌ عهد ببنديم‌ (عهداً) و آن‌ عهد را با اسباب‌ و وسايلي‌ محكم‌ كنيم‌ (عقداً) و در نهايت‌ با او بيعت‌ كرده‌ و دست‌ در دست‌ او نهاده‌ و دل‌ و سر به‌ او بسپاريم‌ (بيعه).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7"/>
      </w:r>
    </w:p>
    <w:p w14:paraId="5A8AA8FB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عهد و عقد و بيعت‌ سه‌ مرتبه‌ از يك‌ حقيقتند كه‌ در شدت‌ و ضعف‌ با يكديگر تفاوت‌ دارند. بايد با بازخواني‌ و تجديد عهد در هر پگاه‌ و بيعتي‌ تا هميشه، هم‌اراده‌ و انگيزه‌ خود را قوي‌ كرد و افزايش‌ داد و هم‌ از غفلت‌ها و سستي‌ها جدا شد و فاصله‌ گرفت.</w:t>
      </w:r>
    </w:p>
    <w:p w14:paraId="148196DA" w14:textId="77777777" w:rsidR="00B2387C" w:rsidRPr="00935F0B" w:rsidRDefault="00B2387C" w:rsidP="00935F0B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پيامبر</w:t>
      </w:r>
      <w:r w:rsidR="00935F0B">
        <w:rPr>
          <w:rFonts w:ascii="IRLotus" w:hAnsi="IRLotus" w:cs="B Nazanin" w:hint="cs"/>
          <w:sz w:val="32"/>
          <w:szCs w:val="32"/>
          <w:rtl/>
        </w:rPr>
        <w:t>(ص)</w:t>
      </w:r>
      <w:r w:rsidRPr="00935F0B">
        <w:rPr>
          <w:rFonts w:ascii="IRLotus" w:hAnsi="IRLotus" w:cs="B Nazanin"/>
          <w:sz w:val="32"/>
          <w:szCs w:val="32"/>
          <w:rtl/>
        </w:rPr>
        <w:t xml:space="preserve"> و اميرمؤ‌منان</w:t>
      </w:r>
      <w:r w:rsidR="00935F0B">
        <w:rPr>
          <w:rFonts w:ascii="IRLotus" w:hAnsi="IRLotus" w:cs="B Nazanin" w:hint="cs"/>
          <w:sz w:val="32"/>
          <w:szCs w:val="32"/>
          <w:rtl/>
        </w:rPr>
        <w:t>(ع)</w:t>
      </w:r>
      <w:r w:rsidRPr="00935F0B">
        <w:rPr>
          <w:rFonts w:ascii="IRLotus" w:hAnsi="IRLotus" w:cs="B Nazanin"/>
          <w:sz w:val="32"/>
          <w:szCs w:val="32"/>
          <w:rtl/>
        </w:rPr>
        <w:t>در بحران‌ها و مواقع‌ حساس‌ با ياران‌ خود تجديد عهد كرده‌ و از آنان‌ بيعتي‌ دوباره‌ مي‌گرفتند، امام‌ مهدي</w:t>
      </w:r>
      <w:r w:rsidR="00935F0B">
        <w:rPr>
          <w:rFonts w:ascii="IRLotus" w:hAnsi="IRLotus" w:cs="B Nazanin" w:hint="cs"/>
          <w:sz w:val="32"/>
          <w:szCs w:val="32"/>
          <w:rtl/>
        </w:rPr>
        <w:t>(عج)</w:t>
      </w:r>
      <w:r w:rsidRPr="00935F0B">
        <w:rPr>
          <w:rFonts w:ascii="IRLotus" w:hAnsi="IRLotus" w:cs="B Nazanin"/>
          <w:sz w:val="32"/>
          <w:szCs w:val="32"/>
          <w:rtl/>
        </w:rPr>
        <w:t xml:space="preserve"> نيز در عصر ظهور به‌ خاطر شرايط‌ سختي‌ كه‌ يارانش‌ پيش‌ رو دارند از آن ها چنين‌ بيعت‌ مي‌گيرد:</w:t>
      </w:r>
    </w:p>
    <w:p w14:paraId="4A84F1BA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...مسلماني‌ را دشنام‌ ندهند،... حريمي‌ را هتك‌ نكنند، به‌ خانه‌اي‌ هجوم‌ نبرند، كسي‌ را به‌ ناحق‌ نزنند، طلا و نقره‌ و گندم‌ و جو انباشت‌ نكنند، مال‌ يتيمان‌ را نخورند،... لباس‌ خز و حرير(لباس‌هاي‌ فاخر و اشرافي) نپوشند،... در زندگي‌ به‌ اندك‌ بسنده‌ كنند،... امر به‌ معروف‌ و نهي‌ از منكر كنند و در راه‌ خدا به‌ شايستگي‌ جهاد نمايند.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8"/>
      </w:r>
    </w:p>
    <w:p w14:paraId="693A3FD0" w14:textId="77777777" w:rsidR="00B2387C" w:rsidRPr="00935F0B" w:rsidRDefault="00B2387C" w:rsidP="00935F0B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lastRenderedPageBreak/>
        <w:t>گفتني‌ است، كساني‌ مي‌توانند در عصر ظهور به‌ اين‌ عهدها عمل‌ كنند كه‌ در عصر غيبت‌ به‌ عهد و پيمان‌هاي‌ خود با امام</w:t>
      </w:r>
      <w:r w:rsidR="00BE6D46" w:rsidRPr="00935F0B">
        <w:rPr>
          <w:rFonts w:ascii="IRLotus" w:hAnsi="IRLotus" w:cs="B Nazanin"/>
          <w:sz w:val="32"/>
          <w:szCs w:val="32"/>
          <w:rtl/>
        </w:rPr>
        <w:t>(عج)</w:t>
      </w:r>
      <w:r w:rsidRPr="00935F0B">
        <w:rPr>
          <w:rFonts w:ascii="IRLotus" w:hAnsi="IRLotus" w:cs="B Nazanin"/>
          <w:sz w:val="32"/>
          <w:szCs w:val="32"/>
          <w:rtl/>
        </w:rPr>
        <w:t xml:space="preserve"> - اين‌ گنجينه‌ عهد الهي‌ و خزانه‌ و جايگاه‌ پيماني‌ كه‌ خداوند بر عهدهِ‌ بندگانش‌ نهاده‌ است‌ - عمل‌ كرده‌ باشند. اهميّت‌ اين‌ پيمان‌ها در عصر غيبت‌ تا آن‌ جا است‌ كه‌ در روايتي‌ از حضرت‌ سجّاد</w:t>
      </w:r>
      <w:r w:rsidR="00935F0B">
        <w:rPr>
          <w:rFonts w:ascii="IRLotus" w:hAnsi="IRLotus" w:cs="B Nazanin" w:hint="cs"/>
          <w:sz w:val="32"/>
          <w:szCs w:val="32"/>
          <w:rtl/>
        </w:rPr>
        <w:t>(ع)</w:t>
      </w:r>
      <w:r w:rsidRPr="00935F0B">
        <w:rPr>
          <w:rFonts w:ascii="IRLotus" w:hAnsi="IRLotus" w:cs="B Nazanin"/>
          <w:sz w:val="32"/>
          <w:szCs w:val="32"/>
          <w:rtl/>
        </w:rPr>
        <w:t>، همانا تنها راه‌ نجات‌ از فتنه‌ها شمرده‌ شده‌ است:</w:t>
      </w:r>
    </w:p>
    <w:p w14:paraId="7AAF0732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اي‌ اباخالد! فتنه‌هايي ‌چون‌ شب‌ تار فرا خواهد رسيد. تنها كساني‌ از آن‌ فتنه‌ها نجات‌ خواهند يافت‌ كه‌ خداوند از آنان‌ پيمان‌ گرفته‌ باشد. آنان‌ چراغ‌هاي‌ هدايت‌ و چشمه‌هاي‌ علم‌ هستند و خداوند آن‌ها را از هر فتنه‌ تاريكي‌ نجات‌ خواهد داد.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19"/>
      </w:r>
    </w:p>
    <w:p w14:paraId="27B3F3F0" w14:textId="77777777" w:rsidR="00BE6D46" w:rsidRPr="00D21148" w:rsidRDefault="00BE6D46" w:rsidP="00B2387C">
      <w:pPr>
        <w:rPr>
          <w:rFonts w:ascii="IRLotus" w:hAnsi="IRLotus" w:cs="B Titr"/>
          <w:color w:val="00B0F0"/>
          <w:sz w:val="32"/>
          <w:szCs w:val="32"/>
          <w:rtl/>
        </w:rPr>
      </w:pPr>
      <w:r w:rsidRPr="00D21148">
        <w:rPr>
          <w:rFonts w:ascii="IRLotus" w:hAnsi="IRLotus" w:cs="B Titr" w:hint="cs"/>
          <w:color w:val="00B0F0"/>
          <w:sz w:val="32"/>
          <w:szCs w:val="32"/>
          <w:rtl/>
        </w:rPr>
        <w:t>مروری بر چند عهد  و پیمان</w:t>
      </w:r>
    </w:p>
    <w:p w14:paraId="3DA211E2" w14:textId="77777777" w:rsidR="00BE6D46" w:rsidRPr="00935F0B" w:rsidRDefault="00BE6D46" w:rsidP="00BE6D46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برخي‌ از عهدهايي‌ ‌ كه‌ ما با امام‌ خود داريم؛ عهدهايي‌ كه‌ با انجام‌ آن‌ها اميد است‌ چشم‌ ما به‌ جمالش‌ روشن‌ شود و شاهد ظهور موفورالسرورش‌ باشيم، كه‌ حضرتش‌ در نامه‌ به‌ شيخ‌ مفيد فرموده‌ است:</w:t>
      </w:r>
    </w:p>
    <w:p w14:paraId="0D94E0D3" w14:textId="77777777" w:rsidR="00BE6D46" w:rsidRPr="00935F0B" w:rsidRDefault="00BE6D46" w:rsidP="00BE6D46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اگر شيعيان‌ ما - كه‌ خداوند آن‌ها را به‌ طاعت‌ و بندگي‌ خويش‌ موفق‌ بدارد - در وفاي‌ عهد و پيماني‌ كه‌ بر عهده‌ دارند، همدل‌ و متحد مي‌شدند، سعادت‌ ديدار ما به‌ تأ‌خير نمي‌افتاد و اين‌ توفيق‌ زودتر نصيب‌ آنان‌ مي‌شد.</w:t>
      </w:r>
      <w:r w:rsidRPr="00935F0B">
        <w:rPr>
          <w:rFonts w:ascii="IRLotus" w:hAnsi="IRLotus" w:cs="B Nazanin"/>
          <w:sz w:val="32"/>
          <w:szCs w:val="32"/>
          <w:vertAlign w:val="superscript"/>
          <w:rtl/>
        </w:rPr>
        <w:footnoteReference w:id="20"/>
      </w:r>
    </w:p>
    <w:p w14:paraId="2381AA56" w14:textId="77777777" w:rsidR="00B2387C" w:rsidRPr="00D21148" w:rsidRDefault="00B2387C" w:rsidP="00B2387C">
      <w:pPr>
        <w:rPr>
          <w:rFonts w:ascii="IRLotus" w:hAnsi="IRLotus" w:cs="B Titr"/>
          <w:color w:val="00B050"/>
          <w:sz w:val="32"/>
          <w:szCs w:val="32"/>
          <w:rtl/>
        </w:rPr>
      </w:pPr>
      <w:r w:rsidRPr="00D21148">
        <w:rPr>
          <w:rFonts w:ascii="IRLotus" w:hAnsi="IRLotus" w:cs="B Titr"/>
          <w:color w:val="00B050"/>
          <w:sz w:val="32"/>
          <w:szCs w:val="32"/>
          <w:rtl/>
        </w:rPr>
        <w:t>انتظار</w:t>
      </w:r>
    </w:p>
    <w:p w14:paraId="40707B1C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انتظار، آماده‌ باش‌ و تحصيل‌ آمادگي‌هاي‌ لازم‌ براي‌ رسيدن‌ به‌ اهداف‌ و خواسته‌هاي‌ مورد نظر است. انتظار، تنها يك‌ حالت‌ روحي‌ نيست، بلكه‌ با توجه‌ به‌ رواياتي‌ كه‌ آن‌ را «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افضل‌الاعمال</w:t>
      </w:r>
      <w:r w:rsidRPr="00935F0B">
        <w:rPr>
          <w:rFonts w:ascii="IRLotus" w:hAnsi="IRLotus" w:cs="B Nazanin"/>
          <w:sz w:val="32"/>
          <w:szCs w:val="32"/>
          <w:rtl/>
        </w:rPr>
        <w:t>» و يا «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احب‌ الاعمال</w:t>
      </w:r>
      <w:r w:rsidRPr="00935F0B">
        <w:rPr>
          <w:rFonts w:ascii="IRLotus" w:hAnsi="IRLotus" w:cs="B Nazanin"/>
          <w:sz w:val="32"/>
          <w:szCs w:val="32"/>
          <w:rtl/>
        </w:rPr>
        <w:t>» مي‌داند، يك‌ حالت‌ روحي‌ جريان‌ يافته‌ و شكل‌ گرفته‌اي‌ است‌ كه‌ از معرفت‌ برخاسته‌ و به‌ اقدام‌ و عمل‌ مي‌انجامد كه‌ بدون‌ اين‌ جزء اخير حقيقت‌ آن‌ تحقق‌ نمي‌يابد. همين‌ است‌ كه‌ مي‌گوييم: انتظار، آمادگيِ آدمي‌ در سه‌ بُعد شناخت، عاطفه‌ و رفتار و تحوّلي‌ در سه‌ حوزه وجودي‌ او؛ بينش‌ و گرايش‌ و عمل‌ است.</w:t>
      </w:r>
    </w:p>
    <w:p w14:paraId="362FC128" w14:textId="77777777" w:rsidR="00B2387C" w:rsidRPr="00D21148" w:rsidRDefault="00B2387C" w:rsidP="00B2387C">
      <w:pPr>
        <w:rPr>
          <w:rFonts w:ascii="IRLotus" w:hAnsi="IRLotus" w:cs="B Titr"/>
          <w:color w:val="00B050"/>
          <w:sz w:val="32"/>
          <w:szCs w:val="32"/>
          <w:rtl/>
        </w:rPr>
      </w:pPr>
      <w:r w:rsidRPr="00D21148">
        <w:rPr>
          <w:rFonts w:ascii="IRLotus" w:hAnsi="IRLotus" w:cs="B Titr"/>
          <w:color w:val="00B050"/>
          <w:sz w:val="32"/>
          <w:szCs w:val="32"/>
          <w:rtl/>
        </w:rPr>
        <w:t>اقتدا</w:t>
      </w:r>
    </w:p>
    <w:p w14:paraId="6111E928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خوشا به‌ حال‌ كسي‌ كه‌ قائم‌ از اهل‌ بيت‌ مرا درك‌ كند و قبل‌ از قيامش‌ به‌ او اقتدا و تأ‌سي‌ نمايد.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21"/>
      </w:r>
    </w:p>
    <w:p w14:paraId="072A8444" w14:textId="77777777" w:rsidR="00B2387C" w:rsidRPr="00935F0B" w:rsidRDefault="00B2387C" w:rsidP="00935F0B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lastRenderedPageBreak/>
        <w:t>امام</w:t>
      </w:r>
      <w:r w:rsidR="00935F0B">
        <w:rPr>
          <w:rFonts w:ascii="IRLotus" w:hAnsi="IRLotus" w:cs="B Nazanin" w:hint="cs"/>
          <w:sz w:val="32"/>
          <w:szCs w:val="32"/>
          <w:rtl/>
        </w:rPr>
        <w:t>(عج)</w:t>
      </w:r>
      <w:r w:rsidRPr="00935F0B">
        <w:rPr>
          <w:rFonts w:ascii="IRLotus" w:hAnsi="IRLotus" w:cs="B Nazanin"/>
          <w:sz w:val="32"/>
          <w:szCs w:val="32"/>
          <w:rtl/>
        </w:rPr>
        <w:t xml:space="preserve"> الگو و مقتداي‌ منتظران‌ و سالكان‌ است. بايد مهدي‌ زيست‌ بود و از عدالت‌ خواهي‌ و بسط‌ و گسترش‌ آن‌ گرفته‌ تا خوراك‌ و پوشاك و سلوك‌ فردي‌ و اجتماعي‌ و جاي‌ جاي‌ زندگي‌ به‌ او تأ‌سي‌ كرد.</w:t>
      </w:r>
    </w:p>
    <w:p w14:paraId="0520EB4A" w14:textId="77777777" w:rsidR="00B2387C" w:rsidRPr="00D21148" w:rsidRDefault="00B2387C" w:rsidP="00B2387C">
      <w:pPr>
        <w:rPr>
          <w:rFonts w:ascii="IRLotus" w:hAnsi="IRLotus" w:cs="B Titr"/>
          <w:color w:val="00B050"/>
          <w:sz w:val="32"/>
          <w:szCs w:val="32"/>
          <w:rtl/>
        </w:rPr>
      </w:pPr>
      <w:r w:rsidRPr="00D21148">
        <w:rPr>
          <w:rFonts w:ascii="IRLotus" w:hAnsi="IRLotus" w:cs="B Titr"/>
          <w:color w:val="00B050"/>
          <w:sz w:val="32"/>
          <w:szCs w:val="32"/>
          <w:rtl/>
        </w:rPr>
        <w:t>زمينه‌‌سازي‌ براي‌ ظهور</w:t>
      </w:r>
    </w:p>
    <w:p w14:paraId="5AEF2D67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گروهي‌ از مشرق‌ به‌ پا مي‌خيزند و زمينه‌ساز حكومت‌ مهدي</w:t>
      </w:r>
      <w:r w:rsidR="00BE6D46" w:rsidRPr="00935F0B">
        <w:rPr>
          <w:rFonts w:ascii="IRLotus" w:hAnsi="IRLotus" w:cs="B Nazanin"/>
          <w:sz w:val="32"/>
          <w:szCs w:val="32"/>
          <w:rtl/>
        </w:rPr>
        <w:t>(عج)</w:t>
      </w:r>
      <w:r w:rsidRPr="00935F0B">
        <w:rPr>
          <w:rFonts w:ascii="IRLotus" w:hAnsi="IRLotus" w:cs="B Nazanin"/>
          <w:sz w:val="32"/>
          <w:szCs w:val="32"/>
          <w:rtl/>
        </w:rPr>
        <w:t xml:space="preserve"> مي‌شوند.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22"/>
      </w:r>
    </w:p>
    <w:p w14:paraId="24ADB91D" w14:textId="77777777" w:rsidR="00B2387C" w:rsidRPr="00D21148" w:rsidRDefault="00B2387C" w:rsidP="00B2387C">
      <w:pPr>
        <w:rPr>
          <w:rFonts w:ascii="IRLotus" w:hAnsi="IRLotus" w:cs="B Titr"/>
          <w:color w:val="00B050"/>
          <w:sz w:val="32"/>
          <w:szCs w:val="32"/>
          <w:rtl/>
        </w:rPr>
      </w:pPr>
      <w:r w:rsidRPr="00D21148">
        <w:rPr>
          <w:rFonts w:ascii="IRLotus" w:hAnsi="IRLotus" w:cs="B Titr"/>
          <w:color w:val="00B050"/>
          <w:sz w:val="32"/>
          <w:szCs w:val="32"/>
          <w:rtl/>
        </w:rPr>
        <w:t>ياري‌ و دفاع‌ از حضرت</w:t>
      </w:r>
    </w:p>
    <w:p w14:paraId="37A34834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در فرازي‌ از دعاي‌ عهد چنين‌ آمده‌ است:</w:t>
      </w:r>
    </w:p>
    <w:p w14:paraId="0E15D55A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«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اللهم‌ اجعلني‌ من‌ انصاره</w:t>
      </w:r>
      <w:r w:rsidRPr="00935F0B">
        <w:rPr>
          <w:rFonts w:ascii="IRLotus" w:hAnsi="IRLotus" w:cs="B Nazanin"/>
          <w:sz w:val="32"/>
          <w:szCs w:val="32"/>
          <w:rtl/>
        </w:rPr>
        <w:t xml:space="preserve"> ›› نصرت‌ و ياري‌ او؛</w:t>
      </w:r>
    </w:p>
    <w:p w14:paraId="76A684BB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«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واعوانه</w:t>
      </w:r>
      <w:r w:rsidRPr="00935F0B">
        <w:rPr>
          <w:rFonts w:ascii="IRLotus" w:hAnsi="IRLotus" w:cs="B Nazanin"/>
          <w:sz w:val="32"/>
          <w:szCs w:val="32"/>
          <w:rtl/>
        </w:rPr>
        <w:t>›› اعانت‌ و ياوري‌ او؛</w:t>
      </w:r>
    </w:p>
    <w:p w14:paraId="6D3EEC1F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«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والذّابين‌ عنه</w:t>
      </w:r>
      <w:r w:rsidRPr="00935F0B">
        <w:rPr>
          <w:rFonts w:ascii="IRLotus" w:hAnsi="IRLotus" w:cs="B Nazanin"/>
          <w:sz w:val="32"/>
          <w:szCs w:val="32"/>
          <w:rtl/>
        </w:rPr>
        <w:t>›› دفاع‌ و حمايت‌ از او؛</w:t>
      </w:r>
    </w:p>
    <w:p w14:paraId="21F55A93" w14:textId="77777777" w:rsidR="00B2387C" w:rsidRPr="00935F0B" w:rsidRDefault="00B2387C" w:rsidP="00B2387C">
      <w:pPr>
        <w:rPr>
          <w:rFonts w:ascii="IRLotus" w:hAnsi="IRLotus" w:cs="B Nazanin"/>
          <w:spacing w:val="-4"/>
          <w:sz w:val="32"/>
          <w:szCs w:val="32"/>
          <w:rtl/>
        </w:rPr>
      </w:pPr>
      <w:r w:rsidRPr="00935F0B">
        <w:rPr>
          <w:rFonts w:ascii="IRLotus" w:hAnsi="IRLotus" w:cs="B Nazanin"/>
          <w:spacing w:val="-4"/>
          <w:sz w:val="32"/>
          <w:szCs w:val="32"/>
          <w:rtl/>
        </w:rPr>
        <w:t>«</w:t>
      </w:r>
      <w:r w:rsidRPr="00935F0B">
        <w:rPr>
          <w:rStyle w:val="Char"/>
          <w:rFonts w:ascii="IRLotus" w:hAnsi="IRLotus" w:cs="B Nazanin"/>
          <w:spacing w:val="-4"/>
          <w:sz w:val="32"/>
          <w:szCs w:val="32"/>
          <w:rtl/>
        </w:rPr>
        <w:t>والمسارعين‌ اليه‌ في‌ قضاء حوائجه</w:t>
      </w:r>
      <w:r w:rsidRPr="00935F0B">
        <w:rPr>
          <w:rFonts w:ascii="IRLotus" w:hAnsi="IRLotus" w:cs="B Nazanin"/>
          <w:spacing w:val="-4"/>
          <w:sz w:val="32"/>
          <w:szCs w:val="32"/>
          <w:rtl/>
        </w:rPr>
        <w:t>›› شتاب‌ به‌ سوي‌ او در برآوردن‌ حاجاتش؛</w:t>
      </w:r>
    </w:p>
    <w:p w14:paraId="5CA06FE0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«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والممتثلين‌ لاوامره</w:t>
      </w:r>
      <w:r w:rsidRPr="00935F0B">
        <w:rPr>
          <w:rFonts w:ascii="IRLotus" w:hAnsi="IRLotus" w:cs="B Nazanin"/>
          <w:sz w:val="32"/>
          <w:szCs w:val="32"/>
          <w:rtl/>
        </w:rPr>
        <w:t>›› اطاعت‌ از فرامين‌ و دستورهايش؛</w:t>
      </w:r>
    </w:p>
    <w:p w14:paraId="11F0C03D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«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والمحامين‌ عنه</w:t>
      </w:r>
      <w:r w:rsidRPr="00935F0B">
        <w:rPr>
          <w:rFonts w:ascii="IRLotus" w:hAnsi="IRLotus" w:cs="B Nazanin"/>
          <w:sz w:val="32"/>
          <w:szCs w:val="32"/>
          <w:rtl/>
        </w:rPr>
        <w:t>›› حمايت‌ بي‌ دريغ‌ از او؛</w:t>
      </w:r>
    </w:p>
    <w:p w14:paraId="5C0BB229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«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والسابقين‌ الي‌ ارادته</w:t>
      </w:r>
      <w:r w:rsidRPr="00935F0B">
        <w:rPr>
          <w:rFonts w:ascii="IRLotus" w:hAnsi="IRLotus" w:cs="B Nazanin"/>
          <w:sz w:val="32"/>
          <w:szCs w:val="32"/>
          <w:rtl/>
        </w:rPr>
        <w:t>››پيشي‌ گرفتن‌ به‌ خواست‌ و اراده‌اش؛</w:t>
      </w:r>
    </w:p>
    <w:p w14:paraId="47BEAC1B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«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والمستشهدين‌ بين‌ يديه</w:t>
      </w:r>
      <w:r w:rsidRPr="00935F0B">
        <w:rPr>
          <w:rFonts w:ascii="IRLotus" w:hAnsi="IRLotus" w:cs="B Nazanin"/>
          <w:sz w:val="32"/>
          <w:szCs w:val="32"/>
          <w:rtl/>
        </w:rPr>
        <w:t>›› شهادت‌ در پيشگاه‌ و حضور نازنينش.</w:t>
      </w:r>
    </w:p>
    <w:p w14:paraId="78DD6025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پيروي‌ از ولي‌ فقيه</w:t>
      </w:r>
    </w:p>
    <w:p w14:paraId="5FBE7190" w14:textId="77777777" w:rsidR="00B2387C" w:rsidRPr="00935F0B" w:rsidRDefault="00B2387C" w:rsidP="00BE6D46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در رخدادهاي‌ تازه، به‌ راويان‌ حديث‌ ما (فقها) رجوع‌ كنيد كه‌ ايشان‌ حجت‌ من‌ بر شما و من‌ حجت‌ خدا بر شما هستم.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23"/>
      </w:r>
    </w:p>
    <w:p w14:paraId="2817808C" w14:textId="77777777" w:rsidR="00B2387C" w:rsidRPr="00935F0B" w:rsidRDefault="00B2387C" w:rsidP="00B2387C">
      <w:pPr>
        <w:rPr>
          <w:rFonts w:ascii="IRLotus" w:hAnsi="IRLotus" w:cs="B Nazanin"/>
          <w:color w:val="FF0000"/>
          <w:sz w:val="32"/>
          <w:szCs w:val="32"/>
          <w:rtl/>
        </w:rPr>
      </w:pPr>
      <w:r w:rsidRPr="00935F0B">
        <w:rPr>
          <w:rFonts w:ascii="IRLotus" w:hAnsi="IRLotus" w:cs="B Nazanin"/>
          <w:color w:val="FF0000"/>
          <w:sz w:val="32"/>
          <w:szCs w:val="32"/>
          <w:rtl/>
        </w:rPr>
        <w:t>5. اطاعت‌</w:t>
      </w:r>
    </w:p>
    <w:p w14:paraId="28AB4F88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با معرفت‌ و محبت‌ و ولايت‌ امام، به‌ عهد و پيمان‌ با او و آن‌گاه‌ تبعيت‌ و اطاعت‌ او مي‌رسيم. عهد و اطاعت، تجلي‌ و نمود عشق‌ و محبت‌ است. هر چه‌ عاشق‌تر، متعهدتر و مطيع‌تر.</w:t>
      </w:r>
    </w:p>
    <w:p w14:paraId="4F16D19F" w14:textId="77777777" w:rsidR="00B2387C" w:rsidRPr="00935F0B" w:rsidRDefault="00B2387C" w:rsidP="00935F0B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امام‌ باقر</w:t>
      </w:r>
      <w:r w:rsidR="00935F0B">
        <w:rPr>
          <w:rFonts w:ascii="IRLotus" w:hAnsi="IRLotus" w:cs="B Nazanin" w:hint="cs"/>
          <w:sz w:val="32"/>
          <w:szCs w:val="32"/>
          <w:rtl/>
        </w:rPr>
        <w:t>(ع)</w:t>
      </w:r>
      <w:r w:rsidRPr="00935F0B">
        <w:rPr>
          <w:rFonts w:ascii="IRLotus" w:hAnsi="IRLotus" w:cs="B Nazanin"/>
          <w:sz w:val="32"/>
          <w:szCs w:val="32"/>
          <w:rtl/>
        </w:rPr>
        <w:t xml:space="preserve"> به‌ جابر مي‌فرمايد:«به‌ خدا قسم! تنها با عمل‌ است‌ كه‌ مي‌توان‌ به‌ ولايت‌ ما رسيد».</w:t>
      </w:r>
    </w:p>
    <w:p w14:paraId="3974A9F6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در روايت‌ ديگري‌ از حضرتش‌ سؤ‌ال‌ شد: حق‌ امام‌ بر مردم‌ چيست؟</w:t>
      </w:r>
    </w:p>
    <w:p w14:paraId="4BA91D1B" w14:textId="77777777" w:rsidR="00BE6D46" w:rsidRPr="00935F0B" w:rsidRDefault="00B2387C" w:rsidP="00BE6D46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حضرت‌ فرمود: حق‌ امام‌ بر مردم‌ اين‌ است‌ كه‌ سخنش‌ را بشنوند و اطاعت‌ كنند.</w:t>
      </w:r>
      <w:r w:rsidRPr="00935F0B">
        <w:rPr>
          <w:rStyle w:val="FootnoteReference"/>
          <w:rFonts w:ascii="IRLotus" w:hAnsi="IRLotus" w:cs="B Nazanin"/>
          <w:sz w:val="32"/>
          <w:szCs w:val="32"/>
          <w:rtl/>
        </w:rPr>
        <w:footnoteReference w:id="24"/>
      </w:r>
    </w:p>
    <w:p w14:paraId="31CE6D60" w14:textId="77777777" w:rsidR="00B2387C" w:rsidRPr="00935F0B" w:rsidRDefault="00B2387C" w:rsidP="00BE6D46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lastRenderedPageBreak/>
        <w:t xml:space="preserve">اطاعت‌ امام؛ يعني‌ خود را وقف‌ امام‌ و خواسته‌هاي‌ او كردن‌ </w:t>
      </w:r>
      <w:r w:rsidRPr="00935F0B">
        <w:rPr>
          <w:rStyle w:val="Char"/>
          <w:rFonts w:ascii="IRLotus" w:hAnsi="IRLotus" w:cs="B Nazanin"/>
          <w:sz w:val="32"/>
          <w:szCs w:val="32"/>
          <w:rtl/>
        </w:rPr>
        <w:t>«رحم‌ اللّه‌ عبداً حبس‌ نفسه‌ علينا»</w:t>
      </w:r>
      <w:r w:rsidRPr="00935F0B">
        <w:rPr>
          <w:rFonts w:ascii="IRLotus" w:hAnsi="IRLotus" w:cs="B Nazanin"/>
          <w:sz w:val="32"/>
          <w:szCs w:val="32"/>
          <w:rtl/>
        </w:rPr>
        <w:t xml:space="preserve"> و هميشه‌ و همه‌ جا، ياور و مدافع‌ حريم‌ ولايت‌ بودن‌ و در جهت‌ تحقق‌ خواست‌ها و آرمان‌هاي‌ او كه‌ همان‌ خواسته‌هاي‌ خداست، گام‌ برداشتن.</w:t>
      </w:r>
    </w:p>
    <w:p w14:paraId="5746CA2D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اطاعت‌ امام؛ يعني‌ زمينه‌ ظهور او را فراهم‌ ساختن‌.</w:t>
      </w:r>
    </w:p>
    <w:p w14:paraId="51C6F311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اطاعت‌ امام؛ يعني‌ بسط‌ عدالت‌ و فرهنگ‌ عدل‌ پذيري‌ در جامعه‌ و نهادينه‌ كردن‌ آن.</w:t>
      </w:r>
    </w:p>
    <w:p w14:paraId="5867C165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اطاعت‌ امام؛ يعني‌ تلاش‌ در جهت‌ اصلاح‌ خود و جامعه.</w:t>
      </w:r>
    </w:p>
    <w:p w14:paraId="1F7320F3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اطاعت‌ امام؛ يعني‌ حاكميت‌ ولايت‌ معصوم‌ در فكر و انديشه، عاطفه‌ و احساس، اقدام‌ و عمل.</w:t>
      </w:r>
    </w:p>
    <w:p w14:paraId="1EC3DB47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اطاعت‌ امام؛ يعني‌ جلوه‌ خواست‌ امام‌ در جاي‌ جاي‌ زندگي‌ از خانه‌ و مدرسه‌ گرفته‌ تا كوچه‌ و بازار.</w:t>
      </w:r>
    </w:p>
    <w:p w14:paraId="5ABFF3D4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اطاعت‌ امام؛ يعني‌ برنامه‌ ريزي‌ راهبردي‌ نظام‌ در جهت‌ انتظار و اهداف‌ امام‌ و قرار گرفتن‌ همه‌ نهادها در همين‌ راستا از حوزه‌ و دانشگاه‌ گرفته‌ تا آموزش‌ و پرورش‌ و ارشاد و سازمان‌ تبليغات‌ و صدا و سيما و... .</w:t>
      </w:r>
    </w:p>
    <w:p w14:paraId="10F9FF55" w14:textId="77777777" w:rsidR="00B2387C" w:rsidRPr="00935F0B" w:rsidRDefault="00B2387C" w:rsidP="00B2387C">
      <w:pPr>
        <w:rPr>
          <w:rFonts w:ascii="IRLotus" w:hAnsi="IRLotus" w:cs="B Nazanin"/>
          <w:sz w:val="32"/>
          <w:szCs w:val="32"/>
          <w:rtl/>
        </w:rPr>
      </w:pPr>
      <w:r w:rsidRPr="00935F0B">
        <w:rPr>
          <w:rFonts w:ascii="IRLotus" w:hAnsi="IRLotus" w:cs="B Nazanin"/>
          <w:sz w:val="32"/>
          <w:szCs w:val="32"/>
          <w:rtl/>
        </w:rPr>
        <w:t>اطاعت‌ امام؛ يعني‌ بسيج‌ همه‌ امكانات‌ و به‌كارگيري‌ تمام‌ توان‌ جامعه‌ براي‌ ايجاد شور و رغبت‌ اجتماعي‌ به‌ ظهور و دولت‌ كريمه‌ و زمينه‌ س</w:t>
      </w:r>
      <w:r w:rsidR="00BE6D46" w:rsidRPr="00935F0B">
        <w:rPr>
          <w:rFonts w:ascii="IRLotus" w:hAnsi="IRLotus" w:cs="B Nazanin"/>
          <w:sz w:val="32"/>
          <w:szCs w:val="32"/>
          <w:rtl/>
        </w:rPr>
        <w:t>ازي‌ آن</w:t>
      </w:r>
    </w:p>
    <w:p w14:paraId="61C52842" w14:textId="77777777" w:rsidR="000A0483" w:rsidRPr="00935F0B" w:rsidRDefault="000A0483" w:rsidP="00B2387C">
      <w:pPr>
        <w:rPr>
          <w:rFonts w:ascii="IRLotus" w:hAnsi="IRLotus" w:cs="B Nazanin"/>
          <w:sz w:val="32"/>
          <w:szCs w:val="32"/>
        </w:rPr>
      </w:pPr>
    </w:p>
    <w:sectPr w:rsidR="000A0483" w:rsidRPr="00935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A5D5" w14:textId="77777777" w:rsidR="00D67A8F" w:rsidRDefault="00D67A8F" w:rsidP="00B2387C">
      <w:r>
        <w:separator/>
      </w:r>
    </w:p>
  </w:endnote>
  <w:endnote w:type="continuationSeparator" w:id="0">
    <w:p w14:paraId="3A275B42" w14:textId="77777777" w:rsidR="00D67A8F" w:rsidRDefault="00D67A8F" w:rsidP="00B2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C577" w14:textId="77777777" w:rsidR="00D67A8F" w:rsidRDefault="00D67A8F" w:rsidP="00B2387C">
      <w:r>
        <w:separator/>
      </w:r>
    </w:p>
  </w:footnote>
  <w:footnote w:type="continuationSeparator" w:id="0">
    <w:p w14:paraId="2EEA5C87" w14:textId="77777777" w:rsidR="00D67A8F" w:rsidRDefault="00D67A8F" w:rsidP="00B2387C">
      <w:r>
        <w:continuationSeparator/>
      </w:r>
    </w:p>
  </w:footnote>
  <w:footnote w:id="1">
    <w:p w14:paraId="46EA5D07" w14:textId="77777777" w:rsidR="00B2387C" w:rsidRPr="00DE748D" w:rsidRDefault="00B2387C" w:rsidP="00115318">
      <w:pPr>
        <w:rPr>
          <w:lang w:bidi="fa-IR"/>
        </w:rPr>
      </w:pPr>
      <w:r w:rsidRPr="00DE748D">
        <w:rPr>
          <w:rStyle w:val="FootnoteReference"/>
          <w:rFonts w:cs="2  Badr"/>
          <w:sz w:val="22"/>
          <w:rtl/>
        </w:rPr>
        <w:t>*</w:t>
      </w:r>
      <w:r>
        <w:rPr>
          <w:rtl/>
        </w:rPr>
        <w:t xml:space="preserve">. </w:t>
      </w:r>
      <w:r w:rsidRPr="00DE748D">
        <w:rPr>
          <w:rFonts w:hint="cs"/>
          <w:rtl/>
        </w:rPr>
        <w:t xml:space="preserve">سید </w:t>
      </w:r>
      <w:r w:rsidRPr="00DE748D">
        <w:rPr>
          <w:rtl/>
        </w:rPr>
        <w:t>مسعود پورسيد آقايي</w:t>
      </w:r>
      <w:r w:rsidRPr="00DE748D">
        <w:rPr>
          <w:rFonts w:hint="cs"/>
          <w:rtl/>
        </w:rPr>
        <w:t>.</w:t>
      </w:r>
    </w:p>
  </w:footnote>
  <w:footnote w:id="2">
    <w:p w14:paraId="27FFBCF2" w14:textId="77777777" w:rsidR="00B2387C" w:rsidRPr="00DE748D" w:rsidRDefault="00B2387C" w:rsidP="00B2387C">
      <w:pPr>
        <w:rPr>
          <w:rtl/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rtl/>
        </w:rPr>
        <w:t>هم‌ چنان‌ كه‌ جماعتي‌ از ايرانيان‌ (از قم‌ و جبال) نخستين‌ گروهي‌ بودند كه‌ پس‌ از شهادت‌ امام‌ عسكري</w:t>
      </w:r>
      <w:r w:rsidR="00BE6D46">
        <w:rPr>
          <w:rFonts w:ascii="Abo-thar" w:hAnsi="Abo-thar"/>
          <w:rtl/>
        </w:rPr>
        <w:t>(ع)</w:t>
      </w:r>
      <w:r w:rsidRPr="00DE748D">
        <w:rPr>
          <w:rtl/>
        </w:rPr>
        <w:t xml:space="preserve"> در جستجوي‌ امام‌ زمان‌ خود بر آمده‌ و به‌ محضرش‌ بار يافتند و بدينسان‌ بيعت‌ خود را اعلام‌ نمودند. (كمال‌الدين، باب‌ 43، ص‌</w:t>
      </w:r>
      <w:r>
        <w:rPr>
          <w:rtl/>
        </w:rPr>
        <w:t xml:space="preserve"> </w:t>
      </w:r>
      <w:r w:rsidRPr="00DE748D">
        <w:rPr>
          <w:rtl/>
        </w:rPr>
        <w:t>476، ح‌ 26) و نيز پس‌ از پيدايش‌ خوارج، شيعيان‌ علي</w:t>
      </w:r>
      <w:r w:rsidR="00BE6D46">
        <w:rPr>
          <w:rFonts w:ascii="Abo-thar" w:hAnsi="Abo-thar"/>
          <w:rtl/>
        </w:rPr>
        <w:t>(ع)</w:t>
      </w:r>
      <w:r w:rsidRPr="00DE748D">
        <w:rPr>
          <w:rtl/>
        </w:rPr>
        <w:t xml:space="preserve"> با آن‌ حضرت‌ بيعتي‌ دوباره‌ كردند</w:t>
      </w:r>
      <w:r>
        <w:rPr>
          <w:rFonts w:hint="cs"/>
          <w:rtl/>
        </w:rPr>
        <w:t>.(</w:t>
      </w:r>
      <w:r w:rsidRPr="00DE748D">
        <w:rPr>
          <w:rtl/>
        </w:rPr>
        <w:t>تاريخ‌ طبري، ج‌ 4، ص‌ 326</w:t>
      </w:r>
      <w:r>
        <w:rPr>
          <w:rFonts w:hint="cs"/>
          <w:rtl/>
        </w:rPr>
        <w:t>)</w:t>
      </w:r>
      <w:r w:rsidRPr="00DE748D">
        <w:rPr>
          <w:rtl/>
        </w:rPr>
        <w:t>.</w:t>
      </w:r>
    </w:p>
  </w:footnote>
  <w:footnote w:id="3">
    <w:p w14:paraId="19005CDE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بحارالانوار</w:t>
      </w:r>
      <w:r w:rsidRPr="00DE748D">
        <w:rPr>
          <w:rtl/>
        </w:rPr>
        <w:t>،</w:t>
      </w:r>
      <w:r>
        <w:rPr>
          <w:rtl/>
        </w:rPr>
        <w:t xml:space="preserve"> </w:t>
      </w:r>
      <w:r w:rsidRPr="00DE748D">
        <w:rPr>
          <w:rtl/>
        </w:rPr>
        <w:t>ج‌ 95، ص‌ 354.</w:t>
      </w:r>
    </w:p>
  </w:footnote>
  <w:footnote w:id="4">
    <w:p w14:paraId="3DF77908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 w:rsidRPr="00DE748D">
        <w:rPr>
          <w:rFonts w:hint="cs"/>
          <w:rtl/>
        </w:rPr>
        <w:t xml:space="preserve">. </w:t>
      </w:r>
      <w:r w:rsidRPr="00DE748D">
        <w:rPr>
          <w:i/>
          <w:iCs/>
          <w:rtl/>
        </w:rPr>
        <w:t>تفسير نورالثقلين</w:t>
      </w:r>
      <w:r w:rsidRPr="00DE748D">
        <w:rPr>
          <w:rtl/>
        </w:rPr>
        <w:t xml:space="preserve"> ، ج‌ 3، ص‌ 362.</w:t>
      </w:r>
    </w:p>
  </w:footnote>
  <w:footnote w:id="5">
    <w:p w14:paraId="59EAED37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كافي</w:t>
      </w:r>
      <w:r w:rsidRPr="00DE748D">
        <w:rPr>
          <w:rtl/>
        </w:rPr>
        <w:t>، ج‌ 1، ص‌ 221</w:t>
      </w:r>
      <w:r w:rsidRPr="00DE748D">
        <w:rPr>
          <w:rFonts w:hint="cs"/>
          <w:rtl/>
        </w:rPr>
        <w:t>.</w:t>
      </w:r>
    </w:p>
  </w:footnote>
  <w:footnote w:id="6">
    <w:p w14:paraId="249B317F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rtl/>
        </w:rPr>
        <w:t>‹‹ و اعنّا علي‌ تأ‌ديه حقوقه‌ اليه››</w:t>
      </w:r>
      <w:r w:rsidRPr="00DE748D">
        <w:rPr>
          <w:rFonts w:hint="cs"/>
          <w:rtl/>
        </w:rPr>
        <w:t>؛(مفاتیح الجنان،</w:t>
      </w:r>
      <w:r w:rsidRPr="00DE748D">
        <w:rPr>
          <w:rtl/>
        </w:rPr>
        <w:t xml:space="preserve"> دعاي‌ ندبه</w:t>
      </w:r>
      <w:r w:rsidRPr="00DE748D">
        <w:rPr>
          <w:rFonts w:hint="cs"/>
          <w:rtl/>
        </w:rPr>
        <w:t>)</w:t>
      </w:r>
      <w:r w:rsidRPr="00DE748D">
        <w:rPr>
          <w:rtl/>
        </w:rPr>
        <w:t>.</w:t>
      </w:r>
    </w:p>
  </w:footnote>
  <w:footnote w:id="7">
    <w:p w14:paraId="70C698CB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وسائل‌ الشيعه</w:t>
      </w:r>
      <w:r w:rsidRPr="00DE748D">
        <w:rPr>
          <w:rtl/>
        </w:rPr>
        <w:t>، ج‌ 10، صص‌ 293 و 294 و 318 و 319</w:t>
      </w:r>
      <w:r w:rsidRPr="00DE748D">
        <w:rPr>
          <w:rFonts w:hint="cs"/>
          <w:rtl/>
        </w:rPr>
        <w:t>.</w:t>
      </w:r>
    </w:p>
  </w:footnote>
  <w:footnote w:id="8">
    <w:p w14:paraId="0DE0A4C7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وسائل‌ الشيعه</w:t>
      </w:r>
      <w:r w:rsidRPr="00DE748D">
        <w:rPr>
          <w:rtl/>
        </w:rPr>
        <w:t>` ، ج‌ 18، ص‌ 45. به‌ نقل‌ از امام‌ باقر</w:t>
      </w:r>
      <w:r w:rsidR="00BE6D46">
        <w:rPr>
          <w:rFonts w:ascii="Abo-thar" w:hAnsi="Abo-thar"/>
          <w:rtl/>
        </w:rPr>
        <w:t>(ع)</w:t>
      </w:r>
      <w:r w:rsidRPr="00DE748D">
        <w:rPr>
          <w:rtl/>
        </w:rPr>
        <w:t>.</w:t>
      </w:r>
    </w:p>
  </w:footnote>
  <w:footnote w:id="9">
    <w:p w14:paraId="7E1E11AC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بحارالانوار</w:t>
      </w:r>
      <w:r w:rsidRPr="00DE748D">
        <w:rPr>
          <w:rtl/>
        </w:rPr>
        <w:t>، ج‌ 72، ص‌ 135.</w:t>
      </w:r>
    </w:p>
  </w:footnote>
  <w:footnote w:id="10">
    <w:p w14:paraId="6298FA34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rFonts w:hint="cs"/>
          <w:rtl/>
        </w:rPr>
        <w:t>همان</w:t>
      </w:r>
      <w:r w:rsidRPr="00DE748D">
        <w:rPr>
          <w:rtl/>
        </w:rPr>
        <w:t>، ج‌ 23، ص‌ 300.</w:t>
      </w:r>
    </w:p>
  </w:footnote>
  <w:footnote w:id="11">
    <w:p w14:paraId="21C38D83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rFonts w:hint="cs"/>
          <w:rtl/>
        </w:rPr>
        <w:t>«</w:t>
      </w:r>
      <w:r w:rsidRPr="00DE748D">
        <w:rPr>
          <w:rtl/>
        </w:rPr>
        <w:t>الحبُّ فرع‌ المعرفه</w:t>
      </w:r>
      <w:r w:rsidRPr="00DE748D">
        <w:rPr>
          <w:rFonts w:hint="cs"/>
          <w:rtl/>
        </w:rPr>
        <w:t>»</w:t>
      </w:r>
      <w:r w:rsidRPr="00DE748D">
        <w:rPr>
          <w:rtl/>
        </w:rPr>
        <w:t>؛</w:t>
      </w:r>
      <w:r w:rsidRPr="00DE748D">
        <w:rPr>
          <w:rFonts w:hint="cs"/>
          <w:rtl/>
        </w:rPr>
        <w:t>(</w:t>
      </w:r>
      <w:r w:rsidRPr="00DE748D">
        <w:rPr>
          <w:i/>
          <w:iCs/>
          <w:rtl/>
        </w:rPr>
        <w:t>مستدرك‌الوسائل</w:t>
      </w:r>
      <w:r w:rsidRPr="00DE748D">
        <w:rPr>
          <w:rtl/>
        </w:rPr>
        <w:t xml:space="preserve"> ، ج‌ 12، ص‌ 168</w:t>
      </w:r>
      <w:r w:rsidRPr="00DE748D">
        <w:rPr>
          <w:rFonts w:hint="cs"/>
          <w:rtl/>
        </w:rPr>
        <w:t>).</w:t>
      </w:r>
    </w:p>
  </w:footnote>
  <w:footnote w:id="12">
    <w:p w14:paraId="66188E4A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بحارالانوار</w:t>
      </w:r>
      <w:r w:rsidRPr="00DE748D">
        <w:rPr>
          <w:rtl/>
        </w:rPr>
        <w:t>، ج‌ 47، ص‌ 78.</w:t>
      </w:r>
    </w:p>
  </w:footnote>
  <w:footnote w:id="13">
    <w:p w14:paraId="57179375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نجم‌ الثاقب</w:t>
      </w:r>
      <w:r w:rsidRPr="00DE748D">
        <w:rPr>
          <w:rtl/>
        </w:rPr>
        <w:t>، ص‌ 455.</w:t>
      </w:r>
    </w:p>
  </w:footnote>
  <w:footnote w:id="14">
    <w:p w14:paraId="3E80E2E5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rtl/>
        </w:rPr>
        <w:t>اصول‌ كافي، ج‌ 2، ص‌ 18.</w:t>
      </w:r>
    </w:p>
  </w:footnote>
  <w:footnote w:id="15">
    <w:p w14:paraId="718D3A8A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وسائل‌ الشيعه</w:t>
      </w:r>
      <w:r w:rsidRPr="00DE748D">
        <w:rPr>
          <w:rtl/>
        </w:rPr>
        <w:t>، ج‌ 18، ص‌ 44.</w:t>
      </w:r>
    </w:p>
  </w:footnote>
  <w:footnote w:id="16">
    <w:p w14:paraId="520BA7AF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التحقيق‌ في‌ كلمات‌ القرآن‌ الكريم</w:t>
      </w:r>
      <w:r w:rsidRPr="00DE748D">
        <w:rPr>
          <w:rtl/>
        </w:rPr>
        <w:t>.</w:t>
      </w:r>
      <w:r>
        <w:rPr>
          <w:rFonts w:hint="cs"/>
          <w:rtl/>
        </w:rPr>
        <w:t xml:space="preserve"> ج 8، ص 246، ذیل ماده عهد.</w:t>
      </w:r>
    </w:p>
  </w:footnote>
  <w:footnote w:id="17">
    <w:p w14:paraId="242CBF9D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 xml:space="preserve">مفاتيح </w:t>
      </w:r>
      <w:r w:rsidRPr="00DE748D">
        <w:rPr>
          <w:rFonts w:hint="cs"/>
          <w:i/>
          <w:iCs/>
          <w:rtl/>
        </w:rPr>
        <w:t>الجنان</w:t>
      </w:r>
      <w:r w:rsidRPr="00DE748D">
        <w:rPr>
          <w:rtl/>
        </w:rPr>
        <w:t>، دعاي‌ عهد.</w:t>
      </w:r>
    </w:p>
  </w:footnote>
  <w:footnote w:id="18">
    <w:p w14:paraId="63BFB81C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منتخب‌ الاثر</w:t>
      </w:r>
      <w:r w:rsidRPr="00DE748D">
        <w:rPr>
          <w:rtl/>
        </w:rPr>
        <w:t>، ص‌ 581</w:t>
      </w:r>
      <w:r w:rsidRPr="00DE748D">
        <w:rPr>
          <w:rFonts w:hint="cs"/>
          <w:rtl/>
        </w:rPr>
        <w:t>.</w:t>
      </w:r>
    </w:p>
  </w:footnote>
  <w:footnote w:id="19">
    <w:p w14:paraId="4D06EE5A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منتخب‌ الاثر</w:t>
      </w:r>
      <w:r w:rsidRPr="00DE748D">
        <w:rPr>
          <w:rtl/>
        </w:rPr>
        <w:t>، ص‌ 386.</w:t>
      </w:r>
    </w:p>
  </w:footnote>
  <w:footnote w:id="20">
    <w:p w14:paraId="1DF2C6EB" w14:textId="77777777" w:rsidR="00BE6D46" w:rsidRPr="00DE748D" w:rsidRDefault="00BE6D46" w:rsidP="00BE6D46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 w:rsidRPr="00DE748D">
        <w:rPr>
          <w:rFonts w:hint="cs"/>
          <w:rtl/>
        </w:rPr>
        <w:t xml:space="preserve">. </w:t>
      </w:r>
      <w:r w:rsidRPr="00DE748D">
        <w:rPr>
          <w:rtl/>
        </w:rPr>
        <w:t xml:space="preserve">طبرسي، </w:t>
      </w:r>
      <w:r w:rsidRPr="00DE748D">
        <w:rPr>
          <w:i/>
          <w:iCs/>
          <w:rtl/>
        </w:rPr>
        <w:t>احتجاج‌</w:t>
      </w:r>
      <w:r w:rsidRPr="00DE748D">
        <w:rPr>
          <w:rtl/>
        </w:rPr>
        <w:t>، ج‌ 2، ص‌ 498.</w:t>
      </w:r>
    </w:p>
  </w:footnote>
  <w:footnote w:id="21">
    <w:p w14:paraId="05C5DF25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 w:rsidRPr="00DE748D">
        <w:rPr>
          <w:rFonts w:hint="cs"/>
          <w:rtl/>
        </w:rPr>
        <w:t xml:space="preserve">. </w:t>
      </w:r>
      <w:r w:rsidRPr="00DE748D">
        <w:rPr>
          <w:i/>
          <w:iCs/>
          <w:rtl/>
        </w:rPr>
        <w:t>بحارالانوار</w:t>
      </w:r>
      <w:r w:rsidRPr="00DE748D">
        <w:rPr>
          <w:rtl/>
        </w:rPr>
        <w:t>، ج‌ 52، ص‌ 130.</w:t>
      </w:r>
    </w:p>
  </w:footnote>
  <w:footnote w:id="22">
    <w:p w14:paraId="130E43A5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 w:rsidRPr="00DE748D">
        <w:rPr>
          <w:rFonts w:hint="cs"/>
          <w:rtl/>
        </w:rPr>
        <w:t xml:space="preserve">. </w:t>
      </w:r>
      <w:r w:rsidRPr="00DE748D">
        <w:rPr>
          <w:i/>
          <w:iCs/>
          <w:rtl/>
        </w:rPr>
        <w:t>منتخب‌ الا‌ثر</w:t>
      </w:r>
      <w:r w:rsidRPr="00DE748D">
        <w:rPr>
          <w:rtl/>
        </w:rPr>
        <w:t>، ص‌ 375.</w:t>
      </w:r>
    </w:p>
  </w:footnote>
  <w:footnote w:id="23">
    <w:p w14:paraId="2545C312" w14:textId="77777777" w:rsidR="00B2387C" w:rsidRPr="00DE748D" w:rsidRDefault="00B2387C" w:rsidP="00935F0B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 w:rsidRPr="00DE748D">
        <w:rPr>
          <w:rFonts w:hint="cs"/>
          <w:rtl/>
        </w:rPr>
        <w:t xml:space="preserve">. </w:t>
      </w:r>
      <w:r w:rsidRPr="00DE748D">
        <w:rPr>
          <w:rtl/>
        </w:rPr>
        <w:t>از توقيعات‌ امام‌ زمان</w:t>
      </w:r>
      <w:r w:rsidR="00935F0B">
        <w:rPr>
          <w:rFonts w:ascii="Abo-thar" w:hAnsi="Abo-thar" w:hint="cs"/>
          <w:rtl/>
        </w:rPr>
        <w:t>(عج)</w:t>
      </w:r>
      <w:r w:rsidRPr="00DE748D">
        <w:rPr>
          <w:rFonts w:hint="cs"/>
          <w:rtl/>
        </w:rPr>
        <w:t>(</w:t>
      </w:r>
      <w:r w:rsidRPr="00DE748D">
        <w:rPr>
          <w:i/>
          <w:iCs/>
          <w:rtl/>
        </w:rPr>
        <w:t>غيب</w:t>
      </w:r>
      <w:r w:rsidRPr="00DE748D">
        <w:rPr>
          <w:rFonts w:hint="cs"/>
          <w:i/>
          <w:iCs/>
          <w:rtl/>
        </w:rPr>
        <w:t>ت</w:t>
      </w:r>
      <w:r w:rsidRPr="00DE748D">
        <w:rPr>
          <w:i/>
          <w:iCs/>
          <w:rtl/>
        </w:rPr>
        <w:t>‌ طوسي</w:t>
      </w:r>
      <w:r w:rsidRPr="00DE748D">
        <w:rPr>
          <w:rtl/>
        </w:rPr>
        <w:t>، ص‌ 291</w:t>
      </w:r>
      <w:r w:rsidRPr="00DE748D">
        <w:rPr>
          <w:rFonts w:hint="cs"/>
          <w:rtl/>
        </w:rPr>
        <w:t>)</w:t>
      </w:r>
      <w:r w:rsidRPr="00DE748D">
        <w:rPr>
          <w:rtl/>
        </w:rPr>
        <w:t>.</w:t>
      </w:r>
    </w:p>
  </w:footnote>
  <w:footnote w:id="24">
    <w:p w14:paraId="005950E0" w14:textId="77777777" w:rsidR="00B2387C" w:rsidRPr="00DE748D" w:rsidRDefault="00B2387C" w:rsidP="00B2387C">
      <w:pPr>
        <w:rPr>
          <w:lang w:bidi="fa-IR"/>
        </w:rPr>
      </w:pPr>
      <w:r w:rsidRPr="00DE748D">
        <w:rPr>
          <w:rStyle w:val="FootnoteReference"/>
          <w:rFonts w:cs="2  Badr"/>
          <w:sz w:val="22"/>
        </w:rPr>
        <w:footnoteRef/>
      </w:r>
      <w:r>
        <w:rPr>
          <w:rtl/>
        </w:rPr>
        <w:t xml:space="preserve">. </w:t>
      </w:r>
      <w:r w:rsidRPr="00DE748D">
        <w:rPr>
          <w:i/>
          <w:iCs/>
          <w:rtl/>
        </w:rPr>
        <w:t>كافي</w:t>
      </w:r>
      <w:r w:rsidRPr="00DE748D">
        <w:rPr>
          <w:rtl/>
        </w:rPr>
        <w:t>، ج‌ 1، ص‌ 405.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3752"/>
    <w:multiLevelType w:val="hybridMultilevel"/>
    <w:tmpl w:val="160292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87C"/>
    <w:rsid w:val="000A0483"/>
    <w:rsid w:val="000C3763"/>
    <w:rsid w:val="00115318"/>
    <w:rsid w:val="001E4BBF"/>
    <w:rsid w:val="00286E4E"/>
    <w:rsid w:val="00935F0B"/>
    <w:rsid w:val="00AB2131"/>
    <w:rsid w:val="00B2387C"/>
    <w:rsid w:val="00BE6D46"/>
    <w:rsid w:val="00BF0E82"/>
    <w:rsid w:val="00D21148"/>
    <w:rsid w:val="00D67A8F"/>
    <w:rsid w:val="00D91182"/>
    <w:rsid w:val="00E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A0CB"/>
  <w15:docId w15:val="{489D5913-BC82-47B3-A35E-1B4888DE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7C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پاورقی"/>
    <w:basedOn w:val="Normal"/>
    <w:rsid w:val="00B2387C"/>
    <w:pPr>
      <w:spacing w:line="192" w:lineRule="auto"/>
    </w:pPr>
    <w:rPr>
      <w:rFonts w:ascii="Adobe Arabic" w:hAnsi="Adobe Arabic" w:cs="B Lotus"/>
      <w:sz w:val="20"/>
      <w:szCs w:val="22"/>
    </w:rPr>
  </w:style>
  <w:style w:type="character" w:styleId="FootnoteReference">
    <w:name w:val="footnote reference"/>
    <w:basedOn w:val="DefaultParagraphFont"/>
    <w:semiHidden/>
    <w:rsid w:val="00B2387C"/>
    <w:rPr>
      <w:rFonts w:cs="Times New Roman"/>
      <w:vertAlign w:val="superscript"/>
    </w:rPr>
  </w:style>
  <w:style w:type="paragraph" w:customStyle="1" w:styleId="a0">
    <w:name w:val="عربی"/>
    <w:basedOn w:val="Normal"/>
    <w:link w:val="Char"/>
    <w:rsid w:val="00B2387C"/>
    <w:pPr>
      <w:widowControl w:val="0"/>
      <w:autoSpaceDE w:val="0"/>
      <w:autoSpaceDN w:val="0"/>
      <w:adjustRightInd w:val="0"/>
      <w:spacing w:line="400" w:lineRule="exact"/>
      <w:ind w:firstLine="170"/>
      <w:jc w:val="lowKashida"/>
    </w:pPr>
    <w:rPr>
      <w:rFonts w:cs="2  Badr"/>
      <w:bCs/>
      <w:szCs w:val="27"/>
      <w:lang w:bidi="fa-IR"/>
    </w:rPr>
  </w:style>
  <w:style w:type="character" w:customStyle="1" w:styleId="Char">
    <w:name w:val="عربی Char"/>
    <w:basedOn w:val="DefaultParagraphFont"/>
    <w:link w:val="a0"/>
    <w:rsid w:val="00B2387C"/>
    <w:rPr>
      <w:rFonts w:ascii="Times New Roman" w:eastAsia="Times New Roman" w:hAnsi="Times New Roman" w:cs="2  Badr"/>
      <w:bCs/>
      <w:sz w:val="24"/>
      <w:szCs w:val="27"/>
      <w:lang w:bidi="fa-IR"/>
    </w:rPr>
  </w:style>
  <w:style w:type="paragraph" w:styleId="ListParagraph">
    <w:name w:val="List Paragraph"/>
    <w:basedOn w:val="Normal"/>
    <w:uiPriority w:val="34"/>
    <w:qFormat/>
    <w:rsid w:val="00AB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Pasokhgoian2</dc:creator>
  <cp:keywords/>
  <dc:description/>
  <cp:lastModifiedBy>Taghi Hatami</cp:lastModifiedBy>
  <cp:revision>7</cp:revision>
  <dcterms:created xsi:type="dcterms:W3CDTF">2019-10-20T10:03:00Z</dcterms:created>
  <dcterms:modified xsi:type="dcterms:W3CDTF">2023-09-13T05:36:00Z</dcterms:modified>
</cp:coreProperties>
</file>