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244AFB" w:rsidRDefault="00821F94" w:rsidP="00821F94">
      <w:pPr>
        <w:bidi/>
        <w:ind w:firstLine="288"/>
        <w:jc w:val="both"/>
        <w:rPr>
          <w:rFonts w:cs="B Nazanin"/>
          <w:sz w:val="28"/>
          <w:szCs w:val="28"/>
          <w:rtl/>
          <w:lang w:bidi="fa-IR"/>
        </w:rPr>
      </w:pPr>
      <w:r w:rsidRPr="00244AFB">
        <w:rPr>
          <w:rFonts w:cs="B Nazanin" w:hint="cs"/>
          <w:sz w:val="28"/>
          <w:szCs w:val="28"/>
          <w:rtl/>
          <w:lang w:bidi="fa-IR"/>
        </w:rPr>
        <w:t>بسم الله الرحمن الرحیم</w:t>
      </w:r>
    </w:p>
    <w:p w:rsidR="00821F94" w:rsidRPr="00244AFB" w:rsidRDefault="00A04D2C" w:rsidP="00FD56DE">
      <w:pPr>
        <w:bidi/>
        <w:ind w:firstLine="288"/>
        <w:jc w:val="both"/>
        <w:rPr>
          <w:rFonts w:cs="B Nazanin"/>
          <w:sz w:val="28"/>
          <w:szCs w:val="28"/>
          <w:rtl/>
          <w:lang w:bidi="fa-IR"/>
        </w:rPr>
      </w:pPr>
      <w:r w:rsidRPr="00244AFB">
        <w:rPr>
          <w:rFonts w:cs="B Nazanin" w:hint="cs"/>
          <w:sz w:val="28"/>
          <w:szCs w:val="28"/>
          <w:rtl/>
          <w:lang w:bidi="fa-IR"/>
        </w:rPr>
        <w:t xml:space="preserve">درس خارج اصول، </w:t>
      </w:r>
      <w:r w:rsidR="00821F94" w:rsidRPr="00244AFB">
        <w:rPr>
          <w:rFonts w:cs="B Nazanin" w:hint="cs"/>
          <w:sz w:val="28"/>
          <w:szCs w:val="28"/>
          <w:rtl/>
          <w:lang w:bidi="fa-IR"/>
        </w:rPr>
        <w:t xml:space="preserve">شنبه </w:t>
      </w:r>
      <w:r w:rsidR="00FD56DE" w:rsidRPr="00244AFB">
        <w:rPr>
          <w:rFonts w:cs="B Nazanin" w:hint="cs"/>
          <w:sz w:val="28"/>
          <w:szCs w:val="28"/>
          <w:rtl/>
          <w:lang w:bidi="fa-IR"/>
        </w:rPr>
        <w:t>12</w:t>
      </w:r>
      <w:r w:rsidR="00821F94" w:rsidRPr="00244AFB">
        <w:rPr>
          <w:rFonts w:cs="B Nazanin" w:hint="cs"/>
          <w:sz w:val="28"/>
          <w:szCs w:val="28"/>
          <w:rtl/>
          <w:lang w:bidi="fa-IR"/>
        </w:rPr>
        <w:t>/</w:t>
      </w:r>
      <w:r w:rsidRPr="00244AFB">
        <w:rPr>
          <w:rFonts w:cs="B Nazanin" w:hint="cs"/>
          <w:sz w:val="28"/>
          <w:szCs w:val="28"/>
          <w:rtl/>
          <w:lang w:bidi="fa-IR"/>
        </w:rPr>
        <w:t>10</w:t>
      </w:r>
      <w:r w:rsidR="00821F94" w:rsidRPr="00244AFB">
        <w:rPr>
          <w:rFonts w:cs="B Nazanin" w:hint="cs"/>
          <w:sz w:val="28"/>
          <w:szCs w:val="28"/>
          <w:rtl/>
          <w:lang w:bidi="fa-IR"/>
        </w:rPr>
        <w:t>/1394</w:t>
      </w:r>
    </w:p>
    <w:p w:rsidR="00AA72A1" w:rsidRPr="003468E5" w:rsidRDefault="00FD56DE" w:rsidP="003B1467">
      <w:pPr>
        <w:bidi/>
        <w:ind w:firstLine="288"/>
        <w:jc w:val="both"/>
        <w:rPr>
          <w:rStyle w:val="Strong"/>
          <w:rFonts w:ascii="Badr" w:hAnsi="Badr" w:cs="B Titr"/>
          <w:b w:val="0"/>
          <w:bCs w:val="0"/>
          <w:color w:val="FF0000"/>
          <w:sz w:val="28"/>
          <w:szCs w:val="28"/>
          <w:rtl/>
        </w:rPr>
      </w:pPr>
      <w:r w:rsidRPr="003468E5">
        <w:rPr>
          <w:rStyle w:val="Strong"/>
          <w:rFonts w:ascii="Badr" w:hAnsi="Badr" w:cs="B Titr" w:hint="cs"/>
          <w:b w:val="0"/>
          <w:bCs w:val="0"/>
          <w:color w:val="FF0000"/>
          <w:sz w:val="28"/>
          <w:szCs w:val="28"/>
          <w:rtl/>
        </w:rPr>
        <w:t>ظهور صیغه امر در وجوب</w:t>
      </w:r>
    </w:p>
    <w:p w:rsidR="001344C8" w:rsidRPr="00244AFB" w:rsidRDefault="00FD56DE" w:rsidP="003468E5">
      <w:pPr>
        <w:bidi/>
        <w:ind w:firstLine="288"/>
        <w:jc w:val="both"/>
        <w:rPr>
          <w:rStyle w:val="Strong"/>
          <w:rFonts w:ascii="Badr" w:hAnsi="Badr" w:cs="B Nazanin"/>
          <w:b w:val="0"/>
          <w:bCs w:val="0"/>
          <w:color w:val="333333"/>
          <w:sz w:val="28"/>
          <w:szCs w:val="28"/>
          <w:rtl/>
          <w:lang w:bidi="fa-IR"/>
        </w:rPr>
      </w:pPr>
      <w:r w:rsidRPr="00244AFB">
        <w:rPr>
          <w:rStyle w:val="Strong"/>
          <w:rFonts w:ascii="Badr" w:hAnsi="Badr" w:cs="B Nazanin" w:hint="cs"/>
          <w:b w:val="0"/>
          <w:bCs w:val="0"/>
          <w:color w:val="333333"/>
          <w:sz w:val="28"/>
          <w:szCs w:val="28"/>
          <w:rtl/>
          <w:lang w:bidi="fa-IR"/>
        </w:rPr>
        <w:t>در کفایه فرموده است : «</w:t>
      </w:r>
      <w:r w:rsidRPr="003468E5">
        <w:rPr>
          <w:rStyle w:val="rfdbold2"/>
          <w:rFonts w:cs="B Nazanin"/>
          <w:color w:val="000080"/>
          <w:sz w:val="28"/>
          <w:szCs w:val="28"/>
          <w:rtl/>
        </w:rPr>
        <w:t>المبحث الثّاني</w:t>
      </w:r>
      <w:r w:rsidRPr="003468E5">
        <w:rPr>
          <w:rStyle w:val="rfdbold2"/>
          <w:rFonts w:cs="B Nazanin"/>
          <w:color w:val="000080"/>
          <w:sz w:val="28"/>
          <w:szCs w:val="28"/>
        </w:rPr>
        <w:t xml:space="preserve"> :</w:t>
      </w:r>
      <w:r w:rsidRPr="003468E5">
        <w:rPr>
          <w:rFonts w:cs="B Nazanin"/>
          <w:color w:val="000080"/>
          <w:sz w:val="28"/>
          <w:szCs w:val="28"/>
        </w:rPr>
        <w:t xml:space="preserve"> </w:t>
      </w:r>
      <w:r w:rsidRPr="003468E5">
        <w:rPr>
          <w:rFonts w:cs="B Nazanin"/>
          <w:color w:val="000080"/>
          <w:sz w:val="28"/>
          <w:szCs w:val="28"/>
          <w:rtl/>
        </w:rPr>
        <w:t>في أن الصيغة حقيقة في الوجوب ، أو في الندب ، أو فيهما ، أو في المشترك بينهما ، وجوه بل أقوال</w:t>
      </w:r>
      <w:r w:rsidRPr="003468E5">
        <w:rPr>
          <w:rStyle w:val="Strong"/>
          <w:rFonts w:ascii="Badr" w:hAnsi="Badr" w:cs="B Nazanin" w:hint="cs"/>
          <w:b w:val="0"/>
          <w:bCs w:val="0"/>
          <w:color w:val="000080"/>
          <w:sz w:val="28"/>
          <w:szCs w:val="28"/>
          <w:rtl/>
          <w:lang w:bidi="fa-IR"/>
        </w:rPr>
        <w:t xml:space="preserve">، لا </w:t>
      </w:r>
      <w:r w:rsidRPr="003468E5">
        <w:rPr>
          <w:rFonts w:cs="B Nazanin"/>
          <w:color w:val="000080"/>
          <w:sz w:val="28"/>
          <w:szCs w:val="28"/>
          <w:rtl/>
        </w:rPr>
        <w:t>يبعد تبادر الوجوب عند استعمالها بلا قرينة</w:t>
      </w:r>
      <w:r w:rsidRPr="00244AFB">
        <w:rPr>
          <w:rStyle w:val="Strong"/>
          <w:rFonts w:ascii="Badr" w:hAnsi="Badr" w:cs="B Nazanin" w:hint="cs"/>
          <w:b w:val="0"/>
          <w:bCs w:val="0"/>
          <w:color w:val="333333"/>
          <w:sz w:val="28"/>
          <w:szCs w:val="28"/>
          <w:rtl/>
          <w:lang w:bidi="fa-IR"/>
        </w:rPr>
        <w:t>»</w:t>
      </w:r>
      <w:r w:rsidR="003468E5">
        <w:rPr>
          <w:rStyle w:val="Strong"/>
          <w:rFonts w:ascii="Badr" w:hAnsi="Badr" w:cs="B Nazanin" w:hint="cs"/>
          <w:b w:val="0"/>
          <w:bCs w:val="0"/>
          <w:color w:val="333333"/>
          <w:sz w:val="28"/>
          <w:szCs w:val="28"/>
          <w:rtl/>
          <w:lang w:bidi="fa-IR"/>
        </w:rPr>
        <w:t xml:space="preserve"> </w:t>
      </w:r>
      <w:r w:rsidRPr="00244AFB">
        <w:rPr>
          <w:rStyle w:val="Strong"/>
          <w:rFonts w:ascii="Badr" w:hAnsi="Badr" w:cs="B Nazanin" w:hint="cs"/>
          <w:b w:val="0"/>
          <w:bCs w:val="0"/>
          <w:color w:val="333333"/>
          <w:sz w:val="28"/>
          <w:szCs w:val="28"/>
          <w:rtl/>
          <w:lang w:bidi="fa-IR"/>
        </w:rPr>
        <w:t>لذا مرحوم آخوند قائل می شوند به اینکه امر حقیقت در وجوب است.</w:t>
      </w:r>
    </w:p>
    <w:p w:rsidR="00FD56DE" w:rsidRPr="00244AFB" w:rsidRDefault="00FD56DE" w:rsidP="00FD56DE">
      <w:pPr>
        <w:bidi/>
        <w:ind w:firstLine="288"/>
        <w:jc w:val="both"/>
        <w:rPr>
          <w:rFonts w:ascii="Badr" w:hAnsi="Badr" w:cs="B Nazanin"/>
          <w:color w:val="333333"/>
          <w:sz w:val="28"/>
          <w:szCs w:val="28"/>
          <w:rtl/>
          <w:lang w:bidi="fa-IR"/>
        </w:rPr>
      </w:pPr>
      <w:r w:rsidRPr="00244AFB">
        <w:rPr>
          <w:rStyle w:val="Strong"/>
          <w:rFonts w:ascii="Badr" w:hAnsi="Badr" w:cs="B Nazanin" w:hint="cs"/>
          <w:b w:val="0"/>
          <w:bCs w:val="0"/>
          <w:color w:val="333333"/>
          <w:sz w:val="28"/>
          <w:szCs w:val="28"/>
          <w:rtl/>
          <w:lang w:bidi="fa-IR"/>
        </w:rPr>
        <w:t>«</w:t>
      </w:r>
      <w:r w:rsidRPr="003468E5">
        <w:rPr>
          <w:rFonts w:cs="B Nazanin"/>
          <w:color w:val="000080"/>
          <w:sz w:val="28"/>
          <w:szCs w:val="28"/>
          <w:rtl/>
        </w:rPr>
        <w:t>ويؤيده عدم صحة الاعتذار عن المخالفة باحتمال إرادة الندب ، مع الاعتراف بعدم دلالته عليه بحال أو مقال</w:t>
      </w:r>
      <w:r w:rsidRPr="00244AFB">
        <w:rPr>
          <w:rStyle w:val="Strong"/>
          <w:rFonts w:ascii="Badr" w:hAnsi="Badr" w:cs="B Nazanin" w:hint="cs"/>
          <w:b w:val="0"/>
          <w:bCs w:val="0"/>
          <w:color w:val="333333"/>
          <w:sz w:val="28"/>
          <w:szCs w:val="28"/>
          <w:rtl/>
          <w:lang w:bidi="fa-IR"/>
        </w:rPr>
        <w:t>» اگر معترف باشند که قرینه ای بر ندب نبوده لکن عبد آن کار را انجام نداد و گفت من احتمال استحباب می دادم، آیا عند العرف عذرش پذیرفته می شود؟ خیر</w:t>
      </w:r>
      <w:r w:rsidRPr="00244AFB">
        <w:rPr>
          <w:rFonts w:ascii="Badr" w:hAnsi="Badr" w:cs="B Nazanin" w:hint="cs"/>
          <w:color w:val="333333"/>
          <w:sz w:val="28"/>
          <w:szCs w:val="28"/>
          <w:rtl/>
          <w:lang w:bidi="fa-IR"/>
        </w:rPr>
        <w:t>، این کشف می کند که متبادر از امر عند عدم القرینه همان وجوب است.</w:t>
      </w:r>
      <w:r w:rsidRPr="00244AFB">
        <w:rPr>
          <w:rStyle w:val="FootnoteReference"/>
          <w:rFonts w:ascii="Badr" w:hAnsi="Badr" w:cs="B Nazanin"/>
          <w:color w:val="333333"/>
          <w:sz w:val="28"/>
          <w:szCs w:val="28"/>
          <w:rtl/>
        </w:rPr>
        <w:t xml:space="preserve"> </w:t>
      </w:r>
      <w:r w:rsidRPr="00244AFB">
        <w:rPr>
          <w:rStyle w:val="FootnoteReference"/>
          <w:rFonts w:ascii="Badr" w:hAnsi="Badr" w:cs="B Nazanin"/>
          <w:color w:val="333333"/>
          <w:sz w:val="28"/>
          <w:szCs w:val="28"/>
          <w:rtl/>
        </w:rPr>
        <w:footnoteReference w:id="1"/>
      </w:r>
    </w:p>
    <w:p w:rsidR="00FD56DE" w:rsidRPr="003468E5" w:rsidRDefault="00244AFB" w:rsidP="00FD56DE">
      <w:pPr>
        <w:bidi/>
        <w:ind w:firstLine="288"/>
        <w:jc w:val="both"/>
        <w:rPr>
          <w:rFonts w:ascii="Badr" w:hAnsi="Badr" w:cs="B Titr"/>
          <w:color w:val="FF0000"/>
          <w:sz w:val="28"/>
          <w:szCs w:val="28"/>
          <w:rtl/>
          <w:lang w:bidi="fa-IR"/>
        </w:rPr>
      </w:pPr>
      <w:r w:rsidRPr="003468E5">
        <w:rPr>
          <w:rFonts w:ascii="Badr" w:hAnsi="Badr" w:cs="B Titr" w:hint="cs"/>
          <w:color w:val="FF0000"/>
          <w:sz w:val="28"/>
          <w:szCs w:val="28"/>
          <w:rtl/>
          <w:lang w:bidi="fa-IR"/>
        </w:rPr>
        <w:t>اشکال صاحب معالم و جواب صاحب کفایه به ایشان</w:t>
      </w:r>
    </w:p>
    <w:p w:rsidR="00FD56DE" w:rsidRPr="00244AFB" w:rsidRDefault="00FD56DE" w:rsidP="00FD56DE">
      <w:pPr>
        <w:bidi/>
        <w:ind w:firstLine="288"/>
        <w:jc w:val="both"/>
        <w:rPr>
          <w:rFonts w:ascii="Badr" w:hAnsi="Badr" w:cs="B Nazanin"/>
          <w:color w:val="333333"/>
          <w:sz w:val="28"/>
          <w:szCs w:val="28"/>
          <w:rtl/>
          <w:lang w:bidi="fa-IR"/>
        </w:rPr>
      </w:pPr>
      <w:r w:rsidRPr="003468E5">
        <w:rPr>
          <w:rFonts w:ascii="Badr" w:hAnsi="Badr" w:cs="B Nazanin" w:hint="cs"/>
          <w:color w:val="000080"/>
          <w:sz w:val="28"/>
          <w:szCs w:val="28"/>
          <w:rtl/>
          <w:lang w:bidi="fa-IR"/>
        </w:rPr>
        <w:t>صاحب معالم ضمن اینکه این مطلب را در امر به طور کلی قبول داشته است</w:t>
      </w:r>
      <w:r w:rsidRPr="00244AFB">
        <w:rPr>
          <w:rFonts w:ascii="Badr" w:hAnsi="Badr" w:cs="B Nazanin" w:hint="cs"/>
          <w:color w:val="333333"/>
          <w:sz w:val="28"/>
          <w:szCs w:val="28"/>
          <w:rtl/>
          <w:lang w:bidi="fa-IR"/>
        </w:rPr>
        <w:t xml:space="preserve"> که بلا قرینه ظهور در وجوب داشته است، لکن ایشان قائل است که اوامر وارده در کتاب و سنّت با اوامر عرفیه تفاوت دارند، چرا؟ زیرا استعمال در ندب بسیار زیاد است و این کثرت استعمال مانع از این می شود که امر مُنصرف به وجوب بشود، در غیر اوامر شرعیه اینگونه نیست لکن در خصوص اوامر شرعیه این مشکل وجود دارد.</w:t>
      </w:r>
    </w:p>
    <w:p w:rsidR="00FD56DE" w:rsidRPr="00244AFB" w:rsidRDefault="00FD56DE" w:rsidP="00FD56DE">
      <w:pPr>
        <w:bidi/>
        <w:ind w:firstLine="288"/>
        <w:jc w:val="both"/>
        <w:rPr>
          <w:rFonts w:ascii="Badr" w:hAnsi="Badr" w:cs="B Nazanin"/>
          <w:color w:val="333333"/>
          <w:sz w:val="28"/>
          <w:szCs w:val="28"/>
          <w:rtl/>
          <w:lang w:bidi="fa-IR"/>
        </w:rPr>
      </w:pPr>
      <w:r w:rsidRPr="00244AFB">
        <w:rPr>
          <w:rFonts w:ascii="Badr" w:hAnsi="Badr" w:cs="B Nazanin" w:hint="cs"/>
          <w:color w:val="333333"/>
          <w:sz w:val="28"/>
          <w:szCs w:val="28"/>
          <w:rtl/>
          <w:lang w:bidi="fa-IR"/>
        </w:rPr>
        <w:t>لهذا اگر امری در کتاب و سنت ببینیم نمی توانیم بگوییم ظهور در وجوب دارد، پس یا باید بگوییم وضع شده برای جامع، یا اینکه توقف بکنیم و بپذیریم که اوامر شرعیه اجمال دارند.</w:t>
      </w:r>
    </w:p>
    <w:p w:rsidR="00FD56DE" w:rsidRPr="00244AFB" w:rsidRDefault="00FD56DE" w:rsidP="00FD56DE">
      <w:pPr>
        <w:bidi/>
        <w:ind w:firstLine="288"/>
        <w:jc w:val="both"/>
        <w:rPr>
          <w:rFonts w:ascii="Badr" w:hAnsi="Badr" w:cs="B Nazanin"/>
          <w:color w:val="333333"/>
          <w:sz w:val="28"/>
          <w:szCs w:val="28"/>
          <w:rtl/>
          <w:lang w:bidi="fa-IR"/>
        </w:rPr>
      </w:pPr>
      <w:r w:rsidRPr="003468E5">
        <w:rPr>
          <w:rFonts w:ascii="Badr" w:hAnsi="Badr" w:cs="B Nazanin" w:hint="cs"/>
          <w:color w:val="000080"/>
          <w:sz w:val="28"/>
          <w:szCs w:val="28"/>
          <w:rtl/>
          <w:lang w:bidi="fa-IR"/>
        </w:rPr>
        <w:t>صاحب کفایه این مطلب را از ایشان نپسندیده</w:t>
      </w:r>
      <w:r w:rsidRPr="00244AFB">
        <w:rPr>
          <w:rFonts w:ascii="Badr" w:hAnsi="Badr" w:cs="B Nazanin" w:hint="cs"/>
          <w:color w:val="333333"/>
          <w:sz w:val="28"/>
          <w:szCs w:val="28"/>
          <w:rtl/>
          <w:lang w:bidi="fa-IR"/>
        </w:rPr>
        <w:t xml:space="preserve"> </w:t>
      </w:r>
      <w:r w:rsidRPr="003468E5">
        <w:rPr>
          <w:rFonts w:ascii="Badr" w:hAnsi="Badr" w:cs="B Nazanin" w:hint="cs"/>
          <w:color w:val="000080"/>
          <w:sz w:val="28"/>
          <w:szCs w:val="28"/>
          <w:rtl/>
          <w:lang w:bidi="fa-IR"/>
        </w:rPr>
        <w:t>و فرموده</w:t>
      </w:r>
      <w:r w:rsidRPr="00244AFB">
        <w:rPr>
          <w:rFonts w:ascii="Badr" w:hAnsi="Badr" w:cs="B Nazanin" w:hint="cs"/>
          <w:color w:val="333333"/>
          <w:sz w:val="28"/>
          <w:szCs w:val="28"/>
          <w:rtl/>
          <w:lang w:bidi="fa-IR"/>
        </w:rPr>
        <w:t xml:space="preserve"> ک</w:t>
      </w:r>
      <w:r w:rsidR="00F1793D" w:rsidRPr="00244AFB">
        <w:rPr>
          <w:rFonts w:ascii="Badr" w:hAnsi="Badr" w:cs="B Nazanin" w:hint="cs"/>
          <w:color w:val="333333"/>
          <w:sz w:val="28"/>
          <w:szCs w:val="28"/>
          <w:rtl/>
          <w:lang w:bidi="fa-IR"/>
        </w:rPr>
        <w:t>ه اولا</w:t>
      </w:r>
      <w:r w:rsidRPr="00244AFB">
        <w:rPr>
          <w:rFonts w:ascii="Badr" w:hAnsi="Badr" w:cs="B Nazanin" w:hint="cs"/>
          <w:color w:val="333333"/>
          <w:sz w:val="28"/>
          <w:szCs w:val="28"/>
          <w:rtl/>
          <w:lang w:bidi="fa-IR"/>
        </w:rPr>
        <w:t xml:space="preserve"> همانطور که در اوامر شرعیه استعمال در ندب زیاد اس</w:t>
      </w:r>
      <w:r w:rsidR="00F1793D" w:rsidRPr="00244AFB">
        <w:rPr>
          <w:rFonts w:ascii="Badr" w:hAnsi="Badr" w:cs="B Nazanin" w:hint="cs"/>
          <w:color w:val="333333"/>
          <w:sz w:val="28"/>
          <w:szCs w:val="28"/>
          <w:rtl/>
          <w:lang w:bidi="fa-IR"/>
        </w:rPr>
        <w:t>ت، استعمال در وجوب هم بسیار است و اینها برابری می کنند با یکدیگر.</w:t>
      </w:r>
    </w:p>
    <w:p w:rsidR="00F1793D" w:rsidRPr="00244AFB" w:rsidRDefault="00F1793D" w:rsidP="00244AFB">
      <w:pPr>
        <w:bidi/>
        <w:ind w:firstLine="288"/>
        <w:jc w:val="both"/>
        <w:rPr>
          <w:rFonts w:ascii="Badr" w:hAnsi="Badr" w:cs="B Nazanin"/>
          <w:color w:val="333333"/>
          <w:sz w:val="28"/>
          <w:szCs w:val="28"/>
          <w:rtl/>
          <w:lang w:bidi="fa-IR"/>
        </w:rPr>
      </w:pPr>
      <w:r w:rsidRPr="00244AFB">
        <w:rPr>
          <w:rFonts w:ascii="Badr" w:hAnsi="Badr" w:cs="B Nazanin" w:hint="cs"/>
          <w:color w:val="333333"/>
          <w:sz w:val="28"/>
          <w:szCs w:val="28"/>
          <w:rtl/>
          <w:lang w:bidi="fa-IR"/>
        </w:rPr>
        <w:t xml:space="preserve">ثانیا استعمال در ندب هر چه هم که زیاد است لکن </w:t>
      </w:r>
      <w:r w:rsidR="00244AFB">
        <w:rPr>
          <w:rFonts w:ascii="Badr" w:hAnsi="Badr" w:cs="B Nazanin" w:hint="cs"/>
          <w:color w:val="333333"/>
          <w:sz w:val="28"/>
          <w:szCs w:val="28"/>
          <w:rtl/>
          <w:lang w:bidi="fa-IR"/>
        </w:rPr>
        <w:t>مع ال</w:t>
      </w:r>
      <w:r w:rsidRPr="00244AFB">
        <w:rPr>
          <w:rFonts w:ascii="Badr" w:hAnsi="Badr" w:cs="B Nazanin" w:hint="cs"/>
          <w:color w:val="333333"/>
          <w:sz w:val="28"/>
          <w:szCs w:val="28"/>
          <w:rtl/>
          <w:lang w:bidi="fa-IR"/>
        </w:rPr>
        <w:t xml:space="preserve">قرینه است، اینگونه نیست که کثرت استعمال در ندب موجب رجحان یا انصراف در ندب بشود زیرا استعمال مع القرینه ضرری به تبادر نمی رساند، مثلا اگر استعمال «اسد» در رجل شجاع زیاد بشود آیا موجب انصراف «اسد» از حیوان مفترس می شود؟ خیر، زیرا </w:t>
      </w:r>
      <w:r w:rsidRPr="00244AFB">
        <w:rPr>
          <w:rFonts w:ascii="Badr" w:hAnsi="Badr" w:cs="B Nazanin" w:hint="cs"/>
          <w:color w:val="333333"/>
          <w:sz w:val="28"/>
          <w:szCs w:val="28"/>
          <w:rtl/>
          <w:lang w:bidi="fa-IR"/>
        </w:rPr>
        <w:lastRenderedPageBreak/>
        <w:t>همیشه مع القرینه در رجل شجاع به کار می رود، مادامی که استعمال «اسد»در رجل شجاع مع القرینه باشد ضرری ظهورش در حیوان مفترس نمی رساند ولو اینکه استعمال مجازی بیش از حقیقی باشد.</w:t>
      </w:r>
      <w:r w:rsidRPr="00244AFB">
        <w:rPr>
          <w:rStyle w:val="FootnoteReference"/>
          <w:rFonts w:ascii="Badr" w:hAnsi="Badr" w:cs="B Nazanin"/>
          <w:color w:val="333333"/>
          <w:sz w:val="28"/>
          <w:szCs w:val="28"/>
          <w:rtl/>
        </w:rPr>
        <w:t xml:space="preserve"> </w:t>
      </w:r>
      <w:r w:rsidRPr="00244AFB">
        <w:rPr>
          <w:rStyle w:val="FootnoteReference"/>
          <w:rFonts w:ascii="Badr" w:hAnsi="Badr" w:cs="B Nazanin"/>
          <w:color w:val="333333"/>
          <w:sz w:val="28"/>
          <w:szCs w:val="28"/>
          <w:rtl/>
        </w:rPr>
        <w:footnoteReference w:id="2"/>
      </w:r>
    </w:p>
    <w:p w:rsidR="00F1793D" w:rsidRPr="003468E5" w:rsidRDefault="00244AFB" w:rsidP="00F1793D">
      <w:pPr>
        <w:bidi/>
        <w:ind w:firstLine="288"/>
        <w:jc w:val="both"/>
        <w:rPr>
          <w:rFonts w:ascii="Badr" w:hAnsi="Badr" w:cs="B Titr"/>
          <w:color w:val="FF0000"/>
          <w:sz w:val="28"/>
          <w:szCs w:val="28"/>
          <w:rtl/>
          <w:lang w:bidi="fa-IR"/>
        </w:rPr>
      </w:pPr>
      <w:r w:rsidRPr="003468E5">
        <w:rPr>
          <w:rFonts w:ascii="Badr" w:hAnsi="Badr" w:cs="B Titr" w:hint="cs"/>
          <w:color w:val="FF0000"/>
          <w:sz w:val="28"/>
          <w:szCs w:val="28"/>
          <w:rtl/>
          <w:lang w:bidi="fa-IR"/>
        </w:rPr>
        <w:t>مبنای محقق نائینی</w:t>
      </w:r>
    </w:p>
    <w:p w:rsidR="00643AD1" w:rsidRDefault="00643AD1" w:rsidP="00044CA9">
      <w:pPr>
        <w:bidi/>
        <w:ind w:firstLine="288"/>
        <w:jc w:val="both"/>
        <w:rPr>
          <w:rFonts w:ascii="Badr" w:hAnsi="Badr" w:cs="B Nazanin"/>
          <w:color w:val="333333"/>
          <w:sz w:val="28"/>
          <w:szCs w:val="28"/>
          <w:rtl/>
          <w:lang w:bidi="fa-IR"/>
        </w:rPr>
      </w:pPr>
      <w:r w:rsidRPr="003468E5">
        <w:rPr>
          <w:rFonts w:ascii="Badr" w:hAnsi="Badr" w:cs="B Nazanin" w:hint="cs"/>
          <w:color w:val="000080"/>
          <w:sz w:val="28"/>
          <w:szCs w:val="28"/>
          <w:rtl/>
          <w:lang w:bidi="fa-IR"/>
        </w:rPr>
        <w:t>قول دیگر قولِ محقق نائینی است</w:t>
      </w:r>
      <w:r w:rsidRPr="00244AFB">
        <w:rPr>
          <w:rFonts w:ascii="Badr" w:hAnsi="Badr" w:cs="B Nazanin" w:hint="cs"/>
          <w:color w:val="333333"/>
          <w:sz w:val="28"/>
          <w:szCs w:val="28"/>
          <w:rtl/>
          <w:lang w:bidi="fa-IR"/>
        </w:rPr>
        <w:t xml:space="preserve"> که باز قبلا اشاره کرده ایم که مستعمل فیه امر خودِ طلب است، لکن وجوب (به معنای استحقاق عقاب علی ترکه) و استحباب از حریم معنی خارج است بلکه یثبت بحکم العقل، امر دلالت بر طلب می کند اما اینکه آیا در ترکِ آن عقاب می شویم یا نمی شویم این را عقل تشخیص می دهد، عقل می گوید چون آمر مولای حقیقی است و ما هم عبدِ حقیقی هستیم لذا قضائا لحق المولویّه باید مطلوب مولی را </w:t>
      </w:r>
      <w:r w:rsidR="00044CA9" w:rsidRPr="00244AFB">
        <w:rPr>
          <w:rFonts w:ascii="Badr" w:hAnsi="Badr" w:cs="B Nazanin" w:hint="cs"/>
          <w:color w:val="333333"/>
          <w:sz w:val="28"/>
          <w:szCs w:val="28"/>
          <w:rtl/>
          <w:lang w:bidi="fa-IR"/>
        </w:rPr>
        <w:t>انجام بدهیم</w:t>
      </w:r>
      <w:r w:rsidRPr="00244AFB">
        <w:rPr>
          <w:rFonts w:ascii="Badr" w:hAnsi="Badr" w:cs="B Nazanin" w:hint="cs"/>
          <w:color w:val="333333"/>
          <w:sz w:val="28"/>
          <w:szCs w:val="28"/>
          <w:rtl/>
          <w:lang w:bidi="fa-IR"/>
        </w:rPr>
        <w:t xml:space="preserve"> و الا مستحق عقاب هستیم مگر اینکه خودِ مولی ترخیصِ در ترک بکند، پس اگر مولی هم طلب نمود و هم ترخیص در ترک داد این نشانه استحباب است، اگر طلب نمود ولی ترخیص در ترک نداد عقل حکم می کند که عبد باید این امر را امتثال بکند در غیر این صورت مستحق عقاب است، این معنای وجوب است از نظر محقق نائینی.</w:t>
      </w:r>
      <w:r w:rsidR="00244AFB" w:rsidRPr="00244AFB">
        <w:rPr>
          <w:rFonts w:ascii="Badr" w:hAnsi="Badr" w:cs="B Nazanin"/>
          <w:color w:val="333333"/>
          <w:sz w:val="28"/>
          <w:szCs w:val="28"/>
          <w:rtl/>
          <w:lang w:bidi="fa-IR"/>
        </w:rPr>
        <w:t xml:space="preserve"> </w:t>
      </w:r>
      <w:r w:rsidR="00244AFB">
        <w:rPr>
          <w:rStyle w:val="FootnoteReference"/>
          <w:rFonts w:ascii="Badr" w:hAnsi="Badr" w:cs="B Nazanin"/>
          <w:color w:val="333333"/>
          <w:sz w:val="28"/>
          <w:szCs w:val="28"/>
          <w:rtl/>
          <w:lang w:bidi="fa-IR"/>
        </w:rPr>
        <w:footnoteReference w:id="3"/>
      </w:r>
    </w:p>
    <w:p w:rsidR="00244AFB" w:rsidRPr="003468E5" w:rsidRDefault="00244AFB" w:rsidP="00244AFB">
      <w:pPr>
        <w:bidi/>
        <w:ind w:firstLine="288"/>
        <w:jc w:val="both"/>
        <w:rPr>
          <w:rFonts w:ascii="Badr" w:hAnsi="Badr" w:cs="B Titr"/>
          <w:color w:val="FF0000"/>
          <w:sz w:val="28"/>
          <w:szCs w:val="28"/>
          <w:rtl/>
          <w:lang w:bidi="fa-IR"/>
        </w:rPr>
      </w:pPr>
      <w:r w:rsidRPr="003468E5">
        <w:rPr>
          <w:rFonts w:ascii="Badr" w:hAnsi="Badr" w:cs="B Titr" w:hint="cs"/>
          <w:color w:val="FF0000"/>
          <w:sz w:val="28"/>
          <w:szCs w:val="28"/>
          <w:rtl/>
          <w:lang w:bidi="fa-IR"/>
        </w:rPr>
        <w:t>مبنای محقق خوئی</w:t>
      </w:r>
    </w:p>
    <w:p w:rsidR="00044CA9" w:rsidRPr="00244AFB" w:rsidRDefault="00B74AEB" w:rsidP="00044CA9">
      <w:pPr>
        <w:bidi/>
        <w:ind w:firstLine="288"/>
        <w:jc w:val="both"/>
        <w:rPr>
          <w:rFonts w:ascii="Badr" w:hAnsi="Badr" w:cs="B Nazanin"/>
          <w:color w:val="333333"/>
          <w:sz w:val="28"/>
          <w:szCs w:val="28"/>
          <w:rtl/>
          <w:lang w:bidi="fa-IR"/>
        </w:rPr>
      </w:pPr>
      <w:r w:rsidRPr="003468E5">
        <w:rPr>
          <w:rFonts w:ascii="Badr" w:hAnsi="Badr" w:cs="B Nazanin" w:hint="cs"/>
          <w:color w:val="000080"/>
          <w:sz w:val="28"/>
          <w:szCs w:val="28"/>
          <w:rtl/>
          <w:lang w:bidi="fa-IR"/>
        </w:rPr>
        <w:t>محقق خوئی نیز همین مبنی را اختیار نموده است</w:t>
      </w:r>
      <w:r w:rsidRPr="00244AFB">
        <w:rPr>
          <w:rFonts w:ascii="Badr" w:hAnsi="Badr" w:cs="B Nazanin" w:hint="cs"/>
          <w:color w:val="333333"/>
          <w:sz w:val="28"/>
          <w:szCs w:val="28"/>
          <w:rtl/>
          <w:lang w:bidi="fa-IR"/>
        </w:rPr>
        <w:t xml:space="preserve"> </w:t>
      </w:r>
      <w:r w:rsidRPr="003468E5">
        <w:rPr>
          <w:rFonts w:ascii="Badr" w:hAnsi="Badr" w:cs="B Nazanin" w:hint="cs"/>
          <w:color w:val="000080"/>
          <w:sz w:val="28"/>
          <w:szCs w:val="28"/>
          <w:rtl/>
          <w:lang w:bidi="fa-IR"/>
        </w:rPr>
        <w:t>با این تفاوت</w:t>
      </w:r>
      <w:r w:rsidRPr="00244AFB">
        <w:rPr>
          <w:rFonts w:ascii="Badr" w:hAnsi="Badr" w:cs="B Nazanin" w:hint="cs"/>
          <w:color w:val="333333"/>
          <w:sz w:val="28"/>
          <w:szCs w:val="28"/>
          <w:rtl/>
          <w:lang w:bidi="fa-IR"/>
        </w:rPr>
        <w:t xml:space="preserve"> که در اصل معنای امر با ایشان مخالف است، محقق نائینی معنای امر را «انشاء الطلب» می داند ولی محقق خوئی که انشاء را «ابراز اعتبار نفسی» می داند امر را معنی می کند به «وضع الفعل علی رقبه العبد»، حالا مطابق مبنای ایشان بعد از آنکه مولی فعل را بر رقبه عبد اعتبار کرد و آن را نیز ابراز نمود، آیا این اعتبار وجوبی است یا ندبی؟ حاکم در این وادی عقل است، ع</w:t>
      </w:r>
      <w:r w:rsidR="00171A6C">
        <w:rPr>
          <w:rFonts w:ascii="Badr" w:hAnsi="Badr" w:cs="B Nazanin" w:hint="cs"/>
          <w:color w:val="333333"/>
          <w:sz w:val="28"/>
          <w:szCs w:val="28"/>
          <w:rtl/>
          <w:lang w:bidi="fa-IR"/>
        </w:rPr>
        <w:t>قل است که حکم می کند که از باب ر</w:t>
      </w:r>
      <w:r w:rsidRPr="00244AFB">
        <w:rPr>
          <w:rFonts w:ascii="Badr" w:hAnsi="Badr" w:cs="B Nazanin" w:hint="cs"/>
          <w:color w:val="333333"/>
          <w:sz w:val="28"/>
          <w:szCs w:val="28"/>
          <w:rtl/>
          <w:lang w:bidi="fa-IR"/>
        </w:rPr>
        <w:t xml:space="preserve">عایت حق مولی عبد مُلزم به اجرای مطلوب مولاست و اگر نکرد مستحقّ عذاب است مگر اینکه مولی خودش ترخیص در ترک بدهد، پس ایشان هم مرجع در حیثیّت استحقاق عقاب و عدم استحقاق عقاب </w:t>
      </w:r>
      <w:r w:rsidRPr="00244AFB">
        <w:rPr>
          <w:rFonts w:ascii="Times New Roman" w:hAnsi="Times New Roman" w:cs="Times New Roman" w:hint="cs"/>
          <w:color w:val="333333"/>
          <w:sz w:val="28"/>
          <w:szCs w:val="28"/>
          <w:rtl/>
          <w:lang w:bidi="fa-IR"/>
        </w:rPr>
        <w:t>–</w:t>
      </w:r>
      <w:r w:rsidRPr="00244AFB">
        <w:rPr>
          <w:rFonts w:ascii="Badr" w:hAnsi="Badr" w:cs="B Nazanin" w:hint="cs"/>
          <w:color w:val="333333"/>
          <w:sz w:val="28"/>
          <w:szCs w:val="28"/>
          <w:rtl/>
          <w:lang w:bidi="fa-IR"/>
        </w:rPr>
        <w:t>که فصلِ وجوب و استحباب می باشند- را عقل می داند.</w:t>
      </w:r>
      <w:r w:rsidR="00244AFB" w:rsidRPr="00244AFB">
        <w:rPr>
          <w:rFonts w:cs="B Nazanin"/>
          <w:color w:val="000000"/>
          <w:sz w:val="28"/>
          <w:szCs w:val="28"/>
          <w:rtl/>
          <w:lang w:bidi="fa-IR"/>
        </w:rPr>
        <w:t xml:space="preserve"> </w:t>
      </w:r>
      <w:r w:rsidR="00244AFB" w:rsidRPr="00585D54">
        <w:rPr>
          <w:rStyle w:val="FootnoteReference"/>
          <w:rFonts w:cs="B Nazanin"/>
          <w:color w:val="000000"/>
          <w:sz w:val="28"/>
          <w:szCs w:val="28"/>
          <w:rtl/>
          <w:lang w:bidi="fa-IR"/>
        </w:rPr>
        <w:footnoteReference w:id="4"/>
      </w:r>
    </w:p>
    <w:p w:rsidR="00B74AEB" w:rsidRPr="003468E5" w:rsidRDefault="00244AFB" w:rsidP="00B74AEB">
      <w:pPr>
        <w:bidi/>
        <w:ind w:firstLine="288"/>
        <w:jc w:val="both"/>
        <w:rPr>
          <w:rFonts w:ascii="Badr" w:hAnsi="Badr" w:cs="B Titr"/>
          <w:color w:val="FF0000"/>
          <w:sz w:val="28"/>
          <w:szCs w:val="28"/>
          <w:lang w:bidi="fa-IR"/>
        </w:rPr>
      </w:pPr>
      <w:r w:rsidRPr="003468E5">
        <w:rPr>
          <w:rFonts w:ascii="Badr" w:hAnsi="Badr" w:cs="B Titr" w:hint="cs"/>
          <w:color w:val="FF0000"/>
          <w:sz w:val="28"/>
          <w:szCs w:val="28"/>
          <w:rtl/>
          <w:lang w:bidi="fa-IR"/>
        </w:rPr>
        <w:t>مبنای محقق عراقی</w:t>
      </w:r>
    </w:p>
    <w:p w:rsidR="00DE5E70" w:rsidRPr="00244AFB" w:rsidRDefault="00DE5E70" w:rsidP="00DE5E70">
      <w:pPr>
        <w:bidi/>
        <w:ind w:firstLine="288"/>
        <w:jc w:val="both"/>
        <w:rPr>
          <w:rFonts w:ascii="Badr" w:hAnsi="Badr" w:cs="B Nazanin"/>
          <w:color w:val="333333"/>
          <w:sz w:val="28"/>
          <w:szCs w:val="28"/>
          <w:rtl/>
          <w:lang w:bidi="fa-IR"/>
        </w:rPr>
      </w:pPr>
      <w:r w:rsidRPr="003468E5">
        <w:rPr>
          <w:rFonts w:ascii="Badr" w:hAnsi="Badr" w:cs="B Nazanin" w:hint="cs"/>
          <w:color w:val="000080"/>
          <w:sz w:val="28"/>
          <w:szCs w:val="28"/>
          <w:rtl/>
          <w:lang w:bidi="fa-IR"/>
        </w:rPr>
        <w:t>محقق عراقی در این رابطه فرموده اند</w:t>
      </w:r>
      <w:r w:rsidRPr="00244AFB">
        <w:rPr>
          <w:rFonts w:ascii="Badr" w:hAnsi="Badr" w:cs="B Nazanin" w:hint="cs"/>
          <w:color w:val="333333"/>
          <w:sz w:val="28"/>
          <w:szCs w:val="28"/>
          <w:rtl/>
          <w:lang w:bidi="fa-IR"/>
        </w:rPr>
        <w:t xml:space="preserve"> که وجوب از بابتِ اطلاقِ صیغه فهمیده می شود، همین که مولی امری را صادر نموده و قیدی به آن اضافه نکرده این دلالت بر وجوب می کند، کانه استحباب محتاج یک قید عدمی است که اگر آن قید نبود امر دلالت بر وجوب می کند.</w:t>
      </w:r>
    </w:p>
    <w:p w:rsidR="00DE5E70" w:rsidRPr="00244AFB" w:rsidRDefault="00DE5E70" w:rsidP="00DE5E70">
      <w:pPr>
        <w:bidi/>
        <w:ind w:firstLine="288"/>
        <w:jc w:val="both"/>
        <w:rPr>
          <w:rFonts w:ascii="Badr" w:hAnsi="Badr" w:cs="B Nazanin"/>
          <w:color w:val="333333"/>
          <w:sz w:val="28"/>
          <w:szCs w:val="28"/>
          <w:rtl/>
          <w:lang w:bidi="fa-IR"/>
        </w:rPr>
      </w:pPr>
      <w:r w:rsidRPr="003468E5">
        <w:rPr>
          <w:rFonts w:ascii="Badr" w:hAnsi="Badr" w:cs="B Nazanin" w:hint="cs"/>
          <w:color w:val="000080"/>
          <w:sz w:val="28"/>
          <w:szCs w:val="28"/>
          <w:rtl/>
          <w:lang w:bidi="fa-IR"/>
        </w:rPr>
        <w:lastRenderedPageBreak/>
        <w:t xml:space="preserve">دلیل </w:t>
      </w:r>
      <w:r w:rsidR="00DF534B" w:rsidRPr="003468E5">
        <w:rPr>
          <w:rFonts w:ascii="Badr" w:hAnsi="Badr" w:cs="B Nazanin" w:hint="cs"/>
          <w:color w:val="000080"/>
          <w:sz w:val="28"/>
          <w:szCs w:val="28"/>
          <w:rtl/>
          <w:lang w:bidi="fa-IR"/>
        </w:rPr>
        <w:t>ای</w:t>
      </w:r>
      <w:r w:rsidRPr="003468E5">
        <w:rPr>
          <w:rFonts w:ascii="Badr" w:hAnsi="Badr" w:cs="B Nazanin" w:hint="cs"/>
          <w:color w:val="000080"/>
          <w:sz w:val="28"/>
          <w:szCs w:val="28"/>
          <w:rtl/>
          <w:lang w:bidi="fa-IR"/>
        </w:rPr>
        <w:t>شان بر این مطلب</w:t>
      </w:r>
      <w:r w:rsidRPr="00244AFB">
        <w:rPr>
          <w:rFonts w:ascii="Badr" w:hAnsi="Badr" w:cs="B Nazanin" w:hint="cs"/>
          <w:color w:val="333333"/>
          <w:sz w:val="28"/>
          <w:szCs w:val="28"/>
          <w:rtl/>
          <w:lang w:bidi="fa-IR"/>
        </w:rPr>
        <w:t xml:space="preserve"> چیست؟ اول اینکه ایشان می فرماید روح طلب اراده است، اراده یعنی «خاستن» یعنی مولی می خواهد و شوق موکد دارد بر اینکه این فعل از عبد صادر بشود، چرا روح طلب اراه است؟ زیرا اگر طلب همراه با اراده نباشد می شود طلب صوری، مانند اوامر امتحانیه، و اگر مولی چیزی را اراده کرد حتی اگر به ل</w:t>
      </w:r>
      <w:r w:rsidR="00DF534B">
        <w:rPr>
          <w:rFonts w:ascii="Badr" w:hAnsi="Badr" w:cs="B Nazanin" w:hint="cs"/>
          <w:color w:val="333333"/>
          <w:sz w:val="28"/>
          <w:szCs w:val="28"/>
          <w:rtl/>
          <w:lang w:bidi="fa-IR"/>
        </w:rPr>
        <w:t>فظ هم نیاورد باز هم بر عبد لازم</w:t>
      </w:r>
      <w:r w:rsidRPr="00244AFB">
        <w:rPr>
          <w:rFonts w:ascii="Badr" w:hAnsi="Badr" w:cs="B Nazanin" w:hint="cs"/>
          <w:color w:val="333333"/>
          <w:sz w:val="28"/>
          <w:szCs w:val="28"/>
          <w:rtl/>
          <w:lang w:bidi="fa-IR"/>
        </w:rPr>
        <w:t xml:space="preserve"> است آن را انجام بدهد، زیرا بعث و انبعاث دایر مدار اراده است نه لفظ، اراده علت تامه است برای انبعاث، پس روح طلب همان اراده و خواست مولی است.</w:t>
      </w:r>
    </w:p>
    <w:p w:rsidR="00DE5E70" w:rsidRPr="00244AFB" w:rsidRDefault="00DE5E70" w:rsidP="00DE5E70">
      <w:pPr>
        <w:bidi/>
        <w:ind w:firstLine="288"/>
        <w:jc w:val="both"/>
        <w:rPr>
          <w:rFonts w:ascii="Badr" w:hAnsi="Badr" w:cs="B Nazanin"/>
          <w:color w:val="333333"/>
          <w:sz w:val="28"/>
          <w:szCs w:val="28"/>
          <w:rtl/>
          <w:lang w:bidi="fa-IR"/>
        </w:rPr>
      </w:pPr>
      <w:r w:rsidRPr="003468E5">
        <w:rPr>
          <w:rFonts w:ascii="Badr" w:hAnsi="Badr" w:cs="B Nazanin" w:hint="cs"/>
          <w:color w:val="000080"/>
          <w:sz w:val="28"/>
          <w:szCs w:val="28"/>
          <w:rtl/>
          <w:lang w:bidi="fa-IR"/>
        </w:rPr>
        <w:t>بعد می فرماید</w:t>
      </w:r>
      <w:r w:rsidRPr="00244AFB">
        <w:rPr>
          <w:rFonts w:ascii="Badr" w:hAnsi="Badr" w:cs="B Nazanin" w:hint="cs"/>
          <w:color w:val="333333"/>
          <w:sz w:val="28"/>
          <w:szCs w:val="28"/>
          <w:rtl/>
          <w:lang w:bidi="fa-IR"/>
        </w:rPr>
        <w:t xml:space="preserve"> حالا که فهمیدیم روحِ طلب اراده است این را اضافه می کنیم که اراده ها به حسب مصالح و مفاسد افعال شدّت و ضعف دارند،  اگر آن مصلحت مصلحتِ شدیده ای باشد اراده بر آن هم می شود اراده شدیده، اگر آن مصلحت ضعیفه باشد اراده بر آن هم می شود اراده ضعیفه.</w:t>
      </w:r>
    </w:p>
    <w:p w:rsidR="00DE5E70" w:rsidRPr="00244AFB" w:rsidRDefault="00DE5E70" w:rsidP="000C4F00">
      <w:pPr>
        <w:bidi/>
        <w:ind w:firstLine="288"/>
        <w:jc w:val="both"/>
        <w:rPr>
          <w:rFonts w:ascii="Badr" w:hAnsi="Badr" w:cs="B Nazanin"/>
          <w:color w:val="333333"/>
          <w:sz w:val="28"/>
          <w:szCs w:val="28"/>
          <w:rtl/>
          <w:lang w:bidi="fa-IR"/>
        </w:rPr>
      </w:pPr>
      <w:r w:rsidRPr="00244AFB">
        <w:rPr>
          <w:rFonts w:ascii="Badr" w:hAnsi="Badr" w:cs="B Nazanin" w:hint="cs"/>
          <w:color w:val="333333"/>
          <w:sz w:val="28"/>
          <w:szCs w:val="28"/>
          <w:rtl/>
          <w:lang w:bidi="fa-IR"/>
        </w:rPr>
        <w:t>مراتب شدت و ضعف در چیزهایی مانندِ نور خارج از ماهیت نور نیستند، شدت و ضعف در نور چیزی خارج از ماهیّت نور نیست، اما شدت و ضعف در اراده قدری تفاوت دارند، اراده شدیده مانند نور</w:t>
      </w:r>
      <w:r w:rsidR="000C4F00" w:rsidRPr="00244AFB">
        <w:rPr>
          <w:rFonts w:ascii="Badr" w:hAnsi="Badr" w:cs="B Nazanin" w:hint="cs"/>
          <w:color w:val="333333"/>
          <w:sz w:val="28"/>
          <w:szCs w:val="28"/>
          <w:rtl/>
          <w:lang w:bidi="fa-IR"/>
        </w:rPr>
        <w:t xml:space="preserve"> است یعنی</w:t>
      </w:r>
      <w:r w:rsidRPr="00244AFB">
        <w:rPr>
          <w:rFonts w:ascii="Badr" w:hAnsi="Badr" w:cs="B Nazanin" w:hint="cs"/>
          <w:color w:val="333333"/>
          <w:sz w:val="28"/>
          <w:szCs w:val="28"/>
          <w:rtl/>
          <w:lang w:bidi="fa-IR"/>
        </w:rPr>
        <w:t xml:space="preserve"> شدت اراده چیزی خارج از </w:t>
      </w:r>
      <w:r w:rsidR="000C4F00" w:rsidRPr="00244AFB">
        <w:rPr>
          <w:rFonts w:ascii="Badr" w:hAnsi="Badr" w:cs="B Nazanin" w:hint="cs"/>
          <w:color w:val="333333"/>
          <w:sz w:val="28"/>
          <w:szCs w:val="28"/>
          <w:rtl/>
          <w:lang w:bidi="fa-IR"/>
        </w:rPr>
        <w:t>ماهیّت اراده</w:t>
      </w:r>
      <w:r w:rsidRPr="00244AFB">
        <w:rPr>
          <w:rFonts w:ascii="Badr" w:hAnsi="Badr" w:cs="B Nazanin" w:hint="cs"/>
          <w:color w:val="333333"/>
          <w:sz w:val="28"/>
          <w:szCs w:val="28"/>
          <w:rtl/>
          <w:lang w:bidi="fa-IR"/>
        </w:rPr>
        <w:t xml:space="preserve"> نیست</w:t>
      </w:r>
      <w:r w:rsidR="000C4F00" w:rsidRPr="00244AFB">
        <w:rPr>
          <w:rFonts w:ascii="Badr" w:hAnsi="Badr" w:cs="B Nazanin" w:hint="cs"/>
          <w:color w:val="333333"/>
          <w:sz w:val="28"/>
          <w:szCs w:val="28"/>
          <w:rtl/>
          <w:lang w:bidi="fa-IR"/>
        </w:rPr>
        <w:t>، بخلاف اراده ضعیفه، اراده ضعیفه نیازمند یه حدّ عدمی است، چرا؟ کانّه ایشان می فرمایند که اراده بطبیعت خودش و بذات خودش اقتضا دارد که تمام ماهیّتش موجود باشد و ما چیزی جز ازاده شدیده نداریم، پس اراده ضعیفه محتاج یک حد عدمی است، چرا؟ زیرا مقتضای ذات اراده این است که تا آخر خط برود ولی یک حدّ عدمی و یک قیدِ عدمی آمده و این اقتضاء را قطع کرده و نگذاشته که این اراده بتمامه و کماله موجود بشود، پس اراده شدیده کلّ الار</w:t>
      </w:r>
      <w:bookmarkStart w:id="0" w:name="_GoBack"/>
      <w:bookmarkEnd w:id="0"/>
      <w:r w:rsidR="000C4F00" w:rsidRPr="00244AFB">
        <w:rPr>
          <w:rFonts w:ascii="Badr" w:hAnsi="Badr" w:cs="B Nazanin" w:hint="cs"/>
          <w:color w:val="333333"/>
          <w:sz w:val="28"/>
          <w:szCs w:val="28"/>
          <w:rtl/>
          <w:lang w:bidi="fa-IR"/>
        </w:rPr>
        <w:t>اده و تمام الاراده است ولی اراده ضعیفه اراده ای همراه با یک قیدِ عدمی است.</w:t>
      </w:r>
    </w:p>
    <w:p w:rsidR="009478AE" w:rsidRDefault="000C4F00" w:rsidP="009478AE">
      <w:pPr>
        <w:bidi/>
        <w:spacing w:after="0" w:line="276" w:lineRule="auto"/>
        <w:ind w:firstLine="288"/>
        <w:jc w:val="both"/>
        <w:rPr>
          <w:rFonts w:ascii="Times New Roman" w:hAnsi="Times New Roman" w:cs="Times New Roman"/>
          <w:sz w:val="24"/>
          <w:szCs w:val="24"/>
          <w:lang w:bidi="fa-IR"/>
        </w:rPr>
      </w:pPr>
      <w:r w:rsidRPr="003468E5">
        <w:rPr>
          <w:rFonts w:ascii="Badr" w:hAnsi="Badr" w:cs="B Nazanin" w:hint="cs"/>
          <w:color w:val="000080"/>
          <w:sz w:val="28"/>
          <w:szCs w:val="28"/>
          <w:rtl/>
          <w:lang w:bidi="fa-IR"/>
        </w:rPr>
        <w:t>نتیجه فرمایش ایشان این می شود</w:t>
      </w:r>
      <w:r w:rsidRPr="00244AFB">
        <w:rPr>
          <w:rFonts w:ascii="Badr" w:hAnsi="Badr" w:cs="B Nazanin" w:hint="cs"/>
          <w:color w:val="333333"/>
          <w:sz w:val="28"/>
          <w:szCs w:val="28"/>
          <w:rtl/>
          <w:lang w:bidi="fa-IR"/>
        </w:rPr>
        <w:t xml:space="preserve"> که اگر مولی به واسطه طلبی که نمودند بیان کردند که فلان حکم را اراده کردم و قیدی هم نیاورد، اطلاقش چنین اقتضا می کند که اراده بتمامه و کماله تعلّق کرفته است و اگر اراده اش اراده ضعیفه بود باید آن قیدِ عدمی را نیز بیان می نمود، پس اگر این قیدِ عدمی بیان بشود و بگوید مکلّف رخصت در ترک دارد این کاشف از اراده ضعیفه است ولی اگر قیدِ عدمی را بیان نکرد اطلاقش اقتضا می کند که این اراده هیچ قیدی ندارد پس اراده مولی اراده کامله است که </w:t>
      </w:r>
      <w:r w:rsidR="0002395D" w:rsidRPr="00244AFB">
        <w:rPr>
          <w:rFonts w:ascii="Badr" w:hAnsi="Badr" w:cs="B Nazanin" w:hint="cs"/>
          <w:color w:val="333333"/>
          <w:sz w:val="28"/>
          <w:szCs w:val="28"/>
          <w:rtl/>
          <w:lang w:bidi="fa-IR"/>
        </w:rPr>
        <w:t>همان وجوب است.</w:t>
      </w:r>
      <w:r w:rsidR="009478AE" w:rsidRPr="009478AE">
        <w:rPr>
          <w:rStyle w:val="FooterChar"/>
          <w:rFonts w:cs="B Nazanin"/>
          <w:color w:val="000000"/>
          <w:sz w:val="28"/>
          <w:szCs w:val="28"/>
          <w:rtl/>
          <w:lang w:bidi="fa-IR"/>
        </w:rPr>
        <w:t xml:space="preserve"> </w:t>
      </w:r>
      <w:r w:rsidR="009478AE">
        <w:rPr>
          <w:rStyle w:val="FootnoteReference"/>
          <w:rFonts w:cs="B Nazanin"/>
          <w:color w:val="000000"/>
          <w:sz w:val="28"/>
          <w:szCs w:val="28"/>
          <w:rtl/>
          <w:lang w:bidi="fa-IR"/>
        </w:rPr>
        <w:footnoteReference w:id="5"/>
      </w:r>
      <w:r w:rsidR="009478AE">
        <w:rPr>
          <w:rFonts w:ascii="Times New Roman" w:hAnsi="Times New Roman" w:cs="Times New Roman"/>
          <w:sz w:val="24"/>
          <w:szCs w:val="24"/>
          <w:rtl/>
          <w:lang w:bidi="fa-IR"/>
        </w:rPr>
        <w:t xml:space="preserve"> </w:t>
      </w:r>
    </w:p>
    <w:p w:rsidR="000C4F00" w:rsidRDefault="000C4F00" w:rsidP="009478AE">
      <w:pPr>
        <w:bidi/>
        <w:ind w:firstLine="288"/>
        <w:jc w:val="both"/>
        <w:rPr>
          <w:rFonts w:ascii="Badr" w:hAnsi="Badr" w:cs="B Nazanin"/>
          <w:color w:val="333333"/>
          <w:sz w:val="28"/>
          <w:szCs w:val="28"/>
          <w:rtl/>
          <w:lang w:bidi="fa-IR"/>
        </w:rPr>
      </w:pPr>
    </w:p>
    <w:p w:rsidR="0099537E" w:rsidRPr="00244AFB" w:rsidRDefault="0099537E" w:rsidP="0099537E">
      <w:pPr>
        <w:bidi/>
        <w:ind w:firstLine="288"/>
        <w:jc w:val="both"/>
        <w:rPr>
          <w:rFonts w:ascii="Badr" w:hAnsi="Badr" w:cs="B Nazanin"/>
          <w:color w:val="333333"/>
          <w:sz w:val="28"/>
          <w:szCs w:val="28"/>
          <w:rtl/>
          <w:lang w:bidi="fa-IR"/>
        </w:rPr>
      </w:pPr>
      <w:r>
        <w:rPr>
          <w:rFonts w:ascii="Badr" w:hAnsi="Badr" w:cs="B Nazanin" w:hint="cs"/>
          <w:color w:val="333333"/>
          <w:sz w:val="28"/>
          <w:szCs w:val="28"/>
          <w:rtl/>
          <w:lang w:bidi="fa-IR"/>
        </w:rPr>
        <w:t>مهدی جامعی</w:t>
      </w:r>
    </w:p>
    <w:sectPr w:rsidR="0099537E" w:rsidRPr="00244AFB" w:rsidSect="000E3770">
      <w:footerReference w:type="default" r:id="rId8"/>
      <w:pgSz w:w="12240" w:h="15840"/>
      <w:pgMar w:top="1440" w:right="1440" w:bottom="1440" w:left="1440" w:header="720" w:footer="720" w:gutter="0"/>
      <w:pgNumType w:start="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60" w:rsidRDefault="00943E60" w:rsidP="00821F94">
      <w:pPr>
        <w:spacing w:after="0" w:line="240" w:lineRule="auto"/>
      </w:pPr>
      <w:r>
        <w:separator/>
      </w:r>
    </w:p>
  </w:endnote>
  <w:endnote w:type="continuationSeparator" w:id="0">
    <w:p w:rsidR="00943E60" w:rsidRDefault="00943E60"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adr">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3468E5">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60" w:rsidRDefault="00943E60" w:rsidP="00821F94">
      <w:pPr>
        <w:spacing w:after="0" w:line="240" w:lineRule="auto"/>
      </w:pPr>
      <w:r>
        <w:separator/>
      </w:r>
    </w:p>
  </w:footnote>
  <w:footnote w:type="continuationSeparator" w:id="0">
    <w:p w:rsidR="00943E60" w:rsidRDefault="00943E60" w:rsidP="00821F94">
      <w:pPr>
        <w:spacing w:after="0" w:line="240" w:lineRule="auto"/>
      </w:pPr>
      <w:r>
        <w:continuationSeparator/>
      </w:r>
    </w:p>
  </w:footnote>
  <w:footnote w:id="1">
    <w:p w:rsidR="00FD56DE" w:rsidRPr="00171A6C" w:rsidRDefault="00FD56DE" w:rsidP="00FD56DE">
      <w:pPr>
        <w:pStyle w:val="FootnoteText"/>
        <w:bidi/>
        <w:rPr>
          <w:rFonts w:cs="B Nazanin"/>
          <w:rtl/>
          <w:lang w:bidi="fa-IR"/>
        </w:rPr>
      </w:pPr>
      <w:r w:rsidRPr="00171A6C">
        <w:rPr>
          <w:rStyle w:val="FootnoteReference"/>
          <w:rFonts w:cs="B Nazanin"/>
        </w:rPr>
        <w:footnoteRef/>
      </w:r>
      <w:r w:rsidRPr="00171A6C">
        <w:rPr>
          <w:rFonts w:cs="B Nazanin"/>
        </w:rPr>
        <w:t xml:space="preserve"> </w:t>
      </w:r>
      <w:r w:rsidRPr="00171A6C">
        <w:rPr>
          <w:rFonts w:cs="B Nazanin" w:hint="cs"/>
          <w:rtl/>
          <w:lang w:bidi="fa-IR"/>
        </w:rPr>
        <w:t xml:space="preserve"> </w:t>
      </w:r>
      <w:hyperlink r:id="rId1" w:history="1">
        <w:r w:rsidRPr="00171A6C">
          <w:rPr>
            <w:rStyle w:val="Hyperlink"/>
            <w:rFonts w:cs="B Nazanin" w:hint="cs"/>
            <w:rtl/>
            <w:lang w:bidi="fa-IR"/>
          </w:rPr>
          <w:t>کفایه الاصول، محمد کاظم خراسانی، ص70.</w:t>
        </w:r>
      </w:hyperlink>
    </w:p>
  </w:footnote>
  <w:footnote w:id="2">
    <w:p w:rsidR="00F1793D" w:rsidRPr="00171A6C" w:rsidRDefault="00F1793D" w:rsidP="00F1793D">
      <w:pPr>
        <w:pStyle w:val="FootnoteText"/>
        <w:bidi/>
        <w:rPr>
          <w:rFonts w:cs="B Nazanin"/>
          <w:rtl/>
          <w:lang w:bidi="fa-IR"/>
        </w:rPr>
      </w:pPr>
      <w:r w:rsidRPr="00171A6C">
        <w:rPr>
          <w:rStyle w:val="FootnoteReference"/>
          <w:rFonts w:cs="B Nazanin"/>
        </w:rPr>
        <w:footnoteRef/>
      </w:r>
      <w:r w:rsidRPr="00171A6C">
        <w:rPr>
          <w:rFonts w:cs="B Nazanin"/>
        </w:rPr>
        <w:t xml:space="preserve"> </w:t>
      </w:r>
      <w:r w:rsidRPr="00171A6C">
        <w:rPr>
          <w:rFonts w:cs="B Nazanin" w:hint="cs"/>
          <w:rtl/>
          <w:lang w:bidi="fa-IR"/>
        </w:rPr>
        <w:t xml:space="preserve"> </w:t>
      </w:r>
      <w:hyperlink r:id="rId2" w:history="1">
        <w:r w:rsidRPr="00171A6C">
          <w:rPr>
            <w:rStyle w:val="Hyperlink"/>
            <w:rFonts w:cs="B Nazanin" w:hint="cs"/>
            <w:rtl/>
            <w:lang w:bidi="fa-IR"/>
          </w:rPr>
          <w:t>کفایه الاصول، محمد کاظم خراسانی، ص70.</w:t>
        </w:r>
      </w:hyperlink>
    </w:p>
  </w:footnote>
  <w:footnote w:id="3">
    <w:p w:rsidR="00244AFB" w:rsidRPr="00171A6C" w:rsidRDefault="00244AFB" w:rsidP="00244AFB">
      <w:pPr>
        <w:pStyle w:val="FootnoteText"/>
        <w:bidi/>
        <w:rPr>
          <w:rFonts w:cs="B Nazanin"/>
          <w:rtl/>
          <w:lang w:bidi="fa-IR"/>
        </w:rPr>
      </w:pPr>
      <w:r w:rsidRPr="00171A6C">
        <w:rPr>
          <w:rStyle w:val="FootnoteReference"/>
          <w:rFonts w:cs="B Nazanin"/>
        </w:rPr>
        <w:footnoteRef/>
      </w:r>
      <w:r w:rsidRPr="00171A6C">
        <w:rPr>
          <w:rFonts w:cs="B Nazanin"/>
        </w:rPr>
        <w:t xml:space="preserve"> </w:t>
      </w:r>
      <w:r w:rsidRPr="00171A6C">
        <w:rPr>
          <w:rFonts w:cs="B Nazanin" w:hint="cs"/>
          <w:rtl/>
          <w:lang w:bidi="fa-IR"/>
        </w:rPr>
        <w:t xml:space="preserve"> </w:t>
      </w:r>
      <w:hyperlink r:id="rId3" w:history="1">
        <w:r w:rsidRPr="00171A6C">
          <w:rPr>
            <w:rStyle w:val="Hyperlink"/>
            <w:rFonts w:cs="B Nazanin" w:hint="cs"/>
            <w:rtl/>
            <w:lang w:bidi="fa-IR"/>
          </w:rPr>
          <w:t>فوائد الاصول، محمد حسین غروی، ج1، ص130.</w:t>
        </w:r>
      </w:hyperlink>
    </w:p>
  </w:footnote>
  <w:footnote w:id="4">
    <w:p w:rsidR="00244AFB" w:rsidRPr="00171A6C" w:rsidRDefault="00244AFB" w:rsidP="00244AFB">
      <w:pPr>
        <w:pStyle w:val="FootnoteText"/>
        <w:bidi/>
        <w:rPr>
          <w:rFonts w:cs="B Nazanin"/>
          <w:rtl/>
          <w:lang w:bidi="fa-IR"/>
        </w:rPr>
      </w:pPr>
      <w:r w:rsidRPr="00171A6C">
        <w:rPr>
          <w:rStyle w:val="FootnoteReference"/>
          <w:rFonts w:cs="B Nazanin"/>
        </w:rPr>
        <w:footnoteRef/>
      </w:r>
      <w:r w:rsidRPr="00171A6C">
        <w:rPr>
          <w:rFonts w:cs="B Nazanin"/>
        </w:rPr>
        <w:t xml:space="preserve"> </w:t>
      </w:r>
      <w:r w:rsidRPr="00171A6C">
        <w:rPr>
          <w:rFonts w:cs="B Nazanin" w:hint="cs"/>
          <w:rtl/>
          <w:lang w:bidi="fa-IR"/>
        </w:rPr>
        <w:t xml:space="preserve"> </w:t>
      </w:r>
      <w:hyperlink r:id="rId4" w:history="1">
        <w:r w:rsidRPr="00171A6C">
          <w:rPr>
            <w:rStyle w:val="Hyperlink"/>
            <w:rFonts w:cs="B Nazanin" w:hint="cs"/>
            <w:rtl/>
            <w:lang w:bidi="fa-IR"/>
          </w:rPr>
          <w:t>محاضرات فی الاصول، سید ابوالقاسم خوئی، ج2، ص130.</w:t>
        </w:r>
      </w:hyperlink>
    </w:p>
  </w:footnote>
  <w:footnote w:id="5">
    <w:p w:rsidR="009478AE" w:rsidRDefault="009478AE" w:rsidP="009478AE">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w:t>
      </w:r>
      <w:hyperlink r:id="rId5" w:history="1">
        <w:r>
          <w:rPr>
            <w:rStyle w:val="Hyperlink"/>
            <w:rFonts w:cs="B Nazanin" w:hint="cs"/>
            <w:rtl/>
            <w:lang w:bidi="fa-IR"/>
          </w:rPr>
          <w:t>محاضرات فی الاصول، سید ابوالقاسم خوئی، ج2، ص126.</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44CA9"/>
    <w:rsid w:val="000459D7"/>
    <w:rsid w:val="00084E31"/>
    <w:rsid w:val="000B4A8C"/>
    <w:rsid w:val="000C4F00"/>
    <w:rsid w:val="000E3770"/>
    <w:rsid w:val="000E7069"/>
    <w:rsid w:val="001344C8"/>
    <w:rsid w:val="00152670"/>
    <w:rsid w:val="00171A6C"/>
    <w:rsid w:val="001A338C"/>
    <w:rsid w:val="001C2A75"/>
    <w:rsid w:val="001E1D6B"/>
    <w:rsid w:val="00244AFB"/>
    <w:rsid w:val="00257540"/>
    <w:rsid w:val="002A2800"/>
    <w:rsid w:val="002B6492"/>
    <w:rsid w:val="002F6041"/>
    <w:rsid w:val="00315268"/>
    <w:rsid w:val="00320827"/>
    <w:rsid w:val="003468E5"/>
    <w:rsid w:val="003528B7"/>
    <w:rsid w:val="003731A0"/>
    <w:rsid w:val="0038599A"/>
    <w:rsid w:val="003B0882"/>
    <w:rsid w:val="003B1467"/>
    <w:rsid w:val="003B4C05"/>
    <w:rsid w:val="00423527"/>
    <w:rsid w:val="0048674E"/>
    <w:rsid w:val="004E0809"/>
    <w:rsid w:val="00523158"/>
    <w:rsid w:val="00542886"/>
    <w:rsid w:val="0057368C"/>
    <w:rsid w:val="005E1BCE"/>
    <w:rsid w:val="005F4DA1"/>
    <w:rsid w:val="00643AD1"/>
    <w:rsid w:val="00676C15"/>
    <w:rsid w:val="006A6060"/>
    <w:rsid w:val="007054F4"/>
    <w:rsid w:val="00712127"/>
    <w:rsid w:val="0074568F"/>
    <w:rsid w:val="007660E3"/>
    <w:rsid w:val="00790A55"/>
    <w:rsid w:val="00807BE3"/>
    <w:rsid w:val="00815428"/>
    <w:rsid w:val="00821F94"/>
    <w:rsid w:val="00827816"/>
    <w:rsid w:val="00835EC3"/>
    <w:rsid w:val="008847F7"/>
    <w:rsid w:val="008C1868"/>
    <w:rsid w:val="008D22EF"/>
    <w:rsid w:val="00924546"/>
    <w:rsid w:val="00943E60"/>
    <w:rsid w:val="009478AE"/>
    <w:rsid w:val="009673E7"/>
    <w:rsid w:val="0099537E"/>
    <w:rsid w:val="009A027F"/>
    <w:rsid w:val="009C40BC"/>
    <w:rsid w:val="00A04D2C"/>
    <w:rsid w:val="00A33BB5"/>
    <w:rsid w:val="00A37827"/>
    <w:rsid w:val="00A531F6"/>
    <w:rsid w:val="00A94E9E"/>
    <w:rsid w:val="00AA72A1"/>
    <w:rsid w:val="00AD4B60"/>
    <w:rsid w:val="00AF3834"/>
    <w:rsid w:val="00B324E4"/>
    <w:rsid w:val="00B46B28"/>
    <w:rsid w:val="00B74AEB"/>
    <w:rsid w:val="00BC7280"/>
    <w:rsid w:val="00C065A6"/>
    <w:rsid w:val="00C51B33"/>
    <w:rsid w:val="00C70D3A"/>
    <w:rsid w:val="00CE2CEE"/>
    <w:rsid w:val="00CE7622"/>
    <w:rsid w:val="00CF476D"/>
    <w:rsid w:val="00D12C93"/>
    <w:rsid w:val="00D91972"/>
    <w:rsid w:val="00D9662E"/>
    <w:rsid w:val="00DA2174"/>
    <w:rsid w:val="00DB5733"/>
    <w:rsid w:val="00DB6BFE"/>
    <w:rsid w:val="00DC37E5"/>
    <w:rsid w:val="00DE5E70"/>
    <w:rsid w:val="00DF534B"/>
    <w:rsid w:val="00E86813"/>
    <w:rsid w:val="00EC33CD"/>
    <w:rsid w:val="00EE08B7"/>
    <w:rsid w:val="00F10CFD"/>
    <w:rsid w:val="00F1793D"/>
    <w:rsid w:val="00F17D08"/>
    <w:rsid w:val="00FA3955"/>
    <w:rsid w:val="00FD56DE"/>
    <w:rsid w:val="00FE4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8888">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5889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2/1/130/&#1601;&#1578;&#1581;&#1589;&#1617;&#1604;" TargetMode="External"/><Relationship Id="rId2" Type="http://schemas.openxmlformats.org/officeDocument/2006/relationships/hyperlink" Target="http://lib.eshia.ir/27004/1/70/&#1608;&#1603;&#1579;&#1585;&#1577;" TargetMode="External"/><Relationship Id="rId1" Type="http://schemas.openxmlformats.org/officeDocument/2006/relationships/hyperlink" Target="http://lib.eshia.ir/27004/1/70/&#1575;&#1604;&#1605;&#1576;&#1581;&#1579;" TargetMode="External"/><Relationship Id="rId5" Type="http://schemas.openxmlformats.org/officeDocument/2006/relationships/hyperlink" Target="http://lib.eshia.ir/13106/2/126/&#1575;&#1604;&#1571;&#1593;&#1575;&#1592;&#1605;" TargetMode="External"/><Relationship Id="rId4" Type="http://schemas.openxmlformats.org/officeDocument/2006/relationships/hyperlink" Target="http://lib.eshia.ir/13106/2/130/&#1601;&#1575;&#1604;&#1606;&#1578;&#1610;&#1580;&#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9DE8-0074-438C-B56C-6B751253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58</cp:revision>
  <cp:lastPrinted>2016-01-02T10:59:00Z</cp:lastPrinted>
  <dcterms:created xsi:type="dcterms:W3CDTF">2015-12-21T10:10:00Z</dcterms:created>
  <dcterms:modified xsi:type="dcterms:W3CDTF">2016-01-03T12:19:00Z</dcterms:modified>
</cp:coreProperties>
</file>