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6F52EEEE" w14:textId="77777777" w:rsidR="006D4D90" w:rsidRPr="001E286D" w:rsidRDefault="006D4D90" w:rsidP="001E286D">
      <w:pPr>
        <w:pStyle w:val="ListParagraph"/>
        <w:numPr>
          <w:ilvl w:val="0"/>
          <w:numId w:val="2"/>
        </w:numPr>
        <w:bidi/>
        <w:jc w:val="center"/>
        <w:rPr>
          <w:rFonts w:cs="B Nazanin"/>
          <w:color w:val="FF0000"/>
          <w:sz w:val="32"/>
          <w:szCs w:val="32"/>
          <w:rtl/>
        </w:rPr>
      </w:pPr>
      <w:bookmarkStart w:id="0" w:name="_Toc436727435"/>
      <w:r w:rsidRPr="001E286D">
        <w:rPr>
          <w:rFonts w:cs="B Nazanin"/>
          <w:color w:val="FF0000"/>
          <w:sz w:val="32"/>
          <w:szCs w:val="32"/>
          <w:rtl/>
        </w:rPr>
        <w:t>نهم ربیع الاول روز امامت و مهدویت</w:t>
      </w:r>
      <w:bookmarkEnd w:id="0"/>
      <w:r w:rsidR="00756578" w:rsidRPr="001E286D">
        <w:rPr>
          <w:rStyle w:val="FootnoteReference"/>
          <w:rFonts w:ascii="IRLotus" w:hAnsi="IRLotus" w:cs="B Nazanin"/>
          <w:color w:val="FF0000"/>
          <w:sz w:val="32"/>
          <w:szCs w:val="32"/>
          <w:rtl/>
          <w:lang w:bidi="fa-IR"/>
        </w:rPr>
        <w:footnoteReference w:id="1"/>
      </w:r>
    </w:p>
    <w:p w14:paraId="5BA50623" w14:textId="77777777" w:rsidR="001E286D" w:rsidRPr="001E286D" w:rsidRDefault="001E286D" w:rsidP="001E286D">
      <w:pPr>
        <w:bidi/>
        <w:rPr>
          <w:rFonts w:cs="B Nazanin"/>
          <w:sz w:val="32"/>
          <w:szCs w:val="32"/>
          <w:rtl/>
          <w:lang w:bidi="fa-IR"/>
        </w:rPr>
      </w:pPr>
    </w:p>
    <w:p w14:paraId="64E95949" w14:textId="77777777" w:rsidR="006D4D90" w:rsidRPr="001E286D" w:rsidRDefault="00756578" w:rsidP="001E286D">
      <w:pPr>
        <w:bidi/>
        <w:rPr>
          <w:rFonts w:cs="B Nazanin"/>
          <w:sz w:val="32"/>
          <w:szCs w:val="32"/>
          <w:rtl/>
        </w:rPr>
      </w:pPr>
      <w:r w:rsidRPr="001E286D">
        <w:rPr>
          <w:rFonts w:cs="B Nazanin"/>
          <w:sz w:val="32"/>
          <w:szCs w:val="32"/>
        </w:rPr>
        <w:t xml:space="preserve"> </w:t>
      </w:r>
      <w:r w:rsidR="006D4D90" w:rsidRPr="001E286D">
        <w:rPr>
          <w:rFonts w:cs="B Nazanin"/>
          <w:sz w:val="32"/>
          <w:szCs w:val="32"/>
          <w:rtl/>
        </w:rPr>
        <w:t xml:space="preserve">نوشتار حاضر در دو بخش سلبی و اثباتی به بررسی واقعه‌ای که در نهم ربیع الاول رخ داده است، می‌پردازد. جنبه سلبی در پی آن است، که مشخص کند، روز نهم ربیع الاول، ارتباطی به مرگ خلیفه دوم ندارد و جنبه اثباتی، از آن روست که مشخص شود از نظر تاریخی، سالروز آغاز امامت امام </w:t>
      </w:r>
      <w:r w:rsidR="006C76E6" w:rsidRPr="001E286D">
        <w:rPr>
          <w:rFonts w:cs="B Nazanin"/>
          <w:sz w:val="32"/>
          <w:szCs w:val="32"/>
          <w:rtl/>
        </w:rPr>
        <w:t>زمان(عج)</w:t>
      </w:r>
      <w:r w:rsidR="006D4D90" w:rsidRPr="001E286D">
        <w:rPr>
          <w:rFonts w:cs="B Nazanin"/>
          <w:sz w:val="32"/>
          <w:szCs w:val="32"/>
          <w:rtl/>
        </w:rPr>
        <w:t xml:space="preserve"> مي‌باشد. </w:t>
      </w:r>
    </w:p>
    <w:p w14:paraId="671326ED" w14:textId="77777777" w:rsidR="006D4D90" w:rsidRPr="001E286D" w:rsidRDefault="006D4D90" w:rsidP="001E286D">
      <w:pPr>
        <w:bidi/>
        <w:rPr>
          <w:rFonts w:cs="B Nazanin"/>
          <w:color w:val="FF0000"/>
          <w:sz w:val="32"/>
          <w:szCs w:val="32"/>
          <w:rtl/>
        </w:rPr>
      </w:pPr>
      <w:r w:rsidRPr="001E286D">
        <w:rPr>
          <w:rFonts w:cs="B Nazanin"/>
          <w:color w:val="FF0000"/>
          <w:sz w:val="32"/>
          <w:szCs w:val="32"/>
          <w:rtl/>
        </w:rPr>
        <w:t>بخش اول؛ جنبه سلبی</w:t>
      </w:r>
    </w:p>
    <w:p w14:paraId="64C93108" w14:textId="694184FD" w:rsidR="006D4D90" w:rsidRPr="001E286D" w:rsidRDefault="006D4D90" w:rsidP="001E286D">
      <w:pPr>
        <w:bidi/>
        <w:rPr>
          <w:rFonts w:cs="B Nazanin"/>
          <w:sz w:val="32"/>
          <w:szCs w:val="32"/>
          <w:rtl/>
        </w:rPr>
      </w:pPr>
      <w:r w:rsidRPr="001E286D">
        <w:rPr>
          <w:rFonts w:cs="B Nazanin"/>
          <w:sz w:val="32"/>
          <w:szCs w:val="32"/>
          <w:rtl/>
        </w:rPr>
        <w:t>عده‌اي، نهم ربیع الاول روز مرگ عمر بن خطاب خلیفه دوم مي‌دانند، این سخن و نظریه از قرن 6 به منابع راه یافته است. و پس از دوره‌ای سکوت، بار دیگر در عصر صفویه شهرت پیدا کرده و حتی بخشی از فرهنگ جامعه شیعه شده است. «عبدالجلیل رازی قزوینی» در کتاب «النقض</w:t>
      </w:r>
      <w:r w:rsidR="00C46CFF" w:rsidRPr="001E286D">
        <w:rPr>
          <w:rStyle w:val="FootnoteReference"/>
          <w:rFonts w:ascii="IRLotus" w:hAnsi="IRLotus" w:cs="B Nazanin"/>
          <w:sz w:val="32"/>
          <w:szCs w:val="32"/>
          <w:rtl/>
        </w:rPr>
        <w:footnoteReference w:id="2"/>
      </w:r>
      <w:r w:rsidRPr="001E286D">
        <w:rPr>
          <w:rFonts w:cs="B Nazanin"/>
          <w:sz w:val="32"/>
          <w:szCs w:val="32"/>
          <w:rtl/>
        </w:rPr>
        <w:t>» به قتل خلیفه در نهم ربیع الاول اشاره کرده اما مستند، و منبع خود را ذکر نکرده است. «هاشم بن محمد</w:t>
      </w:r>
      <w:r w:rsidR="00756578" w:rsidRPr="001E286D">
        <w:rPr>
          <w:rFonts w:cs="B Nazanin"/>
          <w:sz w:val="32"/>
          <w:szCs w:val="32"/>
          <w:rtl/>
        </w:rPr>
        <w:t>»</w:t>
      </w:r>
      <w:r w:rsidRPr="001E286D">
        <w:rPr>
          <w:rFonts w:cs="B Nazanin"/>
          <w:sz w:val="32"/>
          <w:szCs w:val="32"/>
          <w:rtl/>
        </w:rPr>
        <w:t xml:space="preserve"> عالم دیگر قرن 6 ه‍‍ </w:t>
      </w:r>
      <w:r w:rsidR="004601D1" w:rsidRPr="001E286D">
        <w:rPr>
          <w:rFonts w:cs="B Nazanin" w:hint="cs"/>
          <w:sz w:val="32"/>
          <w:szCs w:val="32"/>
          <w:rtl/>
        </w:rPr>
        <w:t xml:space="preserve"> </w:t>
      </w:r>
      <w:r w:rsidRPr="001E286D">
        <w:rPr>
          <w:rFonts w:cs="B Nazanin"/>
          <w:sz w:val="32"/>
          <w:szCs w:val="32"/>
          <w:rtl/>
        </w:rPr>
        <w:t>در کتاب «مصباح</w:t>
      </w:r>
      <w:r w:rsidRPr="001E286D">
        <w:rPr>
          <w:rFonts w:cs="B Nazanin"/>
          <w:sz w:val="32"/>
          <w:szCs w:val="32"/>
          <w:rtl/>
        </w:rPr>
        <w:softHyphen/>
        <w:t>الانوار» روایتی از «احمد بن اسحاق قمي» مشهور به حدیث رفع</w:t>
      </w:r>
      <w:r w:rsidRPr="001E286D">
        <w:rPr>
          <w:rFonts w:cs="B Nazanin"/>
          <w:sz w:val="32"/>
          <w:szCs w:val="32"/>
          <w:rtl/>
        </w:rPr>
        <w:softHyphen/>
        <w:t>القلم را آورده که در آن قتل عمر به روز نهم ربیع الاول نسبت داده شده است</w:t>
      </w:r>
      <w:r w:rsidR="00C46CFF" w:rsidRPr="001E286D">
        <w:rPr>
          <w:rFonts w:cs="B Nazanin" w:hint="cs"/>
          <w:sz w:val="32"/>
          <w:szCs w:val="32"/>
          <w:rtl/>
        </w:rPr>
        <w:t>.</w:t>
      </w:r>
      <w:r w:rsidR="00C46CFF" w:rsidRPr="001E286D">
        <w:rPr>
          <w:rStyle w:val="FootnoteReference"/>
          <w:rFonts w:ascii="IRLotus" w:hAnsi="IRLotus" w:cs="B Nazanin"/>
          <w:sz w:val="32"/>
          <w:szCs w:val="32"/>
          <w:rtl/>
        </w:rPr>
        <w:footnoteReference w:id="3"/>
      </w:r>
      <w:r w:rsidRPr="001E286D">
        <w:rPr>
          <w:rFonts w:cs="B Nazanin"/>
          <w:sz w:val="32"/>
          <w:szCs w:val="32"/>
          <w:rtl/>
        </w:rPr>
        <w:t xml:space="preserve"> </w:t>
      </w:r>
      <w:r w:rsidR="00C46CFF" w:rsidRPr="001E286D">
        <w:rPr>
          <w:rFonts w:cs="B Nazanin" w:hint="cs"/>
          <w:sz w:val="32"/>
          <w:szCs w:val="32"/>
          <w:rtl/>
        </w:rPr>
        <w:t xml:space="preserve"> </w:t>
      </w:r>
      <w:r w:rsidRPr="001E286D">
        <w:rPr>
          <w:rFonts w:cs="B Nazanin"/>
          <w:sz w:val="32"/>
          <w:szCs w:val="32"/>
          <w:rtl/>
        </w:rPr>
        <w:t>گویا به همین دلیل است که ابن ادریس حلّی (543ـ</w:t>
      </w:r>
      <w:r w:rsidR="004601D1" w:rsidRPr="001E286D">
        <w:rPr>
          <w:rFonts w:cs="B Nazanin" w:hint="cs"/>
          <w:sz w:val="32"/>
          <w:szCs w:val="32"/>
          <w:rtl/>
        </w:rPr>
        <w:t xml:space="preserve"> </w:t>
      </w:r>
      <w:r w:rsidRPr="001E286D">
        <w:rPr>
          <w:rFonts w:cs="B Nazanin"/>
          <w:sz w:val="32"/>
          <w:szCs w:val="32"/>
          <w:rtl/>
        </w:rPr>
        <w:t>598) با اشاره به مرگ عمر بن خطاب در 26 ذیحجه سال 23 ه‍</w:t>
      </w:r>
      <w:r w:rsidR="004601D1" w:rsidRPr="001E286D">
        <w:rPr>
          <w:rFonts w:cs="B Nazanin" w:hint="cs"/>
          <w:sz w:val="32"/>
          <w:szCs w:val="32"/>
          <w:rtl/>
        </w:rPr>
        <w:t xml:space="preserve"> .</w:t>
      </w:r>
      <w:r w:rsidRPr="001E286D">
        <w:rPr>
          <w:rFonts w:cs="B Nazanin"/>
          <w:sz w:val="32"/>
          <w:szCs w:val="32"/>
          <w:rtl/>
        </w:rPr>
        <w:t xml:space="preserve"> می</w:t>
      </w:r>
      <w:r w:rsidRPr="001E286D">
        <w:rPr>
          <w:rFonts w:cs="B Nazanin"/>
          <w:sz w:val="32"/>
          <w:szCs w:val="32"/>
          <w:rtl/>
        </w:rPr>
        <w:softHyphen/>
        <w:t>نویسد: «این مطلب برای برخی شیعیان اشتباه شده و تصور کرده</w:t>
      </w:r>
      <w:r w:rsidRPr="001E286D">
        <w:rPr>
          <w:rFonts w:cs="B Nazanin"/>
          <w:sz w:val="32"/>
          <w:szCs w:val="32"/>
          <w:rtl/>
        </w:rPr>
        <w:softHyphen/>
        <w:t>اند نهم ربیع</w:t>
      </w:r>
      <w:r w:rsidRPr="001E286D">
        <w:rPr>
          <w:rFonts w:cs="B Nazanin"/>
          <w:sz w:val="32"/>
          <w:szCs w:val="32"/>
          <w:rtl/>
        </w:rPr>
        <w:softHyphen/>
        <w:t>الاول روز مرگ اوست. اما این اشتباه و خلاف اجماع مورخان است، چنانکه شیخ مفید</w:t>
      </w:r>
      <w:r w:rsidR="004601D1" w:rsidRPr="001E286D">
        <w:rPr>
          <w:rFonts w:cs="B Nazanin"/>
          <w:sz w:val="32"/>
          <w:szCs w:val="32"/>
        </w:rPr>
        <w:t xml:space="preserve"> </w:t>
      </w:r>
      <w:r w:rsidR="004601D1" w:rsidRPr="001E286D">
        <w:rPr>
          <w:rFonts w:cs="B Nazanin" w:hint="cs"/>
          <w:sz w:val="32"/>
          <w:szCs w:val="32"/>
          <w:rtl/>
          <w:lang w:bidi="fa-IR"/>
        </w:rPr>
        <w:t>ن</w:t>
      </w:r>
      <w:r w:rsidRPr="001E286D">
        <w:rPr>
          <w:rFonts w:cs="B Nazanin"/>
          <w:sz w:val="32"/>
          <w:szCs w:val="32"/>
          <w:rtl/>
        </w:rPr>
        <w:t>یز بر آن تاکید کرده است</w:t>
      </w:r>
      <w:r w:rsidR="00C46CFF" w:rsidRPr="001E286D">
        <w:rPr>
          <w:rStyle w:val="FootnoteReference"/>
          <w:rFonts w:ascii="IRLotus" w:hAnsi="IRLotus" w:cs="B Nazanin"/>
          <w:sz w:val="32"/>
          <w:szCs w:val="32"/>
          <w:rtl/>
        </w:rPr>
        <w:footnoteReference w:id="4"/>
      </w:r>
      <w:r w:rsidRPr="001E286D">
        <w:rPr>
          <w:rFonts w:cs="B Nazanin"/>
          <w:sz w:val="32"/>
          <w:szCs w:val="32"/>
          <w:rtl/>
        </w:rPr>
        <w:t xml:space="preserve">» </w:t>
      </w:r>
    </w:p>
    <w:p w14:paraId="156ADF11" w14:textId="77777777" w:rsidR="006D4D90" w:rsidRPr="001E286D" w:rsidRDefault="006D4D90" w:rsidP="001E286D">
      <w:pPr>
        <w:bidi/>
        <w:rPr>
          <w:rFonts w:cs="B Nazanin"/>
          <w:sz w:val="32"/>
          <w:szCs w:val="32"/>
          <w:rtl/>
        </w:rPr>
      </w:pPr>
      <w:r w:rsidRPr="001E286D">
        <w:rPr>
          <w:rFonts w:cs="B Nazanin"/>
          <w:sz w:val="32"/>
          <w:szCs w:val="32"/>
          <w:rtl/>
        </w:rPr>
        <w:t xml:space="preserve">حدود یک قرن بعد، ابن طاووس (م 664) بدون نام بردن از خلیفه دوم یا شخص دیگری، می‌نویسد گروهی از برادران ما و مردم عجم روز نهم ربیع الاول را بزرگ می‌دارند، و معتقدند یکی </w:t>
      </w:r>
      <w:r w:rsidRPr="001E286D">
        <w:rPr>
          <w:rFonts w:cs="B Nazanin"/>
          <w:sz w:val="32"/>
          <w:szCs w:val="32"/>
          <w:rtl/>
        </w:rPr>
        <w:lastRenderedPageBreak/>
        <w:t>از دشمنان خدا و رسولش در این روز مرده است</w:t>
      </w:r>
      <w:r w:rsidR="000061F9" w:rsidRPr="001E286D">
        <w:rPr>
          <w:rStyle w:val="FootnoteReference"/>
          <w:rFonts w:ascii="IRLotus" w:hAnsi="IRLotus" w:cs="B Nazanin"/>
          <w:sz w:val="32"/>
          <w:szCs w:val="32"/>
          <w:rtl/>
        </w:rPr>
        <w:footnoteReference w:id="5"/>
      </w:r>
      <w:r w:rsidRPr="001E286D">
        <w:rPr>
          <w:rFonts w:cs="B Nazanin"/>
          <w:sz w:val="32"/>
          <w:szCs w:val="32"/>
          <w:rtl/>
        </w:rPr>
        <w:t>.</w:t>
      </w:r>
      <w:r w:rsidRPr="001E286D">
        <w:rPr>
          <w:rStyle w:val="1Char"/>
          <w:rFonts w:ascii="IRLotus" w:hAnsi="IRLotus" w:cs="B Nazanin"/>
          <w:iCs w:val="0"/>
          <w:sz w:val="32"/>
          <w:szCs w:val="32"/>
          <w:rtl/>
        </w:rPr>
        <w:t xml:space="preserve"> وی به جزئیات بیشتری اشاره نمی‌کند. اما </w:t>
      </w:r>
      <w:r w:rsidRPr="001E286D">
        <w:rPr>
          <w:rFonts w:cs="B Nazanin"/>
          <w:sz w:val="32"/>
          <w:szCs w:val="32"/>
          <w:rtl/>
        </w:rPr>
        <w:t>با ظهور صفویه و رواج تشیع در ایران، گویی نهم ربیع الاول به عنوان زمان قطعی مرگ خلیفه دوم تلقی شده است، و مراسمی نیز در این روز برگزار مي‌شد</w:t>
      </w:r>
      <w:r w:rsidR="00524B80" w:rsidRPr="001E286D">
        <w:rPr>
          <w:rStyle w:val="FootnoteReference"/>
          <w:rFonts w:ascii="IRLotus" w:hAnsi="IRLotus" w:cs="B Nazanin"/>
          <w:sz w:val="32"/>
          <w:szCs w:val="32"/>
          <w:rtl/>
        </w:rPr>
        <w:footnoteReference w:id="6"/>
      </w:r>
      <w:r w:rsidRPr="001E286D">
        <w:rPr>
          <w:rFonts w:cs="B Nazanin"/>
          <w:sz w:val="32"/>
          <w:szCs w:val="32"/>
          <w:rtl/>
        </w:rPr>
        <w:t xml:space="preserve">. </w:t>
      </w:r>
    </w:p>
    <w:p w14:paraId="3FFC5CE0" w14:textId="77777777" w:rsidR="006D4D90" w:rsidRPr="001E286D" w:rsidRDefault="006D4D90" w:rsidP="001E286D">
      <w:pPr>
        <w:bidi/>
        <w:rPr>
          <w:rFonts w:cs="B Nazanin"/>
          <w:sz w:val="32"/>
          <w:szCs w:val="32"/>
          <w:rtl/>
        </w:rPr>
      </w:pPr>
      <w:r w:rsidRPr="001E286D">
        <w:rPr>
          <w:rFonts w:cs="B Nazanin"/>
          <w:sz w:val="32"/>
          <w:szCs w:val="32"/>
          <w:rtl/>
        </w:rPr>
        <w:t>برخی قائلان این نظریه، مانند «هاشم بن محمد» در کتاب «مصباح الانوار» مستند این قول را روایت «احمد بن اسحاق قمي» قرار داده‌اند و مستند دیگری برای آن ذکر نمی‌شود. «مجلسی» هم تصریح می‌کند که دلیل اصلی مرگ عمر درنهم ربیع الاول، همین روایت است</w:t>
      </w:r>
      <w:r w:rsidR="00D90E1B" w:rsidRPr="001E286D">
        <w:rPr>
          <w:rStyle w:val="FootnoteReference"/>
          <w:rFonts w:ascii="IRLotus" w:hAnsi="IRLotus" w:cs="B Nazanin"/>
          <w:sz w:val="32"/>
          <w:szCs w:val="32"/>
          <w:rtl/>
        </w:rPr>
        <w:footnoteReference w:id="7"/>
      </w:r>
      <w:r w:rsidRPr="001E286D">
        <w:rPr>
          <w:rFonts w:cs="B Nazanin"/>
          <w:sz w:val="32"/>
          <w:szCs w:val="32"/>
          <w:rtl/>
        </w:rPr>
        <w:t xml:space="preserve"> </w:t>
      </w:r>
      <w:r w:rsidR="00C04F7C" w:rsidRPr="001E286D">
        <w:rPr>
          <w:rFonts w:cs="B Nazanin" w:hint="cs"/>
          <w:sz w:val="32"/>
          <w:szCs w:val="32"/>
          <w:rtl/>
        </w:rPr>
        <w:t xml:space="preserve"> </w:t>
      </w:r>
      <w:r w:rsidRPr="001E286D">
        <w:rPr>
          <w:rFonts w:cs="B Nazanin"/>
          <w:sz w:val="32"/>
          <w:szCs w:val="32"/>
          <w:rtl/>
        </w:rPr>
        <w:t>که به رفع القلم شهرت یافت. این در حالی است که عالمان شیعه بر منبع و سند و محتوای این خبر اشکال گرفته و آن را مردو</w:t>
      </w:r>
      <w:r w:rsidR="004601D1" w:rsidRPr="001E286D">
        <w:rPr>
          <w:rFonts w:cs="B Nazanin" w:hint="cs"/>
          <w:sz w:val="32"/>
          <w:szCs w:val="32"/>
          <w:rtl/>
        </w:rPr>
        <w:t>د د</w:t>
      </w:r>
      <w:r w:rsidRPr="001E286D">
        <w:rPr>
          <w:rFonts w:cs="B Nazanin"/>
          <w:sz w:val="32"/>
          <w:szCs w:val="32"/>
          <w:rtl/>
        </w:rPr>
        <w:t>انسته‌اند</w:t>
      </w:r>
      <w:r w:rsidR="00C04F7C" w:rsidRPr="001E286D">
        <w:rPr>
          <w:rFonts w:cs="B Nazanin" w:hint="cs"/>
          <w:sz w:val="32"/>
          <w:szCs w:val="32"/>
          <w:rtl/>
        </w:rPr>
        <w:t>.</w:t>
      </w:r>
      <w:r w:rsidR="00C04F7C" w:rsidRPr="001E286D">
        <w:rPr>
          <w:rStyle w:val="FootnoteReference"/>
          <w:rFonts w:ascii="IRLotus" w:hAnsi="IRLotus" w:cs="B Nazanin"/>
          <w:sz w:val="32"/>
          <w:szCs w:val="32"/>
          <w:rtl/>
        </w:rPr>
        <w:footnoteReference w:id="8"/>
      </w:r>
      <w:r w:rsidRPr="001E286D">
        <w:rPr>
          <w:rFonts w:cs="B Nazanin"/>
          <w:sz w:val="32"/>
          <w:szCs w:val="32"/>
          <w:rtl/>
        </w:rPr>
        <w:t xml:space="preserve"> </w:t>
      </w:r>
    </w:p>
    <w:p w14:paraId="4F83E513" w14:textId="77777777" w:rsidR="006D4D90" w:rsidRPr="001E286D" w:rsidRDefault="006D4D90" w:rsidP="001E286D">
      <w:pPr>
        <w:bidi/>
        <w:rPr>
          <w:rFonts w:cs="B Nazanin"/>
          <w:sz w:val="32"/>
          <w:szCs w:val="32"/>
          <w:rtl/>
        </w:rPr>
      </w:pPr>
      <w:r w:rsidRPr="001E286D">
        <w:rPr>
          <w:rFonts w:cs="B Nazanin"/>
          <w:sz w:val="32"/>
          <w:szCs w:val="32"/>
          <w:rtl/>
        </w:rPr>
        <w:t>این روایت در کتاب «المحتضر» نوشتۀ «حسن بن سلیمان حلی» (قرن 8 ه‍) آمده است</w:t>
      </w:r>
      <w:r w:rsidR="006B4829" w:rsidRPr="001E286D">
        <w:rPr>
          <w:rStyle w:val="FootnoteReference"/>
          <w:rFonts w:ascii="IRLotus" w:hAnsi="IRLotus" w:cs="B Nazanin"/>
          <w:sz w:val="32"/>
          <w:szCs w:val="32"/>
          <w:rtl/>
        </w:rPr>
        <w:footnoteReference w:id="9"/>
      </w:r>
      <w:r w:rsidRPr="001E286D">
        <w:rPr>
          <w:rFonts w:cs="B Nazanin"/>
          <w:sz w:val="32"/>
          <w:szCs w:val="32"/>
          <w:rtl/>
        </w:rPr>
        <w:t xml:space="preserve">. همچنین «مجلسی» آن را به نقل از کتاب «زوائد الفوائد» منسوب به فرزند «سید بن طاووس» (قرن 7 ه‍) آورده </w:t>
      </w:r>
      <w:r w:rsidR="009A3F9A" w:rsidRPr="001E286D">
        <w:rPr>
          <w:rStyle w:val="FootnoteReference"/>
          <w:rFonts w:ascii="IRLotus" w:hAnsi="IRLotus" w:cs="B Nazanin"/>
          <w:sz w:val="32"/>
          <w:szCs w:val="32"/>
          <w:rtl/>
        </w:rPr>
        <w:footnoteReference w:id="10"/>
      </w:r>
      <w:r w:rsidR="003F5B8A" w:rsidRPr="001E286D">
        <w:rPr>
          <w:rFonts w:cs="B Nazanin" w:hint="cs"/>
          <w:sz w:val="32"/>
          <w:szCs w:val="32"/>
          <w:rtl/>
        </w:rPr>
        <w:t xml:space="preserve"> </w:t>
      </w:r>
      <w:r w:rsidRPr="001E286D">
        <w:rPr>
          <w:rFonts w:cs="B Nazanin"/>
          <w:sz w:val="32"/>
          <w:szCs w:val="32"/>
          <w:rtl/>
        </w:rPr>
        <w:t>که اکنون در دست نیست.گفته می‌شود در کتاب «مصباح الانوار» نوشته «هاشم بن محمد</w:t>
      </w:r>
      <w:r w:rsidR="00756578" w:rsidRPr="001E286D">
        <w:rPr>
          <w:rFonts w:cs="B Nazanin"/>
          <w:sz w:val="32"/>
          <w:szCs w:val="32"/>
          <w:rtl/>
        </w:rPr>
        <w:t>»</w:t>
      </w:r>
      <w:r w:rsidRPr="001E286D">
        <w:rPr>
          <w:rFonts w:cs="B Nazanin"/>
          <w:sz w:val="32"/>
          <w:szCs w:val="32"/>
          <w:rtl/>
        </w:rPr>
        <w:t xml:space="preserve"> عالم قرن 6 ه‍</w:t>
      </w:r>
      <w:r w:rsidR="004601D1" w:rsidRPr="001E286D">
        <w:rPr>
          <w:rFonts w:cs="B Nazanin" w:hint="cs"/>
          <w:sz w:val="32"/>
          <w:szCs w:val="32"/>
          <w:rtl/>
        </w:rPr>
        <w:t xml:space="preserve"> . </w:t>
      </w:r>
      <w:r w:rsidRPr="001E286D">
        <w:rPr>
          <w:rFonts w:cs="B Nazanin"/>
          <w:sz w:val="32"/>
          <w:szCs w:val="32"/>
          <w:rtl/>
        </w:rPr>
        <w:t xml:space="preserve"> هم وجود داشته است</w:t>
      </w:r>
      <w:r w:rsidR="003F5B8A" w:rsidRPr="001E286D">
        <w:rPr>
          <w:rStyle w:val="FootnoteReference"/>
          <w:rFonts w:ascii="IRLotus" w:hAnsi="IRLotus" w:cs="B Nazanin"/>
          <w:sz w:val="32"/>
          <w:szCs w:val="32"/>
          <w:rtl/>
        </w:rPr>
        <w:footnoteReference w:id="11"/>
      </w:r>
      <w:r w:rsidRPr="001E286D">
        <w:rPr>
          <w:rFonts w:cs="B Nazanin"/>
          <w:sz w:val="32"/>
          <w:szCs w:val="32"/>
          <w:rtl/>
        </w:rPr>
        <w:t xml:space="preserve">. نبود این خبر در منابع روایی دست اول، ‌نخستین خدشه بر آن است. </w:t>
      </w:r>
    </w:p>
    <w:p w14:paraId="11F7F2BB" w14:textId="77777777" w:rsidR="006D4D90" w:rsidRPr="001E286D" w:rsidRDefault="006D4D90" w:rsidP="001E286D">
      <w:pPr>
        <w:bidi/>
        <w:rPr>
          <w:rFonts w:cs="B Nazanin"/>
          <w:sz w:val="32"/>
          <w:szCs w:val="32"/>
          <w:rtl/>
        </w:rPr>
      </w:pPr>
      <w:r w:rsidRPr="001E286D">
        <w:rPr>
          <w:rFonts w:cs="B Nazanin"/>
          <w:sz w:val="32"/>
          <w:szCs w:val="32"/>
          <w:rtl/>
        </w:rPr>
        <w:t>از نظر سلسله اسناد، راویان نام</w:t>
      </w:r>
      <w:r w:rsidRPr="001E286D">
        <w:rPr>
          <w:rFonts w:cs="B Nazanin"/>
          <w:sz w:val="32"/>
          <w:szCs w:val="32"/>
          <w:rtl/>
        </w:rPr>
        <w:softHyphen/>
        <w:t>برده شده در آن جز «احمد بن اسحاق قمي» در کتب رجالی یافت نمی‌شوند، و در سند روایت دیگری واقع نشده</w:t>
      </w:r>
      <w:r w:rsidRPr="001E286D">
        <w:rPr>
          <w:rFonts w:cs="B Nazanin"/>
          <w:sz w:val="32"/>
          <w:szCs w:val="32"/>
          <w:rtl/>
        </w:rPr>
        <w:softHyphen/>
        <w:t>اند. از نظر متن مهم</w:t>
      </w:r>
      <w:r w:rsidRPr="001E286D">
        <w:rPr>
          <w:rFonts w:cs="B Nazanin"/>
          <w:sz w:val="32"/>
          <w:szCs w:val="32"/>
          <w:rtl/>
        </w:rPr>
        <w:softHyphen/>
        <w:t xml:space="preserve">ترین اشکالی که به این خبر وارد است اینکه به نقل از رسول‌خدا به خدای متعال نسبت داده شده، است که </w:t>
      </w:r>
      <w:r w:rsidRPr="001E286D">
        <w:rPr>
          <w:rStyle w:val="1Char"/>
          <w:rFonts w:ascii="IRLotus" w:hAnsi="IRLotus" w:cs="B Nazanin"/>
          <w:iCs w:val="0"/>
          <w:sz w:val="32"/>
          <w:szCs w:val="32"/>
          <w:rtl/>
        </w:rPr>
        <w:t>به فرشتگان نویسنده اعمال دستور داده تا سه روز قلم را از همه مردم بردارند و چیزی از گناهان آنان را ننویسند</w:t>
      </w:r>
      <w:r w:rsidR="00354AC3" w:rsidRPr="001E286D">
        <w:rPr>
          <w:rStyle w:val="FootnoteReference"/>
          <w:rFonts w:ascii="IRLotus" w:hAnsi="IRLotus" w:cs="B Nazanin"/>
          <w:sz w:val="32"/>
          <w:szCs w:val="32"/>
          <w:rtl/>
          <w:lang w:bidi="fa-IR"/>
        </w:rPr>
        <w:footnoteReference w:id="12"/>
      </w:r>
      <w:r w:rsidRPr="001E286D">
        <w:rPr>
          <w:rStyle w:val="1Char"/>
          <w:rFonts w:ascii="IRLotus" w:hAnsi="IRLotus" w:cs="B Nazanin"/>
          <w:iCs w:val="0"/>
          <w:sz w:val="32"/>
          <w:szCs w:val="32"/>
          <w:rtl/>
        </w:rPr>
        <w:t xml:space="preserve">. این مطلب با </w:t>
      </w:r>
      <w:r w:rsidRPr="001E286D">
        <w:rPr>
          <w:rFonts w:cs="B Nazanin"/>
          <w:sz w:val="32"/>
          <w:szCs w:val="32"/>
          <w:rtl/>
        </w:rPr>
        <w:t>آیه «</w:t>
      </w:r>
      <w:r w:rsidRPr="001E286D">
        <w:rPr>
          <w:rStyle w:val="Char0"/>
          <w:rFonts w:ascii="IRLotus" w:eastAsiaTheme="minorHAnsi" w:hAnsi="IRLotus" w:cs="B Nazanin"/>
          <w:sz w:val="32"/>
          <w:szCs w:val="32"/>
          <w:rtl/>
        </w:rPr>
        <w:t>فمن یعمل مثقال ذرة شراً یره</w:t>
      </w:r>
      <w:r w:rsidRPr="001E286D">
        <w:rPr>
          <w:rFonts w:cs="B Nazanin"/>
          <w:sz w:val="32"/>
          <w:szCs w:val="32"/>
          <w:rtl/>
        </w:rPr>
        <w:t xml:space="preserve">» مخالفت دارد. </w:t>
      </w:r>
    </w:p>
    <w:p w14:paraId="7027A7D4" w14:textId="77777777" w:rsidR="006D4D90" w:rsidRPr="001E286D" w:rsidRDefault="006D4D90" w:rsidP="001E286D">
      <w:pPr>
        <w:bidi/>
        <w:rPr>
          <w:rStyle w:val="1Char"/>
          <w:rFonts w:ascii="IRLotus" w:hAnsi="IRLotus" w:cs="B Nazanin"/>
          <w:iCs w:val="0"/>
          <w:sz w:val="32"/>
          <w:szCs w:val="32"/>
          <w:rtl/>
        </w:rPr>
      </w:pPr>
      <w:r w:rsidRPr="001E286D">
        <w:rPr>
          <w:rFonts w:cs="B Nazanin"/>
          <w:sz w:val="32"/>
          <w:szCs w:val="32"/>
          <w:rtl/>
        </w:rPr>
        <w:lastRenderedPageBreak/>
        <w:t>این همه در حالی است که مورخان شیعه و سنی تاریخ مرگ خلیفه دوم را روزهای آ</w:t>
      </w:r>
      <w:r w:rsidR="00F2213E" w:rsidRPr="001E286D">
        <w:rPr>
          <w:rFonts w:cs="B Nazanin"/>
          <w:sz w:val="32"/>
          <w:szCs w:val="32"/>
          <w:rtl/>
        </w:rPr>
        <w:t>خر ذیحجه سال 23 هجرت دانسته‌اند</w:t>
      </w:r>
      <w:r w:rsidR="00F2213E" w:rsidRPr="001E286D">
        <w:rPr>
          <w:rStyle w:val="FootnoteReference"/>
          <w:rFonts w:ascii="IRLotus" w:hAnsi="IRLotus" w:cs="B Nazanin"/>
          <w:sz w:val="32"/>
          <w:szCs w:val="32"/>
          <w:rtl/>
        </w:rPr>
        <w:footnoteReference w:id="13"/>
      </w:r>
      <w:r w:rsidRPr="001E286D">
        <w:rPr>
          <w:rFonts w:cs="B Nazanin"/>
          <w:sz w:val="32"/>
          <w:szCs w:val="32"/>
          <w:rtl/>
        </w:rPr>
        <w:t>. حتی مرحوم مجلسی که خود نظریه نهم ربیع را نقل کرده است، می</w:t>
      </w:r>
      <w:r w:rsidRPr="001E286D">
        <w:rPr>
          <w:rFonts w:cs="B Nazanin"/>
          <w:sz w:val="32"/>
          <w:szCs w:val="32"/>
          <w:rtl/>
        </w:rPr>
        <w:softHyphen/>
        <w:t xml:space="preserve">نویسد: </w:t>
      </w:r>
      <w:r w:rsidRPr="001E286D">
        <w:rPr>
          <w:rStyle w:val="1Char"/>
          <w:rFonts w:ascii="IRLotus" w:hAnsi="IRLotus" w:cs="B Nazanin"/>
          <w:iCs w:val="0"/>
          <w:sz w:val="32"/>
          <w:szCs w:val="32"/>
          <w:rtl/>
        </w:rPr>
        <w:t>«اینکه گفته</w:t>
      </w:r>
      <w:r w:rsidRPr="001E286D">
        <w:rPr>
          <w:rStyle w:val="1Char"/>
          <w:rFonts w:ascii="IRLotus" w:hAnsi="IRLotus" w:cs="B Nazanin"/>
          <w:iCs w:val="0"/>
          <w:sz w:val="32"/>
          <w:szCs w:val="32"/>
          <w:rtl/>
        </w:rPr>
        <w:softHyphen/>
        <w:t>اند قتل عمر در ماه ذیحجه بوده بین فقهای شیعه امامیه مشهور است</w:t>
      </w:r>
      <w:r w:rsidR="00CB5E9F" w:rsidRPr="001E286D">
        <w:rPr>
          <w:rStyle w:val="FootnoteReference"/>
          <w:rFonts w:ascii="IRLotus" w:hAnsi="IRLotus" w:cs="B Nazanin"/>
          <w:sz w:val="32"/>
          <w:szCs w:val="32"/>
          <w:rtl/>
          <w:lang w:bidi="fa-IR"/>
        </w:rPr>
        <w:footnoteReference w:id="14"/>
      </w:r>
      <w:r w:rsidRPr="001E286D">
        <w:rPr>
          <w:rStyle w:val="1Char"/>
          <w:rFonts w:ascii="IRLotus" w:hAnsi="IRLotus" w:cs="B Nazanin"/>
          <w:iCs w:val="0"/>
          <w:sz w:val="32"/>
          <w:szCs w:val="32"/>
          <w:rtl/>
        </w:rPr>
        <w:t xml:space="preserve">.» </w:t>
      </w:r>
    </w:p>
    <w:p w14:paraId="3C5E5D30" w14:textId="77777777" w:rsidR="004D169D" w:rsidRPr="001E286D" w:rsidRDefault="006D4D90" w:rsidP="001E286D">
      <w:pPr>
        <w:bidi/>
        <w:rPr>
          <w:rFonts w:cs="B Nazanin"/>
          <w:sz w:val="32"/>
          <w:szCs w:val="32"/>
        </w:rPr>
      </w:pPr>
      <w:r w:rsidRPr="001E286D">
        <w:rPr>
          <w:rFonts w:cs="B Nazanin"/>
          <w:sz w:val="32"/>
          <w:szCs w:val="32"/>
          <w:rtl/>
        </w:rPr>
        <w:t>نتیجه آنکه قول درست درباره مرگ خلیفه دوم، اواخر ماه ذیحجه است، اما در دوره‌هایی که احتمال می‌رود آغاز آن، عصر آل بویه بوده باشد، این زمان را که با ایام سوگواری سالار شهیدان حسین بن علی</w:t>
      </w:r>
      <w:r w:rsidR="004601D1" w:rsidRPr="001E286D">
        <w:rPr>
          <w:rFonts w:cs="B Nazanin"/>
          <w:sz w:val="32"/>
          <w:szCs w:val="32"/>
          <w:shd w:val="clear" w:color="auto" w:fill="FFFFFF"/>
          <w:rtl/>
        </w:rPr>
        <w:t>(ع)</w:t>
      </w:r>
      <w:r w:rsidRPr="001E286D">
        <w:rPr>
          <w:rFonts w:cs="B Nazanin"/>
          <w:sz w:val="32"/>
          <w:szCs w:val="32"/>
          <w:rtl/>
        </w:rPr>
        <w:t xml:space="preserve"> تلاقی می‌کرده است، به بعد از ایام محرم و صفر یعنی ربیع الاول منتقل کرده‌اند. توضیح آنکه با روی کار آمدن دولت شیعی آل بویه(322 ـ 448)، مراسمی همچون غدیر و عاشورا گرامی داشته شد</w:t>
      </w:r>
      <w:r w:rsidR="0008723F" w:rsidRPr="001E286D">
        <w:rPr>
          <w:rStyle w:val="FootnoteReference"/>
          <w:rFonts w:ascii="IRLotus" w:hAnsi="IRLotus" w:cs="B Nazanin"/>
          <w:sz w:val="32"/>
          <w:szCs w:val="32"/>
          <w:rtl/>
        </w:rPr>
        <w:footnoteReference w:id="15"/>
      </w:r>
      <w:r w:rsidRPr="001E286D">
        <w:rPr>
          <w:rFonts w:cs="B Nazanin"/>
          <w:sz w:val="32"/>
          <w:szCs w:val="32"/>
          <w:rtl/>
        </w:rPr>
        <w:t xml:space="preserve">. و به نظر می‌رسد نزاع‌های فرقه‌‌ای، شیعیان را بدان سو برده که روز مرگ خلیفه دوم را شادمانی کنند. </w:t>
      </w:r>
    </w:p>
    <w:p w14:paraId="0B29C6F1" w14:textId="77777777" w:rsidR="006D4D90" w:rsidRPr="001E286D" w:rsidRDefault="006D4D90" w:rsidP="001E286D">
      <w:pPr>
        <w:bidi/>
        <w:rPr>
          <w:rFonts w:cs="B Nazanin"/>
          <w:color w:val="FF0000"/>
          <w:sz w:val="32"/>
          <w:szCs w:val="32"/>
          <w:rtl/>
        </w:rPr>
      </w:pPr>
      <w:r w:rsidRPr="001E286D">
        <w:rPr>
          <w:rFonts w:cs="B Nazanin"/>
          <w:color w:val="FF0000"/>
          <w:sz w:val="32"/>
          <w:szCs w:val="32"/>
          <w:rtl/>
        </w:rPr>
        <w:t xml:space="preserve">بخش دوم؛ جنبه اثباتی </w:t>
      </w:r>
    </w:p>
    <w:p w14:paraId="5CC1D07C" w14:textId="77777777" w:rsidR="006D4D90" w:rsidRPr="001E286D" w:rsidRDefault="006D4D90" w:rsidP="001E286D">
      <w:pPr>
        <w:bidi/>
        <w:rPr>
          <w:rFonts w:cs="B Nazanin"/>
          <w:sz w:val="32"/>
          <w:szCs w:val="32"/>
          <w:rtl/>
        </w:rPr>
      </w:pPr>
      <w:r w:rsidRPr="001E286D">
        <w:rPr>
          <w:rFonts w:cs="B Nazanin"/>
          <w:sz w:val="32"/>
          <w:szCs w:val="32"/>
          <w:rtl/>
        </w:rPr>
        <w:t>اکنون به بررسی ارتباط روز نهم ربیع الاول با مهدویت و امامت دوازدهمین حجت الهی می‌پردازیم.</w:t>
      </w:r>
    </w:p>
    <w:p w14:paraId="12680316" w14:textId="77777777" w:rsidR="006D4D90" w:rsidRPr="001E286D" w:rsidRDefault="006D4D90" w:rsidP="001E286D">
      <w:pPr>
        <w:bidi/>
        <w:rPr>
          <w:rFonts w:cs="B Nazanin"/>
          <w:sz w:val="32"/>
          <w:szCs w:val="32"/>
          <w:rtl/>
        </w:rPr>
      </w:pPr>
      <w:r w:rsidRPr="001E286D">
        <w:rPr>
          <w:rFonts w:cs="B Nazanin"/>
          <w:sz w:val="32"/>
          <w:szCs w:val="32"/>
          <w:rtl/>
        </w:rPr>
        <w:t>پس از شهادت هر امام، جانشین او که از سوی پیامبر اكرم</w:t>
      </w:r>
      <w:r w:rsidR="004601D1" w:rsidRPr="001E286D">
        <w:rPr>
          <w:rFonts w:cs="B Nazanin"/>
          <w:sz w:val="32"/>
          <w:szCs w:val="32"/>
          <w:rtl/>
        </w:rPr>
        <w:t>(ص)</w:t>
      </w:r>
      <w:r w:rsidRPr="001E286D">
        <w:rPr>
          <w:rFonts w:cs="B Nazanin"/>
          <w:sz w:val="32"/>
          <w:szCs w:val="32"/>
          <w:rtl/>
        </w:rPr>
        <w:t xml:space="preserve"> و به دستور خدای متعال و با تأکید پیشوای پیشین تعیین شده بود، به زعامت جامعه شیعه می‌رسید. خواص و نزدیکان آن امام ضمن تسلیت شهادت پدر (یا برادر در خصوص امام سوم) با پیشوای جدید بیعت می</w:t>
      </w:r>
      <w:r w:rsidRPr="001E286D">
        <w:rPr>
          <w:rFonts w:cs="B Nazanin"/>
          <w:sz w:val="32"/>
          <w:szCs w:val="32"/>
          <w:rtl/>
        </w:rPr>
        <w:softHyphen/>
        <w:t>کردند</w:t>
      </w:r>
      <w:r w:rsidR="007828CF" w:rsidRPr="001E286D">
        <w:rPr>
          <w:rStyle w:val="FootnoteReference"/>
          <w:rFonts w:ascii="IRLotus" w:hAnsi="IRLotus" w:cs="B Nazanin"/>
          <w:sz w:val="32"/>
          <w:szCs w:val="32"/>
          <w:rtl/>
        </w:rPr>
        <w:footnoteReference w:id="16"/>
      </w:r>
      <w:r w:rsidRPr="001E286D">
        <w:rPr>
          <w:rFonts w:cs="B Nazanin"/>
          <w:sz w:val="32"/>
          <w:szCs w:val="32"/>
          <w:rtl/>
        </w:rPr>
        <w:t>. هر چند اوضاع سیاسی و رعایت تقیه، غالباً مانع از بیعت عمومی یا حتی اطلاع همگانی از موضوع بود.در خصوص دوازدهمین امام شیعیان نیز همین روش جاری است. هنگامی که ابوالادیان نماینده امام عسکری</w:t>
      </w:r>
      <w:r w:rsidR="004601D1" w:rsidRPr="001E286D">
        <w:rPr>
          <w:rFonts w:cs="B Nazanin"/>
          <w:sz w:val="32"/>
          <w:szCs w:val="32"/>
          <w:shd w:val="clear" w:color="auto" w:fill="FFFFFF"/>
          <w:rtl/>
        </w:rPr>
        <w:t>(ع)</w:t>
      </w:r>
      <w:r w:rsidRPr="001E286D">
        <w:rPr>
          <w:rFonts w:cs="B Nazanin"/>
          <w:sz w:val="32"/>
          <w:szCs w:val="32"/>
          <w:rtl/>
        </w:rPr>
        <w:t xml:space="preserve"> از مأموریت خود بازگشت، دید که مردم به اشتباه سراغ «جعفر» رفته و او </w:t>
      </w:r>
      <w:r w:rsidRPr="001E286D">
        <w:rPr>
          <w:rFonts w:cs="B Nazanin"/>
          <w:sz w:val="32"/>
          <w:szCs w:val="32"/>
          <w:rtl/>
        </w:rPr>
        <w:lastRenderedPageBreak/>
        <w:t>را به مرگ برادر تسلیت می‌دهند. و به امامت تهنیت می‌گویند</w:t>
      </w:r>
      <w:r w:rsidR="00D07EF9" w:rsidRPr="001E286D">
        <w:rPr>
          <w:rStyle w:val="FootnoteReference"/>
          <w:rFonts w:ascii="IRLotus" w:hAnsi="IRLotus" w:cs="B Nazanin"/>
          <w:sz w:val="32"/>
          <w:szCs w:val="32"/>
          <w:rtl/>
        </w:rPr>
        <w:footnoteReference w:id="17"/>
      </w:r>
      <w:r w:rsidRPr="001E286D">
        <w:rPr>
          <w:rFonts w:cs="B Nazanin"/>
          <w:sz w:val="32"/>
          <w:szCs w:val="32"/>
          <w:rtl/>
        </w:rPr>
        <w:t xml:space="preserve">،  اگرچه شیعیان در مصداق به خطا رفته بودند، ولی این روایت نشان‌دهنده رواج آن شیوه معمول در میان امامیه نیز هست. </w:t>
      </w:r>
    </w:p>
    <w:p w14:paraId="3B4B14E5" w14:textId="77777777" w:rsidR="006D4D90" w:rsidRPr="001E286D" w:rsidRDefault="006D4D90" w:rsidP="001E286D">
      <w:pPr>
        <w:bidi/>
        <w:rPr>
          <w:rFonts w:cs="B Nazanin"/>
          <w:sz w:val="32"/>
          <w:szCs w:val="32"/>
          <w:rtl/>
        </w:rPr>
      </w:pPr>
      <w:r w:rsidRPr="001E286D">
        <w:rPr>
          <w:rFonts w:cs="B Nazanin"/>
          <w:sz w:val="32"/>
          <w:szCs w:val="32"/>
          <w:rtl/>
        </w:rPr>
        <w:t>مشخص شدن زمان آغاز امامت حضرت ولی عصر</w:t>
      </w:r>
      <w:r w:rsidR="004601D1" w:rsidRPr="001E286D">
        <w:rPr>
          <w:rFonts w:cs="B Nazanin"/>
          <w:sz w:val="32"/>
          <w:szCs w:val="32"/>
          <w:rtl/>
        </w:rPr>
        <w:t>(عج)</w:t>
      </w:r>
      <w:r w:rsidRPr="001E286D">
        <w:rPr>
          <w:rFonts w:cs="B Nazanin"/>
          <w:sz w:val="32"/>
          <w:szCs w:val="32"/>
          <w:rtl/>
        </w:rPr>
        <w:t xml:space="preserve"> متوقف بر آن است که زمان شهادت امام عسکری</w:t>
      </w:r>
      <w:r w:rsidR="004601D1" w:rsidRPr="001E286D">
        <w:rPr>
          <w:rFonts w:cs="B Nazanin"/>
          <w:sz w:val="32"/>
          <w:szCs w:val="32"/>
          <w:shd w:val="clear" w:color="auto" w:fill="FFFFFF"/>
          <w:rtl/>
        </w:rPr>
        <w:t>(ع)</w:t>
      </w:r>
      <w:r w:rsidRPr="001E286D">
        <w:rPr>
          <w:rFonts w:cs="B Nazanin"/>
          <w:sz w:val="32"/>
          <w:szCs w:val="32"/>
          <w:rtl/>
        </w:rPr>
        <w:t xml:space="preserve"> روشن شود. </w:t>
      </w:r>
    </w:p>
    <w:p w14:paraId="4A6D6DFB" w14:textId="77777777" w:rsidR="006D4D90" w:rsidRPr="001E286D" w:rsidRDefault="006D4D90" w:rsidP="001E286D">
      <w:pPr>
        <w:bidi/>
        <w:rPr>
          <w:rFonts w:cs="B Nazanin"/>
          <w:sz w:val="32"/>
          <w:szCs w:val="32"/>
          <w:rtl/>
        </w:rPr>
      </w:pPr>
      <w:r w:rsidRPr="001E286D">
        <w:rPr>
          <w:rFonts w:cs="B Nazanin"/>
          <w:sz w:val="32"/>
          <w:szCs w:val="32"/>
          <w:rtl/>
        </w:rPr>
        <w:t>عالمان بزرگ امامیه مانند شیخ کلینی</w:t>
      </w:r>
      <w:r w:rsidRPr="001E286D">
        <w:rPr>
          <w:rFonts w:cs="B Nazanin"/>
          <w:sz w:val="32"/>
          <w:szCs w:val="32"/>
        </w:rPr>
        <w:sym w:font="Alaem" w:char="F03B"/>
      </w:r>
      <w:r w:rsidRPr="001E286D">
        <w:rPr>
          <w:rFonts w:cs="B Nazanin"/>
          <w:sz w:val="32"/>
          <w:szCs w:val="32"/>
          <w:rtl/>
        </w:rPr>
        <w:t>، شیخ صدوق</w:t>
      </w:r>
      <w:r w:rsidRPr="001E286D">
        <w:rPr>
          <w:rFonts w:cs="B Nazanin"/>
          <w:sz w:val="32"/>
          <w:szCs w:val="32"/>
        </w:rPr>
        <w:sym w:font="Alaem" w:char="F03B"/>
      </w:r>
      <w:r w:rsidRPr="001E286D">
        <w:rPr>
          <w:rFonts w:cs="B Nazanin"/>
          <w:sz w:val="32"/>
          <w:szCs w:val="32"/>
          <w:rtl/>
        </w:rPr>
        <w:t>، شیخ مفید</w:t>
      </w:r>
      <w:r w:rsidRPr="001E286D">
        <w:rPr>
          <w:rFonts w:cs="B Nazanin"/>
          <w:sz w:val="32"/>
          <w:szCs w:val="32"/>
        </w:rPr>
        <w:sym w:font="Alaem" w:char="F03B"/>
      </w:r>
      <w:r w:rsidRPr="001E286D">
        <w:rPr>
          <w:rFonts w:cs="B Nazanin"/>
          <w:sz w:val="32"/>
          <w:szCs w:val="32"/>
          <w:rtl/>
        </w:rPr>
        <w:t xml:space="preserve"> و شیخ طوسی شهادت امام حسن عسکری</w:t>
      </w:r>
      <w:r w:rsidR="004601D1" w:rsidRPr="001E286D">
        <w:rPr>
          <w:rFonts w:cs="B Nazanin"/>
          <w:sz w:val="32"/>
          <w:szCs w:val="32"/>
          <w:shd w:val="clear" w:color="auto" w:fill="FFFFFF"/>
          <w:rtl/>
        </w:rPr>
        <w:t>(ع)</w:t>
      </w:r>
      <w:r w:rsidRPr="001E286D">
        <w:rPr>
          <w:rFonts w:cs="B Nazanin"/>
          <w:sz w:val="32"/>
          <w:szCs w:val="32"/>
          <w:rtl/>
        </w:rPr>
        <w:t xml:space="preserve"> را روز جمعه هشتم ربیع</w:t>
      </w:r>
      <w:r w:rsidRPr="001E286D">
        <w:rPr>
          <w:rFonts w:cs="B Nazanin"/>
          <w:sz w:val="32"/>
          <w:szCs w:val="32"/>
          <w:rtl/>
        </w:rPr>
        <w:softHyphen/>
        <w:t>الاول سال 260 ثبت کرده‌اند</w:t>
      </w:r>
      <w:r w:rsidR="006B7F64" w:rsidRPr="001E286D">
        <w:rPr>
          <w:rStyle w:val="FootnoteReference"/>
          <w:rFonts w:ascii="IRLotus" w:hAnsi="IRLotus" w:cs="B Nazanin"/>
          <w:sz w:val="32"/>
          <w:szCs w:val="32"/>
          <w:rtl/>
        </w:rPr>
        <w:footnoteReference w:id="18"/>
      </w:r>
      <w:r w:rsidR="006B7F64" w:rsidRPr="001E286D">
        <w:rPr>
          <w:rFonts w:cs="B Nazanin" w:hint="cs"/>
          <w:sz w:val="32"/>
          <w:szCs w:val="32"/>
          <w:rtl/>
        </w:rPr>
        <w:t>.</w:t>
      </w:r>
      <w:r w:rsidRPr="001E286D">
        <w:rPr>
          <w:rFonts w:cs="B Nazanin"/>
          <w:sz w:val="32"/>
          <w:szCs w:val="32"/>
          <w:rtl/>
        </w:rPr>
        <w:t xml:space="preserve"> البته اقوال دیگری بر خلاف این قول مشهور نيز هست. مانند اینکه «مسعودی» در «اثبات</w:t>
      </w:r>
      <w:r w:rsidRPr="001E286D">
        <w:rPr>
          <w:rFonts w:cs="B Nazanin"/>
          <w:sz w:val="32"/>
          <w:szCs w:val="32"/>
          <w:rtl/>
        </w:rPr>
        <w:softHyphen/>
        <w:t>الوصیه» شهادت امام عسکری</w:t>
      </w:r>
      <w:r w:rsidR="004601D1" w:rsidRPr="001E286D">
        <w:rPr>
          <w:rFonts w:cs="B Nazanin"/>
          <w:sz w:val="32"/>
          <w:szCs w:val="32"/>
          <w:shd w:val="clear" w:color="auto" w:fill="FFFFFF"/>
          <w:rtl/>
        </w:rPr>
        <w:t>(ع)</w:t>
      </w:r>
      <w:r w:rsidRPr="001E286D">
        <w:rPr>
          <w:rFonts w:cs="B Nazanin"/>
          <w:sz w:val="32"/>
          <w:szCs w:val="32"/>
          <w:rtl/>
        </w:rPr>
        <w:t xml:space="preserve"> را در ماه ربیع</w:t>
      </w:r>
      <w:r w:rsidRPr="001E286D">
        <w:rPr>
          <w:rFonts w:cs="B Nazanin"/>
          <w:sz w:val="32"/>
          <w:szCs w:val="32"/>
          <w:rtl/>
        </w:rPr>
        <w:softHyphen/>
        <w:t>الآخر سال 260 ه‍‍ دانسته است</w:t>
      </w:r>
      <w:r w:rsidR="00E178BA" w:rsidRPr="001E286D">
        <w:rPr>
          <w:rStyle w:val="FootnoteReference"/>
          <w:rFonts w:ascii="IRLotus" w:hAnsi="IRLotus" w:cs="B Nazanin"/>
          <w:sz w:val="32"/>
          <w:szCs w:val="32"/>
          <w:rtl/>
        </w:rPr>
        <w:footnoteReference w:id="19"/>
      </w:r>
      <w:r w:rsidRPr="001E286D">
        <w:rPr>
          <w:rFonts w:cs="B Nazanin"/>
          <w:sz w:val="32"/>
          <w:szCs w:val="32"/>
          <w:rtl/>
        </w:rPr>
        <w:t xml:space="preserve"> </w:t>
      </w:r>
      <w:r w:rsidR="00E178BA" w:rsidRPr="001E286D">
        <w:rPr>
          <w:rFonts w:cs="B Nazanin" w:hint="cs"/>
          <w:sz w:val="32"/>
          <w:szCs w:val="32"/>
          <w:rtl/>
        </w:rPr>
        <w:t>.</w:t>
      </w:r>
      <w:r w:rsidRPr="001E286D">
        <w:rPr>
          <w:rFonts w:cs="B Nazanin"/>
          <w:sz w:val="32"/>
          <w:szCs w:val="32"/>
          <w:rtl/>
        </w:rPr>
        <w:t>البته وی در جای دیگر سخنی نزدیک‌تر به مشهور دارد و می</w:t>
      </w:r>
      <w:r w:rsidRPr="001E286D">
        <w:rPr>
          <w:rFonts w:cs="B Nazanin"/>
          <w:sz w:val="32"/>
          <w:szCs w:val="32"/>
          <w:rtl/>
        </w:rPr>
        <w:softHyphen/>
        <w:t xml:space="preserve">نویسد: </w:t>
      </w:r>
      <w:r w:rsidRPr="001E286D">
        <w:rPr>
          <w:rStyle w:val="1Char"/>
          <w:rFonts w:ascii="IRLotus" w:hAnsi="IRLotus" w:cs="B Nazanin"/>
          <w:iCs w:val="0"/>
          <w:sz w:val="32"/>
          <w:szCs w:val="32"/>
          <w:rtl/>
        </w:rPr>
        <w:t>«حضرت صاحب در روز جمعه یازدهم ربیع</w:t>
      </w:r>
      <w:r w:rsidRPr="001E286D">
        <w:rPr>
          <w:rStyle w:val="1Char"/>
          <w:rFonts w:ascii="IRLotus" w:hAnsi="IRLotus" w:cs="B Nazanin"/>
          <w:iCs w:val="0"/>
          <w:sz w:val="32"/>
          <w:szCs w:val="32"/>
          <w:rtl/>
        </w:rPr>
        <w:softHyphen/>
        <w:t xml:space="preserve">الاول 260 </w:t>
      </w:r>
      <w:r w:rsidRPr="001E286D">
        <w:rPr>
          <w:rFonts w:cs="B Nazanin"/>
          <w:sz w:val="32"/>
          <w:szCs w:val="32"/>
          <w:rtl/>
        </w:rPr>
        <w:t xml:space="preserve">ه‍ </w:t>
      </w:r>
      <w:r w:rsidRPr="001E286D">
        <w:rPr>
          <w:rStyle w:val="1Char"/>
          <w:rFonts w:ascii="IRLotus" w:hAnsi="IRLotus" w:cs="B Nazanin"/>
          <w:iCs w:val="0"/>
          <w:sz w:val="32"/>
          <w:szCs w:val="32"/>
          <w:rtl/>
        </w:rPr>
        <w:t>امر امامت را بر عهده گرفت</w:t>
      </w:r>
      <w:r w:rsidR="00507EC3" w:rsidRPr="001E286D">
        <w:rPr>
          <w:rStyle w:val="FootnoteReference"/>
          <w:rFonts w:ascii="IRLotus" w:hAnsi="IRLotus" w:cs="B Nazanin"/>
          <w:sz w:val="32"/>
          <w:szCs w:val="32"/>
          <w:rtl/>
          <w:lang w:bidi="fa-IR"/>
        </w:rPr>
        <w:footnoteReference w:id="20"/>
      </w:r>
      <w:r w:rsidRPr="001E286D">
        <w:rPr>
          <w:rStyle w:val="1Char"/>
          <w:rFonts w:ascii="IRLotus" w:hAnsi="IRLotus" w:cs="B Nazanin"/>
          <w:iCs w:val="0"/>
          <w:sz w:val="32"/>
          <w:szCs w:val="32"/>
          <w:rtl/>
        </w:rPr>
        <w:t xml:space="preserve">» </w:t>
      </w:r>
      <w:r w:rsidRPr="001E286D">
        <w:rPr>
          <w:rFonts w:cs="B Nazanin"/>
          <w:sz w:val="32"/>
          <w:szCs w:val="32"/>
          <w:rtl/>
        </w:rPr>
        <w:t xml:space="preserve">این احتمال هم هست که وی شهادت امام </w:t>
      </w:r>
      <w:r w:rsidR="004601D1" w:rsidRPr="001E286D">
        <w:rPr>
          <w:rFonts w:cs="B Nazanin" w:hint="cs"/>
          <w:sz w:val="32"/>
          <w:szCs w:val="32"/>
          <w:rtl/>
        </w:rPr>
        <w:t xml:space="preserve">عسکری(ع) </w:t>
      </w:r>
      <w:r w:rsidRPr="001E286D">
        <w:rPr>
          <w:rFonts w:cs="B Nazanin"/>
          <w:sz w:val="32"/>
          <w:szCs w:val="32"/>
          <w:rtl/>
        </w:rPr>
        <w:t>را با تولدش که درهشتم یا دهم ماه ربیع</w:t>
      </w:r>
      <w:r w:rsidRPr="001E286D">
        <w:rPr>
          <w:rFonts w:cs="B Nazanin"/>
          <w:sz w:val="32"/>
          <w:szCs w:val="32"/>
          <w:rtl/>
        </w:rPr>
        <w:softHyphen/>
        <w:t>الآخر بوده خلط کرده باشد.</w:t>
      </w:r>
    </w:p>
    <w:p w14:paraId="63211963" w14:textId="77777777" w:rsidR="006D4D90" w:rsidRPr="001E286D" w:rsidRDefault="006D4D90" w:rsidP="001E286D">
      <w:pPr>
        <w:bidi/>
        <w:rPr>
          <w:rFonts w:cs="B Nazanin"/>
          <w:sz w:val="32"/>
          <w:szCs w:val="32"/>
          <w:rtl/>
        </w:rPr>
      </w:pPr>
      <w:r w:rsidRPr="001E286D">
        <w:rPr>
          <w:rFonts w:cs="B Nazanin"/>
          <w:sz w:val="32"/>
          <w:szCs w:val="32"/>
          <w:rtl/>
        </w:rPr>
        <w:t>این اقوال یا قول به چهارم ربیع</w:t>
      </w:r>
      <w:r w:rsidRPr="001E286D">
        <w:rPr>
          <w:rFonts w:cs="B Nazanin"/>
          <w:sz w:val="32"/>
          <w:szCs w:val="32"/>
          <w:rtl/>
        </w:rPr>
        <w:softHyphen/>
        <w:t>الاول یا ماه ربیع</w:t>
      </w:r>
      <w:r w:rsidRPr="001E286D">
        <w:rPr>
          <w:rFonts w:cs="B Nazanin"/>
          <w:sz w:val="32"/>
          <w:szCs w:val="32"/>
          <w:rtl/>
        </w:rPr>
        <w:softHyphen/>
        <w:t>الآخر یا 13 محرم یا اول ربیع</w:t>
      </w:r>
      <w:r w:rsidRPr="001E286D">
        <w:rPr>
          <w:rFonts w:cs="B Nazanin"/>
          <w:sz w:val="32"/>
          <w:szCs w:val="32"/>
          <w:rtl/>
        </w:rPr>
        <w:softHyphen/>
        <w:t>الاول نمی</w:t>
      </w:r>
      <w:r w:rsidRPr="001E286D">
        <w:rPr>
          <w:rFonts w:cs="B Nazanin"/>
          <w:sz w:val="32"/>
          <w:szCs w:val="32"/>
          <w:rtl/>
        </w:rPr>
        <w:softHyphen/>
        <w:t>تواند در برابر قول مشهور برابری کند. نظریه شهادت امام یازدهم</w:t>
      </w:r>
      <w:r w:rsidR="004601D1" w:rsidRPr="001E286D">
        <w:rPr>
          <w:rFonts w:cs="B Nazanin"/>
          <w:sz w:val="32"/>
          <w:szCs w:val="32"/>
          <w:rtl/>
        </w:rPr>
        <w:t>(ع)</w:t>
      </w:r>
      <w:r w:rsidRPr="001E286D">
        <w:rPr>
          <w:rFonts w:cs="B Nazanin"/>
          <w:sz w:val="32"/>
          <w:szCs w:val="32"/>
          <w:rtl/>
        </w:rPr>
        <w:t xml:space="preserve"> در هشتم ربیع الاول اختصاص به شیعه ندارد و مورخان اهل سنت، هم آن را</w:t>
      </w:r>
      <w:r w:rsidR="004601D1" w:rsidRPr="001E286D">
        <w:rPr>
          <w:rFonts w:cs="B Nazanin" w:hint="cs"/>
          <w:sz w:val="32"/>
          <w:szCs w:val="32"/>
          <w:rtl/>
        </w:rPr>
        <w:t xml:space="preserve"> </w:t>
      </w:r>
      <w:r w:rsidRPr="001E286D">
        <w:rPr>
          <w:rFonts w:cs="B Nazanin"/>
          <w:sz w:val="32"/>
          <w:szCs w:val="32"/>
          <w:rtl/>
        </w:rPr>
        <w:t>ذکر کرده‌اند. ابن طاووس از عالمان و مورخان زیادی که هشتم ربیع الاول را روز شهادت امام عسکری</w:t>
      </w:r>
      <w:r w:rsidR="004601D1" w:rsidRPr="001E286D">
        <w:rPr>
          <w:rFonts w:cs="B Nazanin"/>
          <w:sz w:val="32"/>
          <w:szCs w:val="32"/>
          <w:shd w:val="clear" w:color="auto" w:fill="FFFFFF"/>
          <w:rtl/>
        </w:rPr>
        <w:t>(ع)</w:t>
      </w:r>
      <w:r w:rsidRPr="001E286D">
        <w:rPr>
          <w:rFonts w:cs="B Nazanin"/>
          <w:sz w:val="32"/>
          <w:szCs w:val="32"/>
          <w:rtl/>
        </w:rPr>
        <w:t xml:space="preserve"> دانسته‌اند، نام برده است</w:t>
      </w:r>
      <w:r w:rsidR="003324A2" w:rsidRPr="001E286D">
        <w:rPr>
          <w:rStyle w:val="FootnoteReference"/>
          <w:rFonts w:ascii="IRLotus" w:hAnsi="IRLotus" w:cs="B Nazanin"/>
          <w:sz w:val="32"/>
          <w:szCs w:val="32"/>
          <w:rtl/>
        </w:rPr>
        <w:footnoteReference w:id="21"/>
      </w:r>
      <w:r w:rsidRPr="001E286D">
        <w:rPr>
          <w:rFonts w:cs="B Nazanin"/>
          <w:sz w:val="32"/>
          <w:szCs w:val="32"/>
          <w:rtl/>
        </w:rPr>
        <w:t xml:space="preserve"> </w:t>
      </w:r>
      <w:r w:rsidR="003324A2" w:rsidRPr="001E286D">
        <w:rPr>
          <w:rFonts w:cs="B Nazanin" w:hint="cs"/>
          <w:sz w:val="32"/>
          <w:szCs w:val="32"/>
          <w:rtl/>
        </w:rPr>
        <w:t>.</w:t>
      </w:r>
      <w:r w:rsidRPr="001E286D">
        <w:rPr>
          <w:rFonts w:cs="B Nazanin"/>
          <w:sz w:val="32"/>
          <w:szCs w:val="32"/>
          <w:rtl/>
        </w:rPr>
        <w:t>به طوری‌که اختلاف در تاریخ شهادت امام عسکری</w:t>
      </w:r>
      <w:r w:rsidR="004601D1" w:rsidRPr="001E286D">
        <w:rPr>
          <w:rFonts w:cs="B Nazanin"/>
          <w:sz w:val="32"/>
          <w:szCs w:val="32"/>
          <w:rtl/>
        </w:rPr>
        <w:t>(ع)</w:t>
      </w:r>
      <w:r w:rsidRPr="001E286D">
        <w:rPr>
          <w:rFonts w:cs="B Nazanin"/>
          <w:sz w:val="32"/>
          <w:szCs w:val="32"/>
          <w:rtl/>
        </w:rPr>
        <w:t xml:space="preserve"> نسبت به دیگر رویدادها یا وفیات بسیار کمتر و اتفاق نظر دربار</w:t>
      </w:r>
      <w:r w:rsidR="00756578" w:rsidRPr="001E286D">
        <w:rPr>
          <w:rFonts w:cs="B Nazanin"/>
          <w:sz w:val="32"/>
          <w:szCs w:val="32"/>
          <w:rtl/>
        </w:rPr>
        <w:t>ه</w:t>
      </w:r>
      <w:r w:rsidRPr="001E286D">
        <w:rPr>
          <w:rFonts w:cs="B Nazanin"/>
          <w:sz w:val="32"/>
          <w:szCs w:val="32"/>
          <w:rtl/>
        </w:rPr>
        <w:t xml:space="preserve"> آن جدّی</w:t>
      </w:r>
      <w:r w:rsidRPr="001E286D">
        <w:rPr>
          <w:rFonts w:cs="B Nazanin"/>
          <w:sz w:val="32"/>
          <w:szCs w:val="32"/>
          <w:rtl/>
        </w:rPr>
        <w:softHyphen/>
        <w:t>تر است. به طوری که یکی از محققان معاصر می</w:t>
      </w:r>
      <w:r w:rsidRPr="001E286D">
        <w:rPr>
          <w:rFonts w:cs="B Nazanin"/>
          <w:sz w:val="32"/>
          <w:szCs w:val="32"/>
          <w:rtl/>
        </w:rPr>
        <w:softHyphen/>
        <w:t xml:space="preserve">نویسد: </w:t>
      </w:r>
      <w:r w:rsidRPr="001E286D">
        <w:rPr>
          <w:rStyle w:val="1Char"/>
          <w:rFonts w:ascii="IRLotus" w:hAnsi="IRLotus" w:cs="B Nazanin"/>
          <w:iCs w:val="0"/>
          <w:sz w:val="32"/>
          <w:szCs w:val="32"/>
          <w:rtl/>
        </w:rPr>
        <w:t>«اتفاقی مورخان است که شهادت امام عسکری</w:t>
      </w:r>
      <w:r w:rsidR="004601D1" w:rsidRPr="001E286D">
        <w:rPr>
          <w:rFonts w:cs="B Nazanin"/>
          <w:sz w:val="32"/>
          <w:szCs w:val="32"/>
          <w:rtl/>
        </w:rPr>
        <w:t>(ع)</w:t>
      </w:r>
      <w:r w:rsidRPr="001E286D">
        <w:rPr>
          <w:rStyle w:val="1Char"/>
          <w:rFonts w:ascii="IRLotus" w:hAnsi="IRLotus" w:cs="B Nazanin"/>
          <w:iCs w:val="0"/>
          <w:sz w:val="32"/>
          <w:szCs w:val="32"/>
          <w:rtl/>
        </w:rPr>
        <w:t xml:space="preserve"> در هشتم ربیع</w:t>
      </w:r>
      <w:r w:rsidRPr="001E286D">
        <w:rPr>
          <w:rStyle w:val="1Char"/>
          <w:rFonts w:ascii="IRLotus" w:hAnsi="IRLotus" w:cs="B Nazanin"/>
          <w:iCs w:val="0"/>
          <w:sz w:val="32"/>
          <w:szCs w:val="32"/>
          <w:rtl/>
        </w:rPr>
        <w:softHyphen/>
        <w:t>الاول از سال 260 اتفاق افتاده است</w:t>
      </w:r>
      <w:r w:rsidR="000E6CFF" w:rsidRPr="001E286D">
        <w:rPr>
          <w:rStyle w:val="FootnoteReference"/>
          <w:rFonts w:ascii="IRLotus" w:hAnsi="IRLotus" w:cs="B Nazanin"/>
          <w:sz w:val="32"/>
          <w:szCs w:val="32"/>
          <w:rtl/>
          <w:lang w:bidi="fa-IR"/>
        </w:rPr>
        <w:footnoteReference w:id="22"/>
      </w:r>
      <w:r w:rsidR="004601D1" w:rsidRPr="001E286D">
        <w:rPr>
          <w:rStyle w:val="1Char"/>
          <w:rFonts w:ascii="IRLotus" w:hAnsi="IRLotus" w:cs="B Nazanin" w:hint="cs"/>
          <w:iCs w:val="0"/>
          <w:sz w:val="32"/>
          <w:szCs w:val="32"/>
          <w:rtl/>
        </w:rPr>
        <w:t>»</w:t>
      </w:r>
      <w:r w:rsidRPr="001E286D">
        <w:rPr>
          <w:rStyle w:val="1Char"/>
          <w:rFonts w:ascii="IRLotus" w:hAnsi="IRLotus" w:cs="B Nazanin"/>
          <w:iCs w:val="0"/>
          <w:sz w:val="32"/>
          <w:szCs w:val="32"/>
          <w:rtl/>
        </w:rPr>
        <w:t xml:space="preserve"> </w:t>
      </w:r>
    </w:p>
    <w:p w14:paraId="07D7D7B1" w14:textId="77777777" w:rsidR="006D4D90" w:rsidRPr="001E286D" w:rsidRDefault="006D4D90" w:rsidP="001E286D">
      <w:pPr>
        <w:bidi/>
        <w:rPr>
          <w:rFonts w:cs="B Nazanin"/>
          <w:sz w:val="32"/>
          <w:szCs w:val="32"/>
          <w:rtl/>
        </w:rPr>
      </w:pPr>
      <w:r w:rsidRPr="001E286D">
        <w:rPr>
          <w:rFonts w:cs="B Nazanin"/>
          <w:sz w:val="32"/>
          <w:szCs w:val="32"/>
          <w:rtl/>
        </w:rPr>
        <w:lastRenderedPageBreak/>
        <w:t>خلاصه</w:t>
      </w:r>
      <w:r w:rsidR="004601D1" w:rsidRPr="001E286D">
        <w:rPr>
          <w:rFonts w:cs="B Nazanin"/>
          <w:sz w:val="32"/>
          <w:szCs w:val="32"/>
          <w:rtl/>
        </w:rPr>
        <w:t xml:space="preserve"> کلا</w:t>
      </w:r>
      <w:r w:rsidR="004601D1" w:rsidRPr="001E286D">
        <w:rPr>
          <w:rFonts w:cs="B Nazanin" w:hint="cs"/>
          <w:sz w:val="32"/>
          <w:szCs w:val="32"/>
          <w:rtl/>
        </w:rPr>
        <w:t xml:space="preserve">م </w:t>
      </w:r>
      <w:r w:rsidRPr="001E286D">
        <w:rPr>
          <w:rFonts w:cs="B Nazanin"/>
          <w:sz w:val="32"/>
          <w:szCs w:val="32"/>
          <w:rtl/>
        </w:rPr>
        <w:t>آنکه نظری</w:t>
      </w:r>
      <w:r w:rsidR="004601D1" w:rsidRPr="001E286D">
        <w:rPr>
          <w:rFonts w:cs="B Nazanin"/>
          <w:sz w:val="32"/>
          <w:szCs w:val="32"/>
          <w:rtl/>
        </w:rPr>
        <w:t>ه</w:t>
      </w:r>
      <w:r w:rsidRPr="001E286D">
        <w:rPr>
          <w:rFonts w:cs="B Nazanin"/>
          <w:sz w:val="32"/>
          <w:szCs w:val="32"/>
          <w:rtl/>
        </w:rPr>
        <w:t xml:space="preserve"> مشهور و معتبر درباره زمان شهادت امام حسن عسکری علیه</w:t>
      </w:r>
      <w:r w:rsidRPr="001E286D">
        <w:rPr>
          <w:rFonts w:cs="B Nazanin"/>
          <w:sz w:val="32"/>
          <w:szCs w:val="32"/>
          <w:rtl/>
        </w:rPr>
        <w:softHyphen/>
        <w:t>السلام روز هشتم ربیع‌ الاول است و اقوالی که با این سخن مخالفت دارد قابل اعتنا نیست بخصوص که آن نظریه</w:t>
      </w:r>
      <w:r w:rsidRPr="001E286D">
        <w:rPr>
          <w:rFonts w:cs="B Nazanin"/>
          <w:sz w:val="32"/>
          <w:szCs w:val="32"/>
          <w:rtl/>
        </w:rPr>
        <w:softHyphen/>
        <w:t>ها هر کدام به تنهایی توانایی برابری با قول مشهور را ندارند، و قرینه</w:t>
      </w:r>
      <w:r w:rsidRPr="001E286D">
        <w:rPr>
          <w:rFonts w:cs="B Nazanin"/>
          <w:sz w:val="32"/>
          <w:szCs w:val="32"/>
          <w:rtl/>
        </w:rPr>
        <w:softHyphen/>
        <w:t xml:space="preserve">ای بر صحّت و ترجیح آنها وجود ندارد. </w:t>
      </w:r>
    </w:p>
    <w:p w14:paraId="7E7A43EA" w14:textId="77777777" w:rsidR="006D4D90" w:rsidRPr="001E286D" w:rsidRDefault="006D4D90" w:rsidP="001E286D">
      <w:pPr>
        <w:bidi/>
        <w:rPr>
          <w:rFonts w:cs="B Nazanin"/>
          <w:color w:val="FF0000"/>
          <w:sz w:val="32"/>
          <w:szCs w:val="32"/>
          <w:rtl/>
        </w:rPr>
      </w:pPr>
      <w:r w:rsidRPr="001E286D">
        <w:rPr>
          <w:rFonts w:cs="B Nazanin"/>
          <w:color w:val="FF0000"/>
          <w:sz w:val="32"/>
          <w:szCs w:val="32"/>
          <w:rtl/>
        </w:rPr>
        <w:t>نتیجه‌گیری</w:t>
      </w:r>
    </w:p>
    <w:p w14:paraId="338C6510" w14:textId="77777777" w:rsidR="006D4D90" w:rsidRPr="001E286D" w:rsidRDefault="006D4D90" w:rsidP="001E286D">
      <w:pPr>
        <w:bidi/>
        <w:rPr>
          <w:rFonts w:cs="B Nazanin"/>
          <w:sz w:val="32"/>
          <w:szCs w:val="32"/>
          <w:rtl/>
        </w:rPr>
      </w:pPr>
      <w:r w:rsidRPr="001E286D">
        <w:rPr>
          <w:rFonts w:cs="B Nazanin"/>
          <w:sz w:val="32"/>
          <w:szCs w:val="32"/>
          <w:rtl/>
        </w:rPr>
        <w:t>بنابراین روز نهم ربیع</w:t>
      </w:r>
      <w:r w:rsidRPr="001E286D">
        <w:rPr>
          <w:rFonts w:cs="B Nazanin"/>
          <w:sz w:val="32"/>
          <w:szCs w:val="32"/>
          <w:rtl/>
        </w:rPr>
        <w:softHyphen/>
        <w:t>الاول مصادف با اولین روز امامت حضرت ولی</w:t>
      </w:r>
      <w:r w:rsidRPr="001E286D">
        <w:rPr>
          <w:rFonts w:cs="B Nazanin"/>
          <w:sz w:val="32"/>
          <w:szCs w:val="32"/>
          <w:rtl/>
        </w:rPr>
        <w:softHyphen/>
        <w:t xml:space="preserve">عصر امام زمان </w:t>
      </w:r>
      <w:r w:rsidR="001E286D">
        <w:rPr>
          <w:rFonts w:cs="B Nazanin" w:hint="cs"/>
          <w:sz w:val="32"/>
          <w:szCs w:val="32"/>
          <w:rtl/>
        </w:rPr>
        <w:t>(عج)</w:t>
      </w:r>
      <w:r w:rsidRPr="001E286D">
        <w:rPr>
          <w:rFonts w:cs="B Nazanin"/>
          <w:sz w:val="32"/>
          <w:szCs w:val="32"/>
          <w:rtl/>
        </w:rPr>
        <w:t>خواهد بود. البته امامت آن حضرت از همان لحظه شهادت پدر آغاز می</w:t>
      </w:r>
      <w:r w:rsidRPr="001E286D">
        <w:rPr>
          <w:rFonts w:cs="B Nazanin"/>
          <w:sz w:val="32"/>
          <w:szCs w:val="32"/>
          <w:rtl/>
        </w:rPr>
        <w:softHyphen/>
        <w:t>شود لیکن به احترام روز شهادت امام عسکری</w:t>
      </w:r>
      <w:r w:rsidR="001E286D">
        <w:rPr>
          <w:rFonts w:cs="B Nazanin" w:hint="cs"/>
          <w:sz w:val="32"/>
          <w:szCs w:val="32"/>
          <w:rtl/>
        </w:rPr>
        <w:t>(ع)</w:t>
      </w:r>
      <w:r w:rsidRPr="001E286D">
        <w:rPr>
          <w:rFonts w:cs="B Nazanin"/>
          <w:sz w:val="32"/>
          <w:szCs w:val="32"/>
          <w:rtl/>
        </w:rPr>
        <w:t>، روز هشتم را به عنوان آغاز امامت برای تبریک</w:t>
      </w:r>
      <w:r w:rsidRPr="001E286D">
        <w:rPr>
          <w:rFonts w:cs="B Nazanin"/>
          <w:sz w:val="32"/>
          <w:szCs w:val="32"/>
          <w:rtl/>
        </w:rPr>
        <w:softHyphen/>
        <w:t>گویی و برگزاری مراسم تلقی نمی‌کنند.</w:t>
      </w:r>
    </w:p>
    <w:p w14:paraId="2C0DF6CC" w14:textId="77777777" w:rsidR="006D4D90" w:rsidRPr="001E286D" w:rsidRDefault="006D4D90" w:rsidP="001E286D">
      <w:pPr>
        <w:bidi/>
        <w:rPr>
          <w:rFonts w:cs="B Nazanin"/>
          <w:sz w:val="32"/>
          <w:szCs w:val="32"/>
          <w:rtl/>
        </w:rPr>
      </w:pPr>
      <w:r w:rsidRPr="001E286D">
        <w:rPr>
          <w:rFonts w:cs="B Nazanin"/>
          <w:sz w:val="32"/>
          <w:szCs w:val="32"/>
          <w:rtl/>
        </w:rPr>
        <w:t>سید ابن طاووس پس از بیان شهادت امام عسکری</w:t>
      </w:r>
      <w:r w:rsidR="004601D1" w:rsidRPr="001E286D">
        <w:rPr>
          <w:rFonts w:cs="B Nazanin"/>
          <w:sz w:val="32"/>
          <w:szCs w:val="32"/>
          <w:rtl/>
        </w:rPr>
        <w:t>(ع)</w:t>
      </w:r>
      <w:r w:rsidRPr="001E286D">
        <w:rPr>
          <w:rFonts w:cs="B Nazanin"/>
          <w:sz w:val="32"/>
          <w:szCs w:val="32"/>
          <w:rtl/>
        </w:rPr>
        <w:t xml:space="preserve"> در روز هشتم ربیع الاول می‌نویسد: آغاز امامت حضرت مهدي</w:t>
      </w:r>
      <w:r w:rsidR="004601D1" w:rsidRPr="001E286D">
        <w:rPr>
          <w:rFonts w:cs="B Nazanin"/>
          <w:sz w:val="32"/>
          <w:szCs w:val="32"/>
          <w:rtl/>
        </w:rPr>
        <w:t>(ع)</w:t>
      </w:r>
      <w:r w:rsidRPr="001E286D">
        <w:rPr>
          <w:rFonts w:cs="B Nazanin"/>
          <w:sz w:val="32"/>
          <w:szCs w:val="32"/>
          <w:rtl/>
        </w:rPr>
        <w:t xml:space="preserve"> روز نهم ربیع الاول است و شاید علت بزرگداشت این روز همین باشد</w:t>
      </w:r>
      <w:r w:rsidR="00AC3540" w:rsidRPr="001E286D">
        <w:rPr>
          <w:rStyle w:val="FootnoteReference"/>
          <w:rFonts w:ascii="IRLotus" w:hAnsi="IRLotus" w:cs="B Nazanin"/>
          <w:sz w:val="32"/>
          <w:szCs w:val="32"/>
          <w:rtl/>
        </w:rPr>
        <w:footnoteReference w:id="23"/>
      </w:r>
      <w:r w:rsidRPr="001E286D">
        <w:rPr>
          <w:rFonts w:cs="B Nazanin"/>
          <w:sz w:val="32"/>
          <w:szCs w:val="32"/>
          <w:rtl/>
        </w:rPr>
        <w:t>. «کفعمی» به نقل از «شیخ مفید» در مسارالشیعه می‌نویسد: هر که در این روز انفاق کند، آمرزیده می‌شود؛همچنین اطعام و گشایش و پوشیدن لباس نو و عیادت در این روز مستحب است</w:t>
      </w:r>
      <w:r w:rsidR="00385B0C" w:rsidRPr="001E286D">
        <w:rPr>
          <w:rStyle w:val="FootnoteReference"/>
          <w:rFonts w:ascii="IRLotus" w:hAnsi="IRLotus" w:cs="B Nazanin"/>
          <w:sz w:val="32"/>
          <w:szCs w:val="32"/>
          <w:rtl/>
        </w:rPr>
        <w:footnoteReference w:id="24"/>
      </w:r>
      <w:r w:rsidRPr="001E286D">
        <w:rPr>
          <w:rFonts w:cs="B Nazanin"/>
          <w:sz w:val="32"/>
          <w:szCs w:val="32"/>
          <w:rtl/>
        </w:rPr>
        <w:t>. این مطلب در کتاب فعلی مسار الشیعه نیست و ممکن است کفعمی آن را در نسخه‌ دیگر یا منبع دیگری دیده و به خطا نسبت به شیخ مفید داده است، اگر نقل وی درست باشد، نشان از این است که عید بودن این روز و انجام برخی اعمال مستحب،نزد شیعیان مرتکز بوده و این جز به دلیل بزرگداشت آغاز امامت حضرت مهدی</w:t>
      </w:r>
      <w:r w:rsidR="004601D1" w:rsidRPr="001E286D">
        <w:rPr>
          <w:rFonts w:cs="B Nazanin"/>
          <w:sz w:val="32"/>
          <w:szCs w:val="32"/>
          <w:rtl/>
        </w:rPr>
        <w:t>(ع</w:t>
      </w:r>
      <w:r w:rsidR="004601D1" w:rsidRPr="001E286D">
        <w:rPr>
          <w:rFonts w:cs="B Nazanin" w:hint="cs"/>
          <w:sz w:val="32"/>
          <w:szCs w:val="32"/>
          <w:rtl/>
        </w:rPr>
        <w:t>ج</w:t>
      </w:r>
      <w:r w:rsidR="004601D1" w:rsidRPr="001E286D">
        <w:rPr>
          <w:rFonts w:cs="B Nazanin"/>
          <w:sz w:val="32"/>
          <w:szCs w:val="32"/>
          <w:rtl/>
        </w:rPr>
        <w:t>)</w:t>
      </w:r>
      <w:r w:rsidRPr="001E286D">
        <w:rPr>
          <w:rFonts w:cs="B Nazanin"/>
          <w:sz w:val="32"/>
          <w:szCs w:val="32"/>
          <w:rtl/>
        </w:rPr>
        <w:t xml:space="preserve"> نیست؛ چه آنکه همین عالمان، مرگ خلیفه در این روز </w:t>
      </w:r>
      <w:r w:rsidR="00C46CFF" w:rsidRPr="001E286D">
        <w:rPr>
          <w:rFonts w:cs="B Nazanin" w:hint="cs"/>
          <w:sz w:val="32"/>
          <w:szCs w:val="32"/>
          <w:rtl/>
        </w:rPr>
        <w:t xml:space="preserve">را </w:t>
      </w:r>
      <w:r w:rsidRPr="001E286D">
        <w:rPr>
          <w:rFonts w:cs="B Nazanin"/>
          <w:sz w:val="32"/>
          <w:szCs w:val="32"/>
          <w:rtl/>
        </w:rPr>
        <w:t xml:space="preserve">قبول نداشته‌اند و اتفاق دیگری نیز در این تاریخ ثبت نشده است. آنچه گاه در افواه گفته شده که </w:t>
      </w:r>
      <w:r w:rsidR="00C46CFF" w:rsidRPr="001E286D">
        <w:rPr>
          <w:rFonts w:cs="B Nazanin" w:hint="cs"/>
          <w:sz w:val="32"/>
          <w:szCs w:val="32"/>
          <w:rtl/>
        </w:rPr>
        <w:t xml:space="preserve">نهم ربیع روز </w:t>
      </w:r>
      <w:r w:rsidRPr="001E286D">
        <w:rPr>
          <w:rFonts w:cs="B Nazanin"/>
          <w:sz w:val="32"/>
          <w:szCs w:val="32"/>
          <w:rtl/>
        </w:rPr>
        <w:t>مرگ عمر بن سعد است، نیز دلیلی ندارد.</w:t>
      </w:r>
    </w:p>
    <w:p w14:paraId="2EC1BDBD" w14:textId="77777777" w:rsidR="003547D0" w:rsidRPr="001E286D" w:rsidRDefault="003547D0" w:rsidP="001E286D">
      <w:pPr>
        <w:bidi/>
        <w:rPr>
          <w:rFonts w:cs="B Nazanin"/>
          <w:sz w:val="32"/>
          <w:szCs w:val="32"/>
        </w:rPr>
      </w:pPr>
    </w:p>
    <w:sectPr w:rsidR="003547D0" w:rsidRPr="001E286D">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A5B8" w14:textId="77777777" w:rsidR="003E2DEF" w:rsidRDefault="003E2DEF" w:rsidP="00756578">
      <w:pPr>
        <w:spacing w:after="0" w:line="240" w:lineRule="auto"/>
      </w:pPr>
      <w:r>
        <w:separator/>
      </w:r>
    </w:p>
  </w:endnote>
  <w:endnote w:type="continuationSeparator" w:id="0">
    <w:p w14:paraId="043E5ADD" w14:textId="77777777" w:rsidR="003E2DEF" w:rsidRDefault="003E2DEF" w:rsidP="0075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0000"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Alaem">
    <w:altName w:val="Euclid Extra"/>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D8BF" w14:textId="77777777" w:rsidR="003E2DEF" w:rsidRDefault="003E2DEF" w:rsidP="00D4445A">
      <w:pPr>
        <w:bidi/>
        <w:spacing w:after="0" w:line="240" w:lineRule="auto"/>
      </w:pPr>
      <w:r>
        <w:separator/>
      </w:r>
    </w:p>
  </w:footnote>
  <w:footnote w:type="continuationSeparator" w:id="0">
    <w:p w14:paraId="67A0CE81" w14:textId="77777777" w:rsidR="003E2DEF" w:rsidRDefault="003E2DEF" w:rsidP="00756578">
      <w:pPr>
        <w:spacing w:after="0" w:line="240" w:lineRule="auto"/>
      </w:pPr>
      <w:r>
        <w:continuationSeparator/>
      </w:r>
    </w:p>
  </w:footnote>
  <w:footnote w:id="1">
    <w:p w14:paraId="24671C95" w14:textId="77777777" w:rsidR="00756578" w:rsidRPr="00385B0C" w:rsidRDefault="00385B0C" w:rsidP="00385B0C">
      <w:pPr>
        <w:pStyle w:val="FootnoteText"/>
        <w:bidi/>
        <w:rPr>
          <w:rFonts w:ascii="IRLotus" w:hAnsi="IRLotus" w:cs="IRLotus"/>
          <w:sz w:val="22"/>
          <w:szCs w:val="22"/>
        </w:rPr>
      </w:pPr>
      <w:r>
        <w:rPr>
          <w:rStyle w:val="FootnoteReference"/>
        </w:rPr>
        <w:footnoteRef/>
      </w:r>
      <w:r w:rsidR="00756578" w:rsidRPr="00385B0C">
        <w:rPr>
          <w:rFonts w:ascii="IRLotus" w:hAnsi="IRLotus" w:cs="IRLotus"/>
          <w:sz w:val="22"/>
          <w:szCs w:val="22"/>
          <w:rtl/>
        </w:rPr>
        <w:t>مصطفي صادقي (استاد حوزه و دانشگاه)</w:t>
      </w:r>
    </w:p>
  </w:footnote>
  <w:footnote w:id="2">
    <w:p w14:paraId="22C035B4" w14:textId="77777777" w:rsidR="00C46CFF" w:rsidRPr="00385B0C" w:rsidRDefault="00C46CFF" w:rsidP="00385B0C">
      <w:pPr>
        <w:pStyle w:val="FootnoteText"/>
        <w:bidi/>
        <w:rPr>
          <w:rFonts w:ascii="IRLotus" w:hAnsi="IRLotus" w:cs="IRLotus"/>
          <w:sz w:val="22"/>
          <w:szCs w:val="22"/>
          <w:rtl/>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 xml:space="preserve"> نوشته حدود سال 560ه‍</w:t>
      </w:r>
    </w:p>
  </w:footnote>
  <w:footnote w:id="3">
    <w:p w14:paraId="42D90F5C" w14:textId="77777777" w:rsidR="00C46CFF" w:rsidRPr="00385B0C" w:rsidRDefault="00C46CFF" w:rsidP="00385B0C">
      <w:pPr>
        <w:pStyle w:val="FootnoteText"/>
        <w:bidi/>
        <w:rPr>
          <w:rFonts w:ascii="IRLotus" w:hAnsi="IRLotus" w:cs="IRLotus"/>
          <w:sz w:val="22"/>
          <w:szCs w:val="22"/>
          <w:rtl/>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 xml:space="preserve"> حلی، 1370: 44</w:t>
      </w:r>
    </w:p>
  </w:footnote>
  <w:footnote w:id="4">
    <w:p w14:paraId="1C2F1584" w14:textId="77777777" w:rsidR="00C46CFF" w:rsidRPr="00385B0C" w:rsidRDefault="00C46CFF"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ابن ادریس، 1410: ج 1، 419</w:t>
      </w:r>
    </w:p>
  </w:footnote>
  <w:footnote w:id="5">
    <w:p w14:paraId="55591B4E" w14:textId="77777777" w:rsidR="000061F9" w:rsidRPr="00385B0C" w:rsidRDefault="000061F9"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lang w:bidi="fa-IR"/>
        </w:rPr>
        <w:t>ابن طاووس، 1415: ج 3، 113</w:t>
      </w:r>
    </w:p>
  </w:footnote>
  <w:footnote w:id="6">
    <w:p w14:paraId="56795B92" w14:textId="77777777" w:rsidR="00524B80" w:rsidRPr="00385B0C" w:rsidRDefault="00524B80"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مجلسی، 1403: ج 31، 119 و 120</w:t>
      </w:r>
    </w:p>
  </w:footnote>
  <w:footnote w:id="7">
    <w:p w14:paraId="08BAE0E3" w14:textId="77777777" w:rsidR="00D90E1B" w:rsidRPr="00385B0C" w:rsidRDefault="00D90E1B"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00385B0C">
        <w:rPr>
          <w:rFonts w:ascii="IRLotus" w:hAnsi="IRLotus" w:cs="IRLotus" w:hint="cs"/>
          <w:sz w:val="22"/>
          <w:szCs w:val="22"/>
          <w:rtl/>
        </w:rPr>
        <w:t xml:space="preserve">همان، </w:t>
      </w:r>
      <w:r w:rsidRPr="00385B0C">
        <w:rPr>
          <w:rFonts w:ascii="IRLotus" w:hAnsi="IRLotus" w:cs="IRLotus"/>
          <w:sz w:val="22"/>
          <w:szCs w:val="22"/>
          <w:rtl/>
        </w:rPr>
        <w:t>ج 31، 120</w:t>
      </w:r>
    </w:p>
  </w:footnote>
  <w:footnote w:id="8">
    <w:p w14:paraId="045206B6" w14:textId="77777777" w:rsidR="00C04F7C" w:rsidRPr="00385B0C" w:rsidRDefault="00C04F7C"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برای نمونه: صافی، بی‌تا: ج 2، ص 395</w:t>
      </w:r>
    </w:p>
  </w:footnote>
  <w:footnote w:id="9">
    <w:p w14:paraId="59D827F7" w14:textId="77777777" w:rsidR="006B4829" w:rsidRPr="00385B0C" w:rsidRDefault="006B4829"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حلی، 1370: 44</w:t>
      </w:r>
    </w:p>
  </w:footnote>
  <w:footnote w:id="10">
    <w:p w14:paraId="5482233E" w14:textId="77777777" w:rsidR="009A3F9A" w:rsidRPr="00385B0C" w:rsidRDefault="009A3F9A"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مجلسی، 1403: ج 31، 120</w:t>
      </w:r>
    </w:p>
  </w:footnote>
  <w:footnote w:id="11">
    <w:p w14:paraId="1F8EECAC" w14:textId="77777777" w:rsidR="003F5B8A" w:rsidRPr="00385B0C" w:rsidRDefault="003F5B8A"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حلی، 1370: 44</w:t>
      </w:r>
    </w:p>
  </w:footnote>
  <w:footnote w:id="12">
    <w:p w14:paraId="491A5295" w14:textId="77777777" w:rsidR="00354AC3" w:rsidRPr="00385B0C" w:rsidRDefault="00354AC3"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00385B0C">
        <w:rPr>
          <w:rFonts w:ascii="IRLotus" w:hAnsi="IRLotus" w:cs="IRLotus" w:hint="cs"/>
          <w:sz w:val="22"/>
          <w:szCs w:val="22"/>
          <w:rtl/>
        </w:rPr>
        <w:t>همان،</w:t>
      </w:r>
      <w:r w:rsidRPr="00385B0C">
        <w:rPr>
          <w:rFonts w:ascii="IRLotus" w:hAnsi="IRLotus" w:cs="IRLotus"/>
          <w:sz w:val="22"/>
          <w:szCs w:val="22"/>
          <w:rtl/>
        </w:rPr>
        <w:t xml:space="preserve"> 51؛</w:t>
      </w:r>
      <w:r w:rsidRPr="00385B0C">
        <w:rPr>
          <w:rFonts w:ascii="IRLotus" w:hAnsi="IRLotus" w:cs="IRLotus"/>
          <w:sz w:val="22"/>
          <w:szCs w:val="22"/>
          <w:rtl/>
          <w:lang w:bidi="fa-IR"/>
        </w:rPr>
        <w:t>مجلسی، 1403: ج 31، 135</w:t>
      </w:r>
    </w:p>
  </w:footnote>
  <w:footnote w:id="13">
    <w:p w14:paraId="11DEFEA4" w14:textId="77777777" w:rsidR="00F2213E" w:rsidRPr="00385B0C" w:rsidRDefault="00F2213E"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یعقوبی، بی‌تا: ج 2، 159؛ مسعودی، 1409: ج 4، 302؛ طبری،1387: ج 4، ص 194؛ مفید، 1414: 42</w:t>
      </w:r>
    </w:p>
  </w:footnote>
  <w:footnote w:id="14">
    <w:p w14:paraId="32DB8B42" w14:textId="77777777" w:rsidR="00CB5E9F" w:rsidRPr="00385B0C" w:rsidRDefault="00CB5E9F"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lang w:bidi="fa-IR"/>
        </w:rPr>
        <w:t>مجلسی، 1403: ج 31، 118</w:t>
      </w:r>
    </w:p>
  </w:footnote>
  <w:footnote w:id="15">
    <w:p w14:paraId="2B7A26DD" w14:textId="77777777" w:rsidR="0008723F" w:rsidRPr="00385B0C" w:rsidRDefault="0008723F"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ابن اثیر، 1385: ج 8، 550 و 589</w:t>
      </w:r>
    </w:p>
  </w:footnote>
  <w:footnote w:id="16">
    <w:p w14:paraId="0831B57E" w14:textId="77777777" w:rsidR="007828CF" w:rsidRPr="00385B0C" w:rsidRDefault="007828CF"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مسعودی، 1417: 247</w:t>
      </w:r>
    </w:p>
  </w:footnote>
  <w:footnote w:id="17">
    <w:p w14:paraId="760C6801" w14:textId="77777777" w:rsidR="00D07EF9" w:rsidRPr="00385B0C" w:rsidRDefault="00D07EF9"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ابن حمزه، 1419: 608</w:t>
      </w:r>
    </w:p>
  </w:footnote>
  <w:footnote w:id="18">
    <w:p w14:paraId="54FEE845" w14:textId="77777777" w:rsidR="006B7F64" w:rsidRPr="00385B0C" w:rsidRDefault="006B7F64"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کلینی، 1405: ج 1، 503؛ صدوق، 1395: ج 2، 473 و ج 1، 43؛ مفید، 1416: ج2، 313 و 336؛ همو، 1413: 485؛ طوسی، 1406: ج 6، 92</w:t>
      </w:r>
    </w:p>
  </w:footnote>
  <w:footnote w:id="19">
    <w:p w14:paraId="52218D49" w14:textId="77777777" w:rsidR="00E178BA" w:rsidRPr="00385B0C" w:rsidRDefault="00E178BA"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tl/>
        </w:rPr>
        <w:t>مسعودی، 1417: 256.</w:t>
      </w:r>
      <w:r w:rsidRPr="00385B0C">
        <w:rPr>
          <w:rFonts w:ascii="IRLotus" w:hAnsi="IRLotus" w:cs="IRLotus"/>
          <w:sz w:val="22"/>
          <w:szCs w:val="22"/>
        </w:rPr>
        <w:t xml:space="preserve"> </w:t>
      </w:r>
    </w:p>
  </w:footnote>
  <w:footnote w:id="20">
    <w:p w14:paraId="6C360AC6" w14:textId="77777777" w:rsidR="00507EC3" w:rsidRPr="00385B0C" w:rsidRDefault="00507EC3"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 xml:space="preserve"> همان، 272</w:t>
      </w:r>
    </w:p>
  </w:footnote>
  <w:footnote w:id="21">
    <w:p w14:paraId="7048454A" w14:textId="77777777" w:rsidR="003324A2" w:rsidRPr="00385B0C" w:rsidRDefault="003324A2"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ابن طاووس، 1415: ج 3، 114</w:t>
      </w:r>
    </w:p>
  </w:footnote>
  <w:footnote w:id="22">
    <w:p w14:paraId="1F970F5C" w14:textId="77777777" w:rsidR="000E6CFF" w:rsidRPr="00385B0C" w:rsidRDefault="000E6CFF"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lang w:bidi="fa-IR"/>
        </w:rPr>
        <w:t>جعفریان، 1377: 536</w:t>
      </w:r>
    </w:p>
  </w:footnote>
  <w:footnote w:id="23">
    <w:p w14:paraId="0135106C" w14:textId="77777777" w:rsidR="00AC3540" w:rsidRPr="00385B0C" w:rsidRDefault="00AC3540"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ابن طاووس، 1415: ج 3، 114</w:t>
      </w:r>
    </w:p>
  </w:footnote>
  <w:footnote w:id="24">
    <w:p w14:paraId="6BC3A419" w14:textId="77777777" w:rsidR="00385B0C" w:rsidRPr="00385B0C" w:rsidRDefault="00385B0C" w:rsidP="00385B0C">
      <w:pPr>
        <w:pStyle w:val="FootnoteText"/>
        <w:bidi/>
        <w:rPr>
          <w:rFonts w:ascii="IRLotus" w:hAnsi="IRLotus" w:cs="IRLotus"/>
          <w:sz w:val="22"/>
          <w:szCs w:val="22"/>
          <w:lang w:bidi="fa-IR"/>
        </w:rPr>
      </w:pPr>
      <w:r w:rsidRPr="00385B0C">
        <w:rPr>
          <w:rStyle w:val="FootnoteReference"/>
          <w:rFonts w:ascii="IRLotus" w:hAnsi="IRLotus" w:cs="IRLotus"/>
          <w:sz w:val="22"/>
          <w:szCs w:val="22"/>
        </w:rPr>
        <w:footnoteRef/>
      </w:r>
      <w:r w:rsidRPr="00385B0C">
        <w:rPr>
          <w:rFonts w:ascii="IRLotus" w:hAnsi="IRLotus" w:cs="IRLotus"/>
          <w:sz w:val="22"/>
          <w:szCs w:val="22"/>
        </w:rPr>
        <w:t xml:space="preserve"> </w:t>
      </w:r>
      <w:r w:rsidRPr="00385B0C">
        <w:rPr>
          <w:rFonts w:ascii="IRLotus" w:hAnsi="IRLotus" w:cs="IRLotus"/>
          <w:sz w:val="22"/>
          <w:szCs w:val="22"/>
          <w:rtl/>
        </w:rPr>
        <w:t xml:space="preserve"> کفعمی، 1405: 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2D7"/>
    <w:multiLevelType w:val="hybridMultilevel"/>
    <w:tmpl w:val="9B082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1FF0"/>
    <w:multiLevelType w:val="hybridMultilevel"/>
    <w:tmpl w:val="F60017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22160855">
    <w:abstractNumId w:val="1"/>
  </w:num>
  <w:num w:numId="2" w16cid:durableId="159004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D90"/>
    <w:rsid w:val="000061F9"/>
    <w:rsid w:val="0008723F"/>
    <w:rsid w:val="000E6CFF"/>
    <w:rsid w:val="001E286D"/>
    <w:rsid w:val="003324A2"/>
    <w:rsid w:val="003547D0"/>
    <w:rsid w:val="00354AC3"/>
    <w:rsid w:val="00385B0C"/>
    <w:rsid w:val="003E2DEF"/>
    <w:rsid w:val="003F5B8A"/>
    <w:rsid w:val="004601D1"/>
    <w:rsid w:val="004D169D"/>
    <w:rsid w:val="00507EC3"/>
    <w:rsid w:val="00524B80"/>
    <w:rsid w:val="006B4829"/>
    <w:rsid w:val="006B7F64"/>
    <w:rsid w:val="006C76E6"/>
    <w:rsid w:val="006D4D90"/>
    <w:rsid w:val="00752063"/>
    <w:rsid w:val="00756578"/>
    <w:rsid w:val="007828CF"/>
    <w:rsid w:val="009A3F9A"/>
    <w:rsid w:val="00AC3540"/>
    <w:rsid w:val="00B4666A"/>
    <w:rsid w:val="00BF6487"/>
    <w:rsid w:val="00C04F7C"/>
    <w:rsid w:val="00C46CFF"/>
    <w:rsid w:val="00CB5E9F"/>
    <w:rsid w:val="00D07EF9"/>
    <w:rsid w:val="00D4445A"/>
    <w:rsid w:val="00D90E1B"/>
    <w:rsid w:val="00E178BA"/>
    <w:rsid w:val="00F22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5D92"/>
  <w15:docId w15:val="{31C5276E-027F-4E99-9B4E-067FBB26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
    <w:qFormat/>
    <w:rsid w:val="006D4D90"/>
    <w:pPr>
      <w:widowControl w:val="0"/>
      <w:bidi/>
      <w:spacing w:after="0" w:line="440" w:lineRule="exact"/>
      <w:ind w:firstLine="284"/>
      <w:jc w:val="lowKashida"/>
    </w:pPr>
    <w:rPr>
      <w:rFonts w:ascii="Times New Roman" w:eastAsia="Times New Roman" w:hAnsi="Times New Roman" w:cs="B Mitra"/>
      <w:sz w:val="24"/>
      <w:szCs w:val="28"/>
      <w:lang w:bidi="fa-IR"/>
    </w:rPr>
  </w:style>
  <w:style w:type="character" w:customStyle="1" w:styleId="Char">
    <w:name w:val="متن Char"/>
    <w:basedOn w:val="DefaultParagraphFont"/>
    <w:link w:val="a"/>
    <w:rsid w:val="006D4D90"/>
    <w:rPr>
      <w:rFonts w:ascii="Times New Roman" w:eastAsia="Times New Roman" w:hAnsi="Times New Roman" w:cs="B Mitra"/>
      <w:sz w:val="24"/>
      <w:szCs w:val="28"/>
      <w:lang w:bidi="fa-IR"/>
    </w:rPr>
  </w:style>
  <w:style w:type="paragraph" w:customStyle="1" w:styleId="a0">
    <w:name w:val="عربي"/>
    <w:basedOn w:val="Normal"/>
    <w:link w:val="Char0"/>
    <w:rsid w:val="006D4D90"/>
    <w:pPr>
      <w:widowControl w:val="0"/>
      <w:bidi/>
      <w:spacing w:after="0" w:line="440" w:lineRule="exact"/>
      <w:ind w:firstLine="284"/>
      <w:jc w:val="lowKashida"/>
    </w:pPr>
    <w:rPr>
      <w:rFonts w:ascii="Times New Roman" w:eastAsia="Times New Roman" w:hAnsi="Times New Roman" w:cs="Lotus Linotype"/>
      <w:sz w:val="24"/>
      <w:szCs w:val="28"/>
    </w:rPr>
  </w:style>
  <w:style w:type="paragraph" w:customStyle="1" w:styleId="22">
    <w:name w:val="22"/>
    <w:basedOn w:val="a"/>
    <w:link w:val="22Char"/>
    <w:rsid w:val="006D4D90"/>
    <w:pPr>
      <w:keepNext/>
      <w:spacing w:before="200"/>
      <w:ind w:firstLine="0"/>
    </w:pPr>
    <w:rPr>
      <w:bCs/>
      <w:szCs w:val="24"/>
    </w:rPr>
  </w:style>
  <w:style w:type="character" w:customStyle="1" w:styleId="22Char">
    <w:name w:val="22 Char"/>
    <w:basedOn w:val="Char"/>
    <w:link w:val="22"/>
    <w:rsid w:val="006D4D90"/>
    <w:rPr>
      <w:rFonts w:ascii="Times New Roman" w:eastAsia="Times New Roman" w:hAnsi="Times New Roman" w:cs="B Mitra"/>
      <w:bCs/>
      <w:sz w:val="24"/>
      <w:szCs w:val="24"/>
      <w:lang w:bidi="fa-IR"/>
    </w:rPr>
  </w:style>
  <w:style w:type="paragraph" w:customStyle="1" w:styleId="44">
    <w:name w:val="44"/>
    <w:basedOn w:val="Normal"/>
    <w:link w:val="44Char"/>
    <w:qFormat/>
    <w:rsid w:val="006D4D90"/>
    <w:pPr>
      <w:keepNext/>
      <w:widowControl w:val="0"/>
      <w:bidi/>
      <w:spacing w:before="100" w:after="0" w:line="420" w:lineRule="exact"/>
      <w:jc w:val="lowKashida"/>
    </w:pPr>
    <w:rPr>
      <w:rFonts w:ascii="Times New Roman" w:eastAsia="Times New Roman" w:hAnsi="Times New Roman" w:cs="B Mitra"/>
      <w:bCs/>
      <w:lang w:bidi="fa-IR"/>
    </w:rPr>
  </w:style>
  <w:style w:type="character" w:customStyle="1" w:styleId="44Char">
    <w:name w:val="44 Char"/>
    <w:basedOn w:val="DefaultParagraphFont"/>
    <w:link w:val="44"/>
    <w:rsid w:val="006D4D90"/>
    <w:rPr>
      <w:rFonts w:ascii="Times New Roman" w:eastAsia="Times New Roman" w:hAnsi="Times New Roman" w:cs="B Mitra"/>
      <w:bCs/>
      <w:lang w:bidi="fa-IR"/>
    </w:rPr>
  </w:style>
  <w:style w:type="paragraph" w:customStyle="1" w:styleId="a1">
    <w:name w:val="منابع"/>
    <w:basedOn w:val="a"/>
    <w:link w:val="Char1"/>
    <w:qFormat/>
    <w:rsid w:val="006D4D90"/>
    <w:pPr>
      <w:widowControl/>
      <w:spacing w:line="400" w:lineRule="exact"/>
    </w:pPr>
    <w:rPr>
      <w:rFonts w:cs="B Badr"/>
      <w:sz w:val="22"/>
      <w:szCs w:val="24"/>
    </w:rPr>
  </w:style>
  <w:style w:type="paragraph" w:customStyle="1" w:styleId="a2">
    <w:name w:val="فصل"/>
    <w:basedOn w:val="Normal"/>
    <w:link w:val="Char2"/>
    <w:rsid w:val="006D4D90"/>
    <w:pPr>
      <w:keepNext/>
      <w:bidi/>
      <w:spacing w:before="2400" w:after="300" w:line="440" w:lineRule="exact"/>
      <w:ind w:left="851" w:right="851"/>
      <w:jc w:val="center"/>
    </w:pPr>
    <w:rPr>
      <w:rFonts w:ascii="Times New Roman" w:eastAsia="Times New Roman" w:hAnsi="Times New Roman" w:cs="B Zar"/>
      <w:bCs/>
      <w:sz w:val="28"/>
      <w:szCs w:val="28"/>
    </w:rPr>
  </w:style>
  <w:style w:type="paragraph" w:customStyle="1" w:styleId="a3">
    <w:name w:val="نويسنده مقاله"/>
    <w:basedOn w:val="Normal"/>
    <w:rsid w:val="006D4D90"/>
    <w:pPr>
      <w:tabs>
        <w:tab w:val="num" w:pos="947"/>
      </w:tabs>
      <w:bidi/>
      <w:spacing w:after="500" w:line="240" w:lineRule="auto"/>
    </w:pPr>
    <w:rPr>
      <w:rFonts w:ascii="Times New Roman" w:eastAsia="Times New Roman" w:hAnsi="Times New Roman" w:cs="B Roya"/>
      <w:sz w:val="24"/>
      <w:szCs w:val="20"/>
      <w:lang w:bidi="fa-IR"/>
    </w:rPr>
  </w:style>
  <w:style w:type="character" w:customStyle="1" w:styleId="Char2">
    <w:name w:val="فصل Char"/>
    <w:basedOn w:val="DefaultParagraphFont"/>
    <w:link w:val="a2"/>
    <w:rsid w:val="006D4D90"/>
    <w:rPr>
      <w:rFonts w:ascii="Times New Roman" w:eastAsia="Times New Roman" w:hAnsi="Times New Roman" w:cs="B Zar"/>
      <w:bCs/>
      <w:sz w:val="28"/>
      <w:szCs w:val="28"/>
    </w:rPr>
  </w:style>
  <w:style w:type="character" w:customStyle="1" w:styleId="Char1">
    <w:name w:val="منابع Char"/>
    <w:basedOn w:val="DefaultParagraphFont"/>
    <w:link w:val="a1"/>
    <w:rsid w:val="006D4D90"/>
    <w:rPr>
      <w:rFonts w:ascii="Times New Roman" w:eastAsia="Times New Roman" w:hAnsi="Times New Roman" w:cs="B Badr"/>
      <w:szCs w:val="24"/>
      <w:lang w:bidi="fa-IR"/>
    </w:rPr>
  </w:style>
  <w:style w:type="character" w:customStyle="1" w:styleId="Char0">
    <w:name w:val="عربي Char"/>
    <w:basedOn w:val="DefaultParagraphFont"/>
    <w:link w:val="a0"/>
    <w:rsid w:val="006D4D90"/>
    <w:rPr>
      <w:rFonts w:ascii="Times New Roman" w:eastAsia="Times New Roman" w:hAnsi="Times New Roman" w:cs="Lotus Linotype"/>
      <w:sz w:val="24"/>
      <w:szCs w:val="28"/>
    </w:rPr>
  </w:style>
  <w:style w:type="character" w:customStyle="1" w:styleId="1Char">
    <w:name w:val="تورفتگی فارسی 1 Char"/>
    <w:basedOn w:val="DefaultParagraphFont"/>
    <w:rsid w:val="006D4D90"/>
    <w:rPr>
      <w:rFonts w:cs="B Lotus"/>
      <w:iCs/>
      <w:sz w:val="24"/>
      <w:szCs w:val="26"/>
      <w:lang w:val="en-US" w:eastAsia="en-US" w:bidi="fa-IR"/>
    </w:rPr>
  </w:style>
  <w:style w:type="paragraph" w:styleId="FootnoteText">
    <w:name w:val="footnote text"/>
    <w:basedOn w:val="Normal"/>
    <w:link w:val="FootnoteTextChar"/>
    <w:uiPriority w:val="99"/>
    <w:semiHidden/>
    <w:unhideWhenUsed/>
    <w:rsid w:val="00756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578"/>
    <w:rPr>
      <w:sz w:val="20"/>
      <w:szCs w:val="20"/>
    </w:rPr>
  </w:style>
  <w:style w:type="character" w:styleId="FootnoteReference">
    <w:name w:val="footnote reference"/>
    <w:basedOn w:val="DefaultParagraphFont"/>
    <w:uiPriority w:val="99"/>
    <w:semiHidden/>
    <w:unhideWhenUsed/>
    <w:rsid w:val="00756578"/>
    <w:rPr>
      <w:vertAlign w:val="superscript"/>
    </w:rPr>
  </w:style>
  <w:style w:type="paragraph" w:styleId="ListParagraph">
    <w:name w:val="List Paragraph"/>
    <w:basedOn w:val="Normal"/>
    <w:uiPriority w:val="34"/>
    <w:qFormat/>
    <w:rsid w:val="001E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BF18-1A98-4986-9A93-D4C67E92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Mosayebi</dc:creator>
  <cp:lastModifiedBy>Taghi Hatami</cp:lastModifiedBy>
  <cp:revision>31</cp:revision>
  <dcterms:created xsi:type="dcterms:W3CDTF">2020-09-30T06:52:00Z</dcterms:created>
  <dcterms:modified xsi:type="dcterms:W3CDTF">2023-09-13T05:43:00Z</dcterms:modified>
</cp:coreProperties>
</file>