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164DD" w14:textId="77777777" w:rsidR="00A23A93" w:rsidRPr="00BF0EE0" w:rsidRDefault="00A23A93" w:rsidP="00A23A9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F0EE0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F0EE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F0EE0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BF0EE0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/اوامر</w:t>
      </w:r>
    </w:p>
    <w:p w14:paraId="1C118508" w14:textId="77777777" w:rsidR="00AA72A1" w:rsidRPr="00BF0EE0" w:rsidRDefault="00676C15" w:rsidP="003B1467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 xml:space="preserve">فرمایش صاحب کفایه در مجازیّت صیغه امر </w:t>
      </w:r>
      <w:r w:rsidR="003B1467"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بجز در داعی طلب حقیقی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 xml:space="preserve"> </w:t>
      </w:r>
    </w:p>
    <w:p w14:paraId="67294D69" w14:textId="77777777" w:rsidR="001344C8" w:rsidRPr="00BF0EE0" w:rsidRDefault="00DB5733" w:rsidP="00A969A1">
      <w:pPr>
        <w:bidi/>
        <w:ind w:firstLine="288"/>
        <w:jc w:val="both"/>
        <w:rPr>
          <w:rFonts w:ascii="Traditional Arabic" w:hAnsi="Traditional Arabic" w:cs="Traditional Arabic"/>
          <w:color w:val="333333"/>
          <w:sz w:val="28"/>
          <w:szCs w:val="28"/>
          <w:rtl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بحث ما در م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ع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انی صیغه امر بود.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معنی مختلفی را که گفته شده بود خواندیم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 صاحب کفایه در انتها فرمو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د: «</w:t>
      </w:r>
      <w:r w:rsidRPr="00BF0EE0">
        <w:rPr>
          <w:rFonts w:ascii="Traditional Arabic" w:hAnsi="Traditional Arabic" w:cs="Traditional Arabic"/>
          <w:color w:val="000080"/>
          <w:sz w:val="28"/>
          <w:szCs w:val="28"/>
          <w:rtl/>
        </w:rPr>
        <w:t>قصارى ما يمكن أن يَّدعى ، أن تكون الصيغة موضوعة لإِنشاء الطلب ، فيما إذا كان بداعي البعث والتحريك ، لا بداعٍ آخر منها ، فيكون إنشاءً الطلب بها بعثاً حقيقة ، وإنشاؤه بها تهديداً مجازاً ، وهذا غير كونها مستعملة في التهديد وغيره ، فلا تغفل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استعمال صیغه امر اگر بداعی بعث و تحریک</w:t>
      </w:r>
      <w:r w:rsidR="00D9197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ِ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حقیقی باشد استعمال حقیقی است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 اگر بداعی دیگری باشد استعمال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مجازی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خواهد بود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1"/>
      </w:r>
    </w:p>
    <w:p w14:paraId="368B9641" w14:textId="77777777" w:rsidR="000E7069" w:rsidRPr="00BF0EE0" w:rsidRDefault="000E7069" w:rsidP="000E7069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BF0EE0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وفیه</w:t>
      </w:r>
    </w:p>
    <w:p w14:paraId="240FFEAD" w14:textId="77777777" w:rsidR="00DB5733" w:rsidRPr="00BF0EE0" w:rsidRDefault="00DB5733" w:rsidP="00A969A1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Fonts w:ascii="Traditional Arabic" w:hAnsi="Traditional Arabic" w:cs="Traditional Arabic" w:hint="cs"/>
          <w:color w:val="333333"/>
          <w:sz w:val="28"/>
          <w:szCs w:val="28"/>
          <w:highlight w:val="yellow"/>
          <w:rtl/>
        </w:rPr>
        <w:t xml:space="preserve">ما این 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highlight w:val="yellow"/>
          <w:rtl/>
        </w:rPr>
        <w:t>کلام ایشان را نمی پسندیم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؛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بعید است که استعمال در دواعی دیگر مجاز باشد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.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زیرا لفظ در معنای خودش به کار رفته است، صیغه وضع برای طلب شده و در تمام این دواعی صیغه امر در موضوع له خودش به کار رفته است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؛ بنابراین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نمی 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توان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گفت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: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</w:t>
      </w:r>
      <w:r w:rsidR="00A969A1"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>استعمال مجازی است.</w:t>
      </w:r>
      <w:r w:rsidRPr="00BF0EE0">
        <w:rPr>
          <w:rFonts w:ascii="Traditional Arabic" w:hAnsi="Traditional Arabic" w:cs="Traditional Arabic" w:hint="cs"/>
          <w:color w:val="333333"/>
          <w:sz w:val="28"/>
          <w:szCs w:val="28"/>
          <w:rtl/>
        </w:rPr>
        <w:t xml:space="preserve">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  <w:lang w:bidi="fa-IR"/>
        </w:rPr>
        <w:t>مثلا وقتی که می فرماید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  <w:lang w:bidi="fa-IR"/>
        </w:rPr>
        <w:t>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«فاتوا بسوره من مثله»</w:t>
      </w:r>
      <w:r w:rsidRPr="00BF0EE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"/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امر شده و مستعمل فیه طلب است.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 xml:space="preserve"> لکن چون 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 واقع نمی توانند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مامور به را اتیان کنند، عجزشان ظاهر می شود. اما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اینکه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امر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به چه داعی به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کار رفته باشد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ربطی به قضیه حقیقت و مجاز ندارد.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بحث حقیقت و مجاز در دایره معنی و موضوع له است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حالی که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بحث دواعی از حریم معنی خارج اند. همچنین لازم است توجه شود که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دلالت داعی بر معنای مثلا تهدید یا تعجیز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از باب تعدد دال و مدلول است و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ارتباطی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به حقیقت و مجاز ندارد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</w:p>
    <w:p w14:paraId="14A9FC21" w14:textId="77777777" w:rsidR="000E7069" w:rsidRPr="00BF0EE0" w:rsidRDefault="000E7069" w:rsidP="00A969A1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اما انصراف را قبول داریم، یعنی اگر ما هیچ قرینه ای برای تشخیص داعی نداشتیم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خودِ صیغه امر انصراف د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ارد به طلبِ حقیقی نه دواعی دیگر.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قبول داریم که لولا القرینه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صیغه امر انصراف به طلب حقیقی دارد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اما اگر قرینه ای بر هر کدام از دواعی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باشد،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همان داعی متعیّن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خواهد بود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. در مثالِ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sz w:val="28"/>
          <w:szCs w:val="28"/>
          <w:rtl/>
        </w:rPr>
        <w:t>«فاتوا بسوره من مثله»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هدف از امر تعجیز </w:t>
      </w:r>
      <w:r w:rsidR="00A969A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است</w:t>
      </w:r>
      <w:r w:rsidR="00D9197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 قرینه بر آن داریم، مستعمل فیه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«فاتوا» همان طلب است لکن داعی بر این استعمال تعجیز است، این داعی را هم به مئونه قرینه می فهمیم.</w:t>
      </w:r>
    </w:p>
    <w:p w14:paraId="583A4A30" w14:textId="77777777" w:rsidR="000E7069" w:rsidRPr="00BF0EE0" w:rsidRDefault="00A969A1" w:rsidP="00A70DBE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در 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نتیجه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ما کلام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صاحب کفایه ما قبول نداریم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 می گوییم: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مجاز </w:t>
      </w:r>
      <w:r w:rsidR="00D9197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«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استعمال لفظ فی غیر ما وُضِع له</w:t>
      </w:r>
      <w:r w:rsidR="00D9197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»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است در حالی که بحث دواعی خارج از دایره معنی هستند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امر کردن به دواعی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مختلفه استعمال را مجازی نمی کند.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اگر قرینه داشتیم اصل با قرینه است و از باب تعدد دال و مدلو</w:t>
      </w:r>
      <w:r w:rsidR="00D9197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ل دواعی م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ختلف را می فهمیم، اما اگر هیچ قرینه ای در کار نبود</w:t>
      </w:r>
      <w:r w:rsidR="00C409C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A94463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متبادر از داعی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، طلبِ حقیقی </w:t>
      </w:r>
      <w:r w:rsidR="00A94463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خواهد بود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</w:p>
    <w:p w14:paraId="4F3D0939" w14:textId="77777777" w:rsidR="00084E31" w:rsidRPr="00BF0EE0" w:rsidRDefault="00084E31" w:rsidP="00A37827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 xml:space="preserve">«انشاء الطلب» یا «انشاء النسبه الطلبیّه» </w:t>
      </w:r>
    </w:p>
    <w:p w14:paraId="7397BE39" w14:textId="77777777" w:rsidR="00E70B01" w:rsidRPr="00BF0EE0" w:rsidRDefault="00A70DBE" w:rsidP="005612C9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lastRenderedPageBreak/>
        <w:t>صاحب کفایه در مباحث خود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 </w:t>
      </w:r>
      <w:r w:rsidR="008C1868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تعبیر 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>«انشاء الطلب»</w:t>
      </w:r>
      <w:r w:rsidR="008C186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دارد </w:t>
      </w:r>
      <w:r w:rsidR="008C186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در حالی که </w:t>
      </w:r>
      <w:r w:rsidR="008C1868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>مرحوم نائینی می گوید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>: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 «انشاء النسبه الطلبیّه»</w:t>
      </w:r>
      <w:r w:rsidR="00835EC3" w:rsidRPr="00BF0EE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  <w:footnoteReference w:id="3"/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کدام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یک از این دو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تعبیر 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دقیق تر است؟ </w:t>
      </w:r>
    </w:p>
    <w:p w14:paraId="1F698DD7" w14:textId="77777777" w:rsidR="000E7069" w:rsidRPr="00BF0EE0" w:rsidRDefault="00E70B01" w:rsidP="002A03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highlight w:val="yellow"/>
          <w:rtl/>
          <w:lang w:bidi="fa-IR"/>
        </w:rPr>
        <w:t xml:space="preserve">به نظر ما 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عبارت محقق نائینی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 تعبیر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دقیق تر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ی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است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0E7069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زیرا معانیِ هیئات</w:t>
      </w:r>
      <w:r w:rsidR="002A032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حرفی هستند و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معانی حرفیّه نِسَب و روابط اند.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صیغه امر هم هیئت است و موضوع له آن باید از معانی حرفیّه باشد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بنابراین معنای هیئتِ فعلِ امر 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«النسبه الطلبیّه» خواهد بود. 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کما اینکه فعلِ ماضی هم دلالت بر «نسبتِ ماضویّت»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هیئت فعل مضارع دلالت بر «نسبت ترقّبیه» 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دارد. لذا</w:t>
      </w:r>
      <w:r w:rsidR="00A37827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مدلول همه هیئات نِسَب اند.</w:t>
      </w:r>
    </w:p>
    <w:p w14:paraId="2F7331C5" w14:textId="77777777" w:rsidR="00A37827" w:rsidRPr="00BF0EE0" w:rsidRDefault="00A37827" w:rsidP="002A03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نسبت همیشه به دو طرف نیاز دارد، در هیئت صیغه امر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 بلکه بین همه افعال،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نسبت بین الفعلِ و الفاعل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واقع می شود.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مثلا در «ضَرَب» نسبت ماضویّت واقع می شود بین ضرب و فاعلِ ضرب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؛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یا در «إضرب» نسبتِ طلبیّه واقع 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می شود میان ضرب و فاعلِ آن. در «إضرب»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ضربی محقق نشده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بلکه امر دلالت </w:t>
      </w:r>
      <w:r w:rsidR="002A032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این دارد که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ماده (ضرب) قبلا</w:t>
      </w:r>
      <w:r w:rsidR="00A70DB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ً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084E3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مطلوب نبوده</w:t>
      </w:r>
      <w:r w:rsidR="008C186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</w:t>
      </w:r>
      <w:r w:rsidR="00084E3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الان مطلوب شده است.</w:t>
      </w:r>
    </w:p>
    <w:p w14:paraId="71492309" w14:textId="77777777" w:rsidR="00084E31" w:rsidRPr="00BF0EE0" w:rsidRDefault="0074568F" w:rsidP="00084E31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مبنای</w:t>
      </w:r>
      <w:r w:rsidR="00084E31"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 xml:space="preserve">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محقق خوئی در این رابطه</w:t>
      </w:r>
    </w:p>
    <w:p w14:paraId="1DD2139F" w14:textId="77777777" w:rsidR="00E70B01" w:rsidRPr="00BF0EE0" w:rsidRDefault="00523158" w:rsidP="00B92C3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گفتیم که</w:t>
      </w:r>
      <w:r w:rsidR="00084E3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صاحب کفایه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صیغه امر را </w:t>
      </w:r>
      <w:r w:rsidR="00084E3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«انشاء الطلب»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دانسته و همیشه اینگونه تعبیر </w:t>
      </w:r>
      <w:r w:rsidR="007D47DD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نموده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مشهور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است که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می گویند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انشاء «ایجاد المعنی باللفظ» است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وقتی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گفته می شود: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«اضرب» نسبتِ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طلبیّه را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ایجاد می شود، این مذهبِ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مشهور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ِ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بین علماس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ت.</w:t>
      </w:r>
    </w:p>
    <w:p w14:paraId="1F477E46" w14:textId="77777777" w:rsidR="00084E31" w:rsidRPr="00BF0EE0" w:rsidRDefault="008C1868" w:rsidP="00B92C3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قبلا بارها گفته ایم که محقق خوئی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از اساس با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انشاء به معنای ایجاد مخالف است.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ایشان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انشاء را «ابراز اعتبار نفس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ی» می داند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نه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ایجاد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یعنی ابتدا متکلّم در نزد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ِ خودش چیزی را اعتبار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و پس از آن اعتبار خود را به وسیله لفظ ابراز می کند. 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لفظ اصلا صلاحیّت ندارد چیزی را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ایجاد 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کند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؛ لفظ همیشه مُبرِز است.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در صیغه امر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آمر ابتدا طلب را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در نفس خوی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ش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اعتبار کرده، </w:t>
      </w:r>
      <w:r w:rsidR="00523158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سپس با «إفعَل» آن را ابراز می کند.</w:t>
      </w:r>
    </w:p>
    <w:p w14:paraId="14C41029" w14:textId="77777777" w:rsidR="00523158" w:rsidRPr="00BF0EE0" w:rsidRDefault="00523158" w:rsidP="00B92C3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با این توضیح معلوم می شود که معنای صیغه امر در نزد ایشان إنشاء نیست، بلکه 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ابراز یک نوع اعتبارِ نفسانی است که آمر در نفس خود اعت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بار نموده.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این اعتبار از نوع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«کون الفعل علی رقبه العبد» که همان عبارت أُخرای «اشتغال الذمّه» است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 می باشد. خلاصه اینکه: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ابتدا این را اعتبار می کند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سپس می</w:t>
      </w:r>
      <w:r w:rsidR="0001222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گوید «إ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فعَل»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این فرمایش مطابق مبنای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ایشان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B92C3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در باب خبر و انشاء </w:t>
      </w:r>
      <w:r w:rsidR="005E1BC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است.</w:t>
      </w:r>
      <w:r w:rsidR="00835EC3" w:rsidRPr="00BF0EE0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4"/>
      </w:r>
    </w:p>
    <w:p w14:paraId="40ACA85F" w14:textId="77777777" w:rsidR="005E1BCE" w:rsidRPr="00BF0EE0" w:rsidRDefault="0074568F" w:rsidP="005E1BCE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و فیه</w:t>
      </w:r>
    </w:p>
    <w:p w14:paraId="3AC4162F" w14:textId="77777777" w:rsidR="0074568F" w:rsidRPr="00BF0EE0" w:rsidRDefault="0074568F" w:rsidP="005867FE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highlight w:val="yellow"/>
          <w:rtl/>
          <w:lang w:bidi="fa-IR"/>
        </w:rPr>
        <w:t xml:space="preserve">جوابی که همیشه داده ایم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این است که مبنای ایشان خلاف وجدان است و فرمایش 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مشهور به وجدان عرفی نزدیک تر است.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یعنی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وقتی آمر می گوید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«إفعَل» اینگونه نیست که چیزی را در نفس خودش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بر رقبه دیگری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اعتبار کرد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ه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باشد</w:t>
      </w:r>
      <w:r w:rsidR="005867F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سپس آن را ابراز کند.</w:t>
      </w:r>
    </w:p>
    <w:p w14:paraId="0F93E278" w14:textId="77777777" w:rsidR="0074568F" w:rsidRPr="00BF0EE0" w:rsidRDefault="00E70B01" w:rsidP="0074568F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lastRenderedPageBreak/>
        <w:t xml:space="preserve">بررسیِ </w:t>
      </w:r>
      <w:r w:rsidR="0074568F"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مبنای محقق اصفهانی در این رابطه</w:t>
      </w:r>
    </w:p>
    <w:p w14:paraId="3763BD75" w14:textId="33F523AC" w:rsidR="0074568F" w:rsidRPr="00BF0EE0" w:rsidRDefault="009C40BC" w:rsidP="005E1E4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محقق اصفهانی </w:t>
      </w:r>
      <w:r w:rsidR="00A94E9E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>به «البعث النسبی»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 xml:space="preserve">تعبیر نموده. </w:t>
      </w:r>
      <w:r w:rsidR="00A94E9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مق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صود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ای</w:t>
      </w:r>
      <w:r w:rsidR="00E70B01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شان همان نسبتِ بعثیّه است. </w:t>
      </w:r>
      <w:r w:rsidR="00A94E9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این تعبیر هم در مقایسه با تعبیرِ محقق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نائینی هنوز خیلی مورد پسند نیست؛</w:t>
      </w:r>
      <w:r w:rsidR="00A94E9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زیرا 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بعث به معنای «برانگیختن» است و این معنی بویِ قهر و اجبار می دهد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حال آنکه طلب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دعوت طرفِ مقابل است نه اجبارِ او.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تعبیرِ به طلب اولی و ارجح نسبت به بعث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بوده و 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همان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کلام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محقق نائینی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 تعبیری</w:t>
      </w:r>
      <w:r w:rsidR="00A531F6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بهتر است.</w:t>
      </w:r>
      <w:r w:rsidR="00835EC3" w:rsidRPr="00BF0EE0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  <w:lang w:bidi="fa-IR"/>
        </w:rPr>
        <w:footnoteReference w:id="5"/>
      </w:r>
    </w:p>
    <w:p w14:paraId="0867FD43" w14:textId="77777777" w:rsidR="00A531F6" w:rsidRPr="00BF0EE0" w:rsidRDefault="00A531F6" w:rsidP="00A531F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مبنای شیخ هادی تهرانی در این رابطه</w:t>
      </w:r>
    </w:p>
    <w:p w14:paraId="186B98F5" w14:textId="44E7B04E" w:rsidR="00A531F6" w:rsidRPr="00BF0EE0" w:rsidRDefault="00A531F6" w:rsidP="005E1E4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  <w:lang w:bidi="fa-IR"/>
        </w:rPr>
        <w:t>ایشان همیشه این دأب را داشته اند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که حرفی بزنند که اشراف به همه مبانی داشته باشد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لذا در این رابطه فرموده اند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همه این مبانی مذکوره اشتباه هستند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در تمامِ افعال اعم از ماضی و مضارع و امر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معنی نسبتِ صدوریّه است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. یعنی فعلی صادر از فاعل شود،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لکن دواعی مختلف اند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مثلا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در باب امر معنی نسبتِ صدوریّ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ه است لکن بداعی الطلب.</w:t>
      </w:r>
    </w:p>
    <w:p w14:paraId="72D7A985" w14:textId="77777777" w:rsidR="00A531F6" w:rsidRPr="00BF0EE0" w:rsidRDefault="00A531F6" w:rsidP="00A531F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  <w:lang w:bidi="fa-IR"/>
        </w:rPr>
        <w:t>و فیه</w:t>
      </w:r>
    </w:p>
    <w:p w14:paraId="568F4E33" w14:textId="4C958A92" w:rsidR="00A531F6" w:rsidRPr="00BF0EE0" w:rsidRDefault="00A531F6" w:rsidP="005E1E4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  <w:lang w:bidi="fa-IR"/>
        </w:rPr>
      </w:pP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highlight w:val="yellow"/>
          <w:rtl/>
          <w:lang w:bidi="fa-IR"/>
        </w:rPr>
        <w:t>این مطلب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که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گفته شود: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معنی در صیغه امر نسبتِ صدوریّه است بداعی الطلب خلاف واقع است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01222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طلب 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معنای </w:t>
      </w:r>
      <w:r w:rsidR="0001222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صیغه امر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است</w:t>
      </w:r>
      <w:r w:rsidR="0001222E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نه داعی آن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مستعمل فیه لفظ طلب است نه اینکه طلب داعی باشد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داعی خارج از معنای لفظ است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حال آنکه طلب جزئی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از معنای امر است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نه خارج از آن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.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مضافا بر اینکه نسبتِ صدوریّه در جایی صدق می کند که صدوری واقع شده باشد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،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حال آنکه در امر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چیزی صادر نشده است.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در نهایت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اگر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قرار باشد چنین تعبیری داشته باشیم،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باید بگوییم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: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امر، </w:t>
      </w:r>
      <w:r w:rsidR="00AF383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نسبتِ إصداریّه نه صدوریّه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؛</w:t>
      </w:r>
      <w:r w:rsidR="007054F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چرا که</w:t>
      </w:r>
      <w:r w:rsidR="007054F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با امر می خواهیم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مامور را</w:t>
      </w:r>
      <w:r w:rsidR="007054F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 وادار کنیم </w:t>
      </w:r>
      <w:r w:rsidR="005E1E42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 xml:space="preserve">که فعل از او صادر </w:t>
      </w:r>
      <w:r w:rsidR="007054F4" w:rsidRPr="00BF0EE0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  <w:lang w:bidi="fa-IR"/>
        </w:rPr>
        <w:t>شود.</w:t>
      </w:r>
    </w:p>
    <w:sectPr w:rsidR="00A531F6" w:rsidRPr="00BF0EE0" w:rsidSect="00DB57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9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087F" w14:textId="77777777" w:rsidR="00837997" w:rsidRDefault="00837997" w:rsidP="00821F94">
      <w:pPr>
        <w:spacing w:after="0" w:line="240" w:lineRule="auto"/>
      </w:pPr>
      <w:r>
        <w:separator/>
      </w:r>
    </w:p>
  </w:endnote>
  <w:endnote w:type="continuationSeparator" w:id="0">
    <w:p w14:paraId="699BEB2A" w14:textId="77777777" w:rsidR="00837997" w:rsidRDefault="00837997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FD09" w14:textId="77777777" w:rsidR="00821F94" w:rsidRDefault="00821F94" w:rsidP="00E70B01">
    <w:pPr>
      <w:pStyle w:val="Footer"/>
      <w:jc w:val="center"/>
    </w:pPr>
  </w:p>
  <w:p w14:paraId="038A15D2" w14:textId="77777777"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48810" w14:textId="77777777" w:rsidR="00837997" w:rsidRDefault="00837997" w:rsidP="00821F94">
      <w:pPr>
        <w:spacing w:after="0" w:line="240" w:lineRule="auto"/>
      </w:pPr>
      <w:r>
        <w:separator/>
      </w:r>
    </w:p>
  </w:footnote>
  <w:footnote w:type="continuationSeparator" w:id="0">
    <w:p w14:paraId="2BA5A599" w14:textId="77777777" w:rsidR="00837997" w:rsidRDefault="00837997" w:rsidP="00821F94">
      <w:pPr>
        <w:spacing w:after="0" w:line="240" w:lineRule="auto"/>
      </w:pPr>
      <w:r>
        <w:continuationSeparator/>
      </w:r>
    </w:p>
  </w:footnote>
  <w:footnote w:id="1">
    <w:p w14:paraId="7250538C" w14:textId="77777777" w:rsidR="00DB5733" w:rsidRPr="00416185" w:rsidRDefault="00DB5733" w:rsidP="00DB573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416185">
        <w:rPr>
          <w:rStyle w:val="FootnoteReference"/>
          <w:rFonts w:ascii="Traditional Arabic" w:hAnsi="Traditional Arabic" w:cs="Traditional Arabic"/>
        </w:rPr>
        <w:footnoteRef/>
      </w:r>
      <w:r w:rsidRPr="00416185">
        <w:rPr>
          <w:rFonts w:ascii="Traditional Arabic" w:hAnsi="Traditional Arabic" w:cs="Traditional Arabic"/>
        </w:rPr>
        <w:t xml:space="preserve"> </w:t>
      </w:r>
      <w:r w:rsidRPr="00416185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416185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ص69.</w:t>
        </w:r>
      </w:hyperlink>
    </w:p>
  </w:footnote>
  <w:footnote w:id="2">
    <w:p w14:paraId="0EA208E4" w14:textId="77777777" w:rsidR="00DB5733" w:rsidRPr="00416185" w:rsidRDefault="00DB5733" w:rsidP="00DB573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416185">
        <w:rPr>
          <w:rStyle w:val="FootnoteReference"/>
          <w:rFonts w:ascii="Traditional Arabic" w:hAnsi="Traditional Arabic" w:cs="Traditional Arabic"/>
        </w:rPr>
        <w:footnoteRef/>
      </w:r>
      <w:r w:rsidRPr="00416185">
        <w:rPr>
          <w:rFonts w:ascii="Traditional Arabic" w:hAnsi="Traditional Arabic" w:cs="Traditional Arabic"/>
        </w:rPr>
        <w:t xml:space="preserve"> </w:t>
      </w:r>
      <w:r w:rsidRPr="00416185">
        <w:rPr>
          <w:rFonts w:ascii="Traditional Arabic" w:hAnsi="Traditional Arabic" w:cs="Traditional Arabic" w:hint="cs"/>
          <w:rtl/>
          <w:lang w:bidi="fa-IR"/>
        </w:rPr>
        <w:t xml:space="preserve"> سوره بقره، آیه 23.</w:t>
      </w:r>
    </w:p>
  </w:footnote>
  <w:footnote w:id="3">
    <w:p w14:paraId="793BBD02" w14:textId="77777777" w:rsidR="00835EC3" w:rsidRPr="00416185" w:rsidRDefault="00835EC3" w:rsidP="00835EC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416185">
        <w:rPr>
          <w:rStyle w:val="FootnoteReference"/>
          <w:rFonts w:ascii="Traditional Arabic" w:hAnsi="Traditional Arabic" w:cs="Traditional Arabic"/>
        </w:rPr>
        <w:footnoteRef/>
      </w:r>
      <w:r w:rsidRPr="00416185">
        <w:rPr>
          <w:rFonts w:ascii="Traditional Arabic" w:hAnsi="Traditional Arabic" w:cs="Traditional Arabic"/>
        </w:rPr>
        <w:t xml:space="preserve"> </w:t>
      </w:r>
      <w:r w:rsidRPr="00416185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416185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فوائد الاصول، محمد حسین غروی، ج1، ص130.</w:t>
        </w:r>
      </w:hyperlink>
    </w:p>
  </w:footnote>
  <w:footnote w:id="4">
    <w:p w14:paraId="03CF000C" w14:textId="77777777" w:rsidR="00835EC3" w:rsidRPr="00416185" w:rsidRDefault="00835EC3" w:rsidP="00835EC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416185">
        <w:rPr>
          <w:rStyle w:val="FootnoteReference"/>
          <w:rFonts w:ascii="Traditional Arabic" w:hAnsi="Traditional Arabic" w:cs="Traditional Arabic"/>
        </w:rPr>
        <w:footnoteRef/>
      </w:r>
      <w:r w:rsidRPr="00416185">
        <w:rPr>
          <w:rFonts w:ascii="Traditional Arabic" w:hAnsi="Traditional Arabic" w:cs="Traditional Arabic"/>
        </w:rPr>
        <w:t xml:space="preserve"> </w:t>
      </w:r>
      <w:r w:rsidRPr="00416185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416185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ص122.</w:t>
        </w:r>
      </w:hyperlink>
    </w:p>
  </w:footnote>
  <w:footnote w:id="5">
    <w:p w14:paraId="37418BD3" w14:textId="77777777" w:rsidR="00835EC3" w:rsidRPr="00416185" w:rsidRDefault="00835EC3" w:rsidP="00835EC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416185">
        <w:rPr>
          <w:rStyle w:val="FootnoteReference"/>
          <w:rFonts w:ascii="Traditional Arabic" w:hAnsi="Traditional Arabic" w:cs="Traditional Arabic"/>
        </w:rPr>
        <w:footnoteRef/>
      </w:r>
      <w:r w:rsidRPr="00416185">
        <w:rPr>
          <w:rFonts w:ascii="Traditional Arabic" w:hAnsi="Traditional Arabic" w:cs="Traditional Arabic"/>
        </w:rPr>
        <w:t xml:space="preserve"> </w:t>
      </w:r>
      <w:hyperlink r:id="rId4" w:history="1">
        <w:r w:rsidRPr="00416185">
          <w:rPr>
            <w:rStyle w:val="Hyperlink"/>
            <w:rFonts w:ascii="Traditional Arabic" w:hAnsi="Traditional Arabic" w:cs="Traditional Arabic" w:hint="cs"/>
            <w:rtl/>
            <w:lang w:bidi="fa-IR"/>
          </w:rPr>
          <w:t>نهایه الدرایه، محمد حسین اصفهانی، ج1، ص 307.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930AD" w14:textId="6C6A804F" w:rsidR="00A23A93" w:rsidRPr="00BD1DD7" w:rsidRDefault="00A23A93" w:rsidP="00A23A9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 xml:space="preserve">یک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06</w:t>
    </w:r>
    <w:r>
      <w:rPr>
        <w:rFonts w:ascii="Traditional Arabic" w:hAnsi="Traditional Arabic" w:cs="Traditional Arabic"/>
        <w:rtl/>
        <w:lang w:bidi="fa-IR"/>
      </w:rPr>
      <w:t>/09/1394</w:t>
    </w:r>
  </w:p>
  <w:p w14:paraId="45FB4981" w14:textId="77777777" w:rsidR="00A23A93" w:rsidRDefault="00A23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459D7"/>
    <w:rsid w:val="00084E31"/>
    <w:rsid w:val="000B4A8C"/>
    <w:rsid w:val="000E7069"/>
    <w:rsid w:val="001344C8"/>
    <w:rsid w:val="00152670"/>
    <w:rsid w:val="001A338C"/>
    <w:rsid w:val="001C2A75"/>
    <w:rsid w:val="001E1D6B"/>
    <w:rsid w:val="00257540"/>
    <w:rsid w:val="002A0326"/>
    <w:rsid w:val="002A2800"/>
    <w:rsid w:val="002B6492"/>
    <w:rsid w:val="002F6041"/>
    <w:rsid w:val="00315268"/>
    <w:rsid w:val="00320827"/>
    <w:rsid w:val="003528B7"/>
    <w:rsid w:val="003731A0"/>
    <w:rsid w:val="0038599A"/>
    <w:rsid w:val="003B0882"/>
    <w:rsid w:val="003B1467"/>
    <w:rsid w:val="003B4C05"/>
    <w:rsid w:val="00416185"/>
    <w:rsid w:val="00423527"/>
    <w:rsid w:val="0048674E"/>
    <w:rsid w:val="004E0809"/>
    <w:rsid w:val="00523158"/>
    <w:rsid w:val="005612C9"/>
    <w:rsid w:val="0057368C"/>
    <w:rsid w:val="005867FE"/>
    <w:rsid w:val="005E1BCE"/>
    <w:rsid w:val="005E1E42"/>
    <w:rsid w:val="005F4DA1"/>
    <w:rsid w:val="00676C15"/>
    <w:rsid w:val="007054F4"/>
    <w:rsid w:val="00712127"/>
    <w:rsid w:val="0074568F"/>
    <w:rsid w:val="007660E3"/>
    <w:rsid w:val="00790A55"/>
    <w:rsid w:val="007D47DD"/>
    <w:rsid w:val="00807BE3"/>
    <w:rsid w:val="00821F94"/>
    <w:rsid w:val="00827816"/>
    <w:rsid w:val="00835EC3"/>
    <w:rsid w:val="00837997"/>
    <w:rsid w:val="008847F7"/>
    <w:rsid w:val="008C1868"/>
    <w:rsid w:val="008D22EF"/>
    <w:rsid w:val="008F33F7"/>
    <w:rsid w:val="00924546"/>
    <w:rsid w:val="009673E7"/>
    <w:rsid w:val="009A027F"/>
    <w:rsid w:val="009C40BC"/>
    <w:rsid w:val="00A04D2C"/>
    <w:rsid w:val="00A23A93"/>
    <w:rsid w:val="00A33BB5"/>
    <w:rsid w:val="00A37827"/>
    <w:rsid w:val="00A531F6"/>
    <w:rsid w:val="00A70DBE"/>
    <w:rsid w:val="00A94463"/>
    <w:rsid w:val="00A94E9E"/>
    <w:rsid w:val="00A969A1"/>
    <w:rsid w:val="00AA4541"/>
    <w:rsid w:val="00AA72A1"/>
    <w:rsid w:val="00AD4B60"/>
    <w:rsid w:val="00AF3834"/>
    <w:rsid w:val="00B46B28"/>
    <w:rsid w:val="00B92C32"/>
    <w:rsid w:val="00BC7280"/>
    <w:rsid w:val="00BF0EE0"/>
    <w:rsid w:val="00C065A6"/>
    <w:rsid w:val="00C409C7"/>
    <w:rsid w:val="00C51B33"/>
    <w:rsid w:val="00C70D3A"/>
    <w:rsid w:val="00CE2CEE"/>
    <w:rsid w:val="00CE7622"/>
    <w:rsid w:val="00CF476D"/>
    <w:rsid w:val="00D12C93"/>
    <w:rsid w:val="00D62B0C"/>
    <w:rsid w:val="00D91972"/>
    <w:rsid w:val="00D9662E"/>
    <w:rsid w:val="00DA2174"/>
    <w:rsid w:val="00DB5733"/>
    <w:rsid w:val="00DB6BFE"/>
    <w:rsid w:val="00DC37E5"/>
    <w:rsid w:val="00E70B01"/>
    <w:rsid w:val="00E86813"/>
    <w:rsid w:val="00EC33CD"/>
    <w:rsid w:val="00EE08B7"/>
    <w:rsid w:val="00F10CFD"/>
    <w:rsid w:val="00F17D08"/>
    <w:rsid w:val="00F951A5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D3974A"/>
  <w15:docId w15:val="{37DDAECA-92F0-43ED-945D-7AE3C7F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06/2/122/&#1601;&#1587;&#1585;&#1606;&#1575;" TargetMode="External"/><Relationship Id="rId2" Type="http://schemas.openxmlformats.org/officeDocument/2006/relationships/hyperlink" Target="http://lib.eshia.ir/13102/1/130/&#1601;&#1578;&#1581;&#1589;&#1617;&#1604;" TargetMode="External"/><Relationship Id="rId1" Type="http://schemas.openxmlformats.org/officeDocument/2006/relationships/hyperlink" Target="http://lib.eshia.ir/27004/1/69/&#1602;&#1589;&#1575;&#1585;&#1609;" TargetMode="External"/><Relationship Id="rId4" Type="http://schemas.openxmlformats.org/officeDocument/2006/relationships/hyperlink" Target="http://lib.eshia.ir/27897/1/307/&#1575;&#1604;&#1576;&#1593;&#157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315C-371A-464A-8307-BDE0F4EE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درس خارج</dc:creator>
  <cp:lastModifiedBy>mohsen baseri</cp:lastModifiedBy>
  <cp:revision>5</cp:revision>
  <cp:lastPrinted>2016-01-02T10:59:00Z</cp:lastPrinted>
  <dcterms:created xsi:type="dcterms:W3CDTF">2016-01-20T03:30:00Z</dcterms:created>
  <dcterms:modified xsi:type="dcterms:W3CDTF">2016-01-20T03:32:00Z</dcterms:modified>
</cp:coreProperties>
</file>