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4D0CC0" w:rsidRDefault="004D0CC0" w:rsidP="00921719">
      <w:pPr>
        <w:bidi/>
        <w:jc w:val="center"/>
        <w:rPr>
          <w:rFonts w:cs="B Nazanin"/>
          <w:sz w:val="30"/>
          <w:szCs w:val="30"/>
          <w:rtl/>
          <w:lang w:bidi="fa-IR"/>
        </w:rPr>
      </w:pPr>
      <w:r w:rsidRPr="004D0CC0">
        <w:rPr>
          <w:rFonts w:cs="B Nazanin" w:hint="cs"/>
          <w:sz w:val="30"/>
          <w:szCs w:val="30"/>
          <w:rtl/>
          <w:lang w:bidi="fa-IR"/>
        </w:rPr>
        <w:t>بسم الله الرحمن الرحیم</w:t>
      </w:r>
    </w:p>
    <w:p w:rsidR="00CA4BF5" w:rsidRDefault="00746474" w:rsidP="00304CDD">
      <w:pPr>
        <w:bidi/>
        <w:jc w:val="lowKashida"/>
        <w:rPr>
          <w:rFonts w:cs="Times New Roman"/>
          <w:sz w:val="30"/>
          <w:szCs w:val="30"/>
          <w:rtl/>
          <w:lang w:bidi="fa-IR"/>
        </w:rPr>
      </w:pPr>
      <w:r>
        <w:rPr>
          <w:rFonts w:cs="B Nazanin" w:hint="cs"/>
          <w:sz w:val="30"/>
          <w:szCs w:val="30"/>
          <w:rtl/>
          <w:lang w:bidi="fa-IR"/>
        </w:rPr>
        <w:t>اصول_</w:t>
      </w:r>
      <w:r w:rsidR="00832024">
        <w:rPr>
          <w:rFonts w:cs="B Nazanin"/>
          <w:sz w:val="30"/>
          <w:szCs w:val="30"/>
          <w:lang w:bidi="fa-IR"/>
        </w:rPr>
        <w:t xml:space="preserve"> </w:t>
      </w:r>
      <w:r>
        <w:rPr>
          <w:rFonts w:cs="Cambria" w:hint="cs"/>
          <w:sz w:val="30"/>
          <w:szCs w:val="30"/>
          <w:rtl/>
          <w:lang w:bidi="fa-IR"/>
        </w:rPr>
        <w:t>2</w:t>
      </w:r>
      <w:r w:rsidR="00304CDD">
        <w:rPr>
          <w:rFonts w:cs="Cambria" w:hint="cs"/>
          <w:sz w:val="30"/>
          <w:szCs w:val="30"/>
          <w:rtl/>
          <w:lang w:bidi="fa-IR"/>
        </w:rPr>
        <w:t>7</w:t>
      </w:r>
      <w:bookmarkStart w:id="0" w:name="_GoBack"/>
      <w:bookmarkEnd w:id="0"/>
      <w:r>
        <w:rPr>
          <w:rFonts w:cs="Cambria" w:hint="cs"/>
          <w:sz w:val="30"/>
          <w:szCs w:val="30"/>
          <w:rtl/>
          <w:lang w:bidi="fa-IR"/>
        </w:rPr>
        <w:t xml:space="preserve"> </w:t>
      </w:r>
      <w:r w:rsidR="00832024">
        <w:rPr>
          <w:rFonts w:cs="Cambria"/>
          <w:sz w:val="30"/>
          <w:szCs w:val="30"/>
          <w:lang w:bidi="fa-IR"/>
        </w:rPr>
        <w:t xml:space="preserve"> </w:t>
      </w:r>
      <w:r>
        <w:rPr>
          <w:rFonts w:cs="Times New Roman" w:hint="cs"/>
          <w:sz w:val="30"/>
          <w:szCs w:val="30"/>
          <w:rtl/>
          <w:lang w:bidi="fa-IR"/>
        </w:rPr>
        <w:t>فروردین 97</w:t>
      </w:r>
    </w:p>
    <w:p w:rsidR="00872225" w:rsidRDefault="00DE0FDA" w:rsidP="004225C2">
      <w:pPr>
        <w:bidi/>
        <w:jc w:val="lowKashida"/>
        <w:rPr>
          <w:rFonts w:cs="Times New Roman" w:hint="cs"/>
          <w:sz w:val="30"/>
          <w:szCs w:val="30"/>
          <w:rtl/>
          <w:lang w:bidi="fa-IR"/>
        </w:rPr>
      </w:pPr>
      <w:r>
        <w:rPr>
          <w:rFonts w:cs="Times New Roman" w:hint="cs"/>
          <w:sz w:val="30"/>
          <w:szCs w:val="30"/>
          <w:rtl/>
          <w:lang w:bidi="fa-IR"/>
        </w:rPr>
        <w:t>چون مبنای محقق بروجردی قدس الله نفسه الزکیه در مورد اجماع و اصول متلقات من المعصومین علیهم السلام مبنای مهمی است و یکی از امتیازات مکتب اجتهادی قوم بعد از مرحوم آقای بروجردی به حساب می آید، بهتر آن دیدم که باز با مراجعه به کلمات دیگر ایشان، ابهاماتی که ممکن است در این نظریه باشد برطرف بشود، بعد ببینیم قابل اشکال هست یا نه؟</w:t>
      </w:r>
    </w:p>
    <w:p w:rsidR="00DE0FDA" w:rsidRDefault="00DE0FDA" w:rsidP="00DE0FDA">
      <w:pPr>
        <w:bidi/>
        <w:jc w:val="lowKashida"/>
        <w:rPr>
          <w:rFonts w:cs="Times New Roman" w:hint="cs"/>
          <w:sz w:val="30"/>
          <w:szCs w:val="30"/>
          <w:rtl/>
          <w:lang w:bidi="fa-IR"/>
        </w:rPr>
      </w:pPr>
      <w:r>
        <w:rPr>
          <w:rFonts w:cs="Times New Roman" w:hint="cs"/>
          <w:sz w:val="30"/>
          <w:szCs w:val="30"/>
          <w:rtl/>
          <w:lang w:bidi="fa-IR"/>
        </w:rPr>
        <w:t>مورد اول فرمایشی است که در کتاب نهایة الاصول، تقریرات اصول ایشان صفحۀ 534 بیان شده است. ایشان ابتداءً می فرمایند در امور عقلی اجماع معنا ندارد. نعم لو کانت المسألة من المسائل النقلیه المحضة (یعنی مسائلی که از راه عقل نمی توان به آن رسید) و اتفق علیها الفقهاء الذین لا یتعبدون الا بالنقل طبقة بعد طبقة الی عصر المعصومین علیهم السلام، عُلِمَ منهم انّهم تلقوها منهم(اهل بیت علیهم السلام) بعدَ ما احرزنا انّهم لم یکونوا ممّن یفتی بالقیاس و الاستحسانات العقلیة و الاعتبارت الظنیة. ما میدانیم این آقایان هرگز حول و حوش استحسان نمی گردند پس منبع روایت است.</w:t>
      </w:r>
    </w:p>
    <w:p w:rsidR="000250C8" w:rsidRDefault="00DE0FDA" w:rsidP="00E11D9C">
      <w:pPr>
        <w:bidi/>
        <w:jc w:val="lowKashida"/>
        <w:rPr>
          <w:rFonts w:cs="Times New Roman"/>
          <w:sz w:val="30"/>
          <w:szCs w:val="30"/>
          <w:rtl/>
          <w:lang w:bidi="fa-IR"/>
        </w:rPr>
      </w:pPr>
      <w:r>
        <w:rPr>
          <w:rFonts w:cs="Times New Roman" w:hint="cs"/>
          <w:sz w:val="30"/>
          <w:szCs w:val="30"/>
          <w:rtl/>
          <w:lang w:bidi="fa-IR"/>
        </w:rPr>
        <w:t>و لکن هذا الکلام یجری فی المسائل الکلیة الاصلیه، این مال همۀ مسائل نیست در مسائل اصلی است المبتنی علی النقل المحض نظیر بطلان العول و التعصیب</w:t>
      </w:r>
      <w:r w:rsidR="00E11D9C">
        <w:rPr>
          <w:rFonts w:cs="Times New Roman" w:hint="cs"/>
          <w:sz w:val="30"/>
          <w:szCs w:val="30"/>
          <w:rtl/>
          <w:lang w:bidi="fa-IR"/>
        </w:rPr>
        <w:t xml:space="preserve"> فی المواریث الذی هو من ضروریات فقه الشیعه بتلقیهم ایاه من الائمه علیهم السلام. اما المسائل العقلیه المحضه کالمسائل الکلامیه و کذا المسائل التفریعیه التی استنبطها الفقهاء من المسائل الاصلیه و القواعد الکلیة باعمال النظر و الاجتهاد، فاتفاق العلماء فیها لا یکشف عن تلقیها عن المعصومین. بل یکون من موارد التوافق فی الفقهم و النظر. </w:t>
      </w:r>
    </w:p>
    <w:p w:rsidR="00E11D9C" w:rsidRDefault="00E11D9C" w:rsidP="000250C8">
      <w:pPr>
        <w:bidi/>
        <w:jc w:val="lowKashida"/>
        <w:rPr>
          <w:rFonts w:cs="Times New Roman" w:hint="cs"/>
          <w:sz w:val="30"/>
          <w:szCs w:val="30"/>
          <w:rtl/>
          <w:lang w:bidi="fa-IR"/>
        </w:rPr>
      </w:pPr>
      <w:r>
        <w:rPr>
          <w:rFonts w:cs="Times New Roman" w:hint="cs"/>
          <w:sz w:val="30"/>
          <w:szCs w:val="30"/>
          <w:rtl/>
          <w:lang w:bidi="fa-IR"/>
        </w:rPr>
        <w:t xml:space="preserve">این توافق همه هست در یک فهم که مشکلی هم ندارد ولی از این رای معصوم کشف نمی شود. این فرمایش ایشان ص 534 اما </w:t>
      </w:r>
      <w:r w:rsidR="000250C8">
        <w:rPr>
          <w:rFonts w:cs="Times New Roman" w:hint="cs"/>
          <w:sz w:val="30"/>
          <w:szCs w:val="30"/>
          <w:rtl/>
          <w:lang w:bidi="fa-IR"/>
        </w:rPr>
        <w:t>543 و 544؛ در اینجا مسائل مطروحه د ر فقه را به سه دسته تقسیم فرموده اند:</w:t>
      </w:r>
    </w:p>
    <w:p w:rsidR="000250C8" w:rsidRDefault="000250C8" w:rsidP="000250C8">
      <w:pPr>
        <w:pStyle w:val="ListParagraph"/>
        <w:numPr>
          <w:ilvl w:val="0"/>
          <w:numId w:val="5"/>
        </w:numPr>
        <w:bidi/>
        <w:jc w:val="lowKashida"/>
        <w:rPr>
          <w:rFonts w:cs="Times New Roman" w:hint="cs"/>
          <w:sz w:val="30"/>
          <w:szCs w:val="30"/>
          <w:lang w:bidi="fa-IR"/>
        </w:rPr>
      </w:pPr>
      <w:r>
        <w:rPr>
          <w:rFonts w:cs="Times New Roman" w:hint="cs"/>
          <w:sz w:val="30"/>
          <w:szCs w:val="30"/>
          <w:rtl/>
          <w:lang w:bidi="fa-IR"/>
        </w:rPr>
        <w:t>مسائل اصلیه فقه که قدماء اصحاب ما بناء دارند این مسائل را با عین الفاظ ائمه به صورت فتوا بری ما نقل کنند.</w:t>
      </w:r>
    </w:p>
    <w:p w:rsidR="000250C8" w:rsidRDefault="000250C8" w:rsidP="000250C8">
      <w:pPr>
        <w:pStyle w:val="ListParagraph"/>
        <w:numPr>
          <w:ilvl w:val="0"/>
          <w:numId w:val="5"/>
        </w:numPr>
        <w:bidi/>
        <w:jc w:val="lowKashida"/>
        <w:rPr>
          <w:rFonts w:cs="Times New Roman" w:hint="cs"/>
          <w:sz w:val="30"/>
          <w:szCs w:val="30"/>
          <w:lang w:bidi="fa-IR"/>
        </w:rPr>
      </w:pPr>
      <w:r>
        <w:rPr>
          <w:rFonts w:cs="Times New Roman" w:hint="cs"/>
          <w:sz w:val="30"/>
          <w:szCs w:val="30"/>
          <w:rtl/>
          <w:lang w:bidi="fa-IR"/>
        </w:rPr>
        <w:t>مسائل تفریعیه مستنبطه من ال مسائل الاصلیه باعمال الاجتهاد و النظر</w:t>
      </w:r>
    </w:p>
    <w:p w:rsidR="000250C8" w:rsidRDefault="000250C8" w:rsidP="000250C8">
      <w:pPr>
        <w:pStyle w:val="ListParagraph"/>
        <w:numPr>
          <w:ilvl w:val="0"/>
          <w:numId w:val="5"/>
        </w:numPr>
        <w:bidi/>
        <w:jc w:val="lowKashida"/>
        <w:rPr>
          <w:rFonts w:cs="Times New Roman"/>
          <w:sz w:val="30"/>
          <w:szCs w:val="30"/>
          <w:lang w:bidi="fa-IR"/>
        </w:rPr>
      </w:pPr>
      <w:r>
        <w:rPr>
          <w:rFonts w:cs="Times New Roman" w:hint="cs"/>
          <w:sz w:val="30"/>
          <w:szCs w:val="30"/>
          <w:rtl/>
          <w:lang w:bidi="fa-IR"/>
        </w:rPr>
        <w:t xml:space="preserve">المسائل المتصدیه لبیان الموضوعات الحکام و حدودها و غیودها. غنا چیست؟ ربا چیست؟ </w:t>
      </w:r>
    </w:p>
    <w:p w:rsidR="000250C8" w:rsidRDefault="000250C8" w:rsidP="000250C8">
      <w:pPr>
        <w:bidi/>
        <w:jc w:val="lowKashida"/>
        <w:rPr>
          <w:rFonts w:cs="Times New Roman" w:hint="cs"/>
          <w:sz w:val="30"/>
          <w:szCs w:val="30"/>
          <w:rtl/>
          <w:lang w:bidi="fa-IR"/>
        </w:rPr>
      </w:pPr>
      <w:r w:rsidRPr="000250C8">
        <w:rPr>
          <w:rFonts w:cs="Times New Roman" w:hint="cs"/>
          <w:sz w:val="30"/>
          <w:szCs w:val="30"/>
          <w:rtl/>
          <w:lang w:bidi="fa-IR"/>
        </w:rPr>
        <w:t>الشهرة فی ال</w:t>
      </w:r>
      <w:r>
        <w:rPr>
          <w:rFonts w:cs="Times New Roman" w:hint="cs"/>
          <w:sz w:val="30"/>
          <w:szCs w:val="30"/>
          <w:rtl/>
          <w:lang w:bidi="fa-IR"/>
        </w:rPr>
        <w:t xml:space="preserve">نوع الاول تکون کاشفة عن تلقیها عن الائمه علیهم السلام. </w:t>
      </w:r>
      <w:r w:rsidRPr="000250C8">
        <w:rPr>
          <w:rFonts w:cs="Times New Roman" w:hint="cs"/>
          <w:sz w:val="30"/>
          <w:szCs w:val="30"/>
          <w:u w:val="single"/>
          <w:rtl/>
          <w:lang w:bidi="fa-IR"/>
        </w:rPr>
        <w:t>موجبة للوثوق</w:t>
      </w:r>
      <w:r>
        <w:rPr>
          <w:rFonts w:cs="Times New Roman" w:hint="cs"/>
          <w:sz w:val="30"/>
          <w:szCs w:val="30"/>
          <w:rtl/>
          <w:lang w:bidi="fa-IR"/>
        </w:rPr>
        <w:t xml:space="preserve"> بصدورها عنهم بخلاف نوعین الاخرین لابتنائها  علی الاجتهاد و النظر فلا یفید الشهره فیهما شیئا بل الظاهر ان الاجماع ع فیهما ایضا غیر مفید فان الاجماع فیها علی الوزان الاجماع فی المسائل العقلیه النظریه.</w:t>
      </w:r>
    </w:p>
    <w:p w:rsidR="000250C8" w:rsidRDefault="000250C8" w:rsidP="000250C8">
      <w:pPr>
        <w:bidi/>
        <w:jc w:val="lowKashida"/>
        <w:rPr>
          <w:rFonts w:cs="Times New Roman" w:hint="cs"/>
          <w:sz w:val="30"/>
          <w:szCs w:val="30"/>
          <w:rtl/>
          <w:lang w:bidi="fa-IR"/>
        </w:rPr>
      </w:pPr>
      <w:r>
        <w:rPr>
          <w:rFonts w:cs="Times New Roman" w:hint="cs"/>
          <w:sz w:val="30"/>
          <w:szCs w:val="30"/>
          <w:rtl/>
          <w:lang w:bidi="fa-IR"/>
        </w:rPr>
        <w:t>این دو عبارت درنهایة الاصول.</w:t>
      </w:r>
    </w:p>
    <w:p w:rsidR="000250C8" w:rsidRDefault="000250C8" w:rsidP="000250C8">
      <w:pPr>
        <w:bidi/>
        <w:jc w:val="lowKashida"/>
        <w:rPr>
          <w:rFonts w:cs="Times New Roman" w:hint="cs"/>
          <w:sz w:val="30"/>
          <w:szCs w:val="30"/>
          <w:rtl/>
          <w:lang w:bidi="fa-IR"/>
        </w:rPr>
      </w:pPr>
      <w:r>
        <w:rPr>
          <w:rFonts w:cs="Times New Roman" w:hint="cs"/>
          <w:sz w:val="30"/>
          <w:szCs w:val="30"/>
          <w:rtl/>
          <w:lang w:bidi="fa-IR"/>
        </w:rPr>
        <w:t>عبارت سوم در کتاب نهایة التقریر ج 2، ص 45، بحث نیت که آیا تعیین در نیت لازم است یا نه؟</w:t>
      </w:r>
    </w:p>
    <w:p w:rsidR="000250C8" w:rsidRDefault="000250C8" w:rsidP="000250C8">
      <w:pPr>
        <w:bidi/>
        <w:jc w:val="lowKashida"/>
        <w:rPr>
          <w:rFonts w:cs="Times New Roman" w:hint="cs"/>
          <w:sz w:val="30"/>
          <w:szCs w:val="30"/>
          <w:rtl/>
          <w:lang w:bidi="fa-IR"/>
        </w:rPr>
      </w:pPr>
      <w:r>
        <w:rPr>
          <w:rFonts w:cs="Times New Roman" w:hint="cs"/>
          <w:sz w:val="30"/>
          <w:szCs w:val="30"/>
          <w:rtl/>
          <w:lang w:bidi="fa-IR"/>
        </w:rPr>
        <w:t>امّا الاجماع فلا حجیة له فی نظائر المساله و قد حققنا فی الاصول ان حجیت منحصرة بما اذا کان معقده من المسائل الاصلیه المدونة في الکتب الموضوعة لنقل الفتوا المأثورة عن الئمه الطاهرة علیهم السلام بعین الفاظ الصادرة منهم و ذک لکشف عن وجو نص معتبر لم یصل الینا.</w:t>
      </w:r>
    </w:p>
    <w:p w:rsidR="000250C8" w:rsidRDefault="000250C8" w:rsidP="000250C8">
      <w:pPr>
        <w:bidi/>
        <w:jc w:val="lowKashida"/>
        <w:rPr>
          <w:rFonts w:cs="Times New Roman" w:hint="cs"/>
          <w:sz w:val="30"/>
          <w:szCs w:val="30"/>
          <w:rtl/>
          <w:lang w:bidi="fa-IR"/>
        </w:rPr>
      </w:pPr>
      <w:r>
        <w:rPr>
          <w:rFonts w:cs="Times New Roman" w:hint="cs"/>
          <w:sz w:val="30"/>
          <w:szCs w:val="30"/>
          <w:rtl/>
          <w:lang w:bidi="fa-IR"/>
        </w:rPr>
        <w:t>این اجماع کاشف است از وجود یک روایتی که به ما نرسیده است. فحجیته تکون من حیث الکشف الراجع الی حجیة المکشوف للکاشف.</w:t>
      </w:r>
    </w:p>
    <w:p w:rsidR="000250C8" w:rsidRDefault="000250C8" w:rsidP="000250C8">
      <w:pPr>
        <w:bidi/>
        <w:jc w:val="lowKashida"/>
        <w:rPr>
          <w:rFonts w:cs="Times New Roman" w:hint="cs"/>
          <w:sz w:val="30"/>
          <w:szCs w:val="30"/>
          <w:rtl/>
          <w:lang w:bidi="fa-IR"/>
        </w:rPr>
      </w:pPr>
      <w:r>
        <w:rPr>
          <w:rFonts w:cs="Times New Roman" w:hint="cs"/>
          <w:sz w:val="30"/>
          <w:szCs w:val="30"/>
          <w:rtl/>
          <w:lang w:bidi="fa-IR"/>
        </w:rPr>
        <w:lastRenderedPageBreak/>
        <w:t>و اما مسائل التفریعیه غیر المذکوره فی تلک الکتب بل الاصحاب ذکرو ها فی کتبهم المعدة لمثلها(مثل مبسوط بهم فلا یکون اجماع فیها حجة خصوصا فی مثل المساله ال</w:t>
      </w:r>
      <w:r w:rsidR="00304CDD">
        <w:rPr>
          <w:rFonts w:cs="Times New Roman" w:hint="cs"/>
          <w:sz w:val="30"/>
          <w:szCs w:val="30"/>
          <w:rtl/>
          <w:lang w:bidi="fa-IR"/>
        </w:rPr>
        <w:t>تی لم یتعرضها الا قلیل من الاصحاب.</w:t>
      </w:r>
    </w:p>
    <w:p w:rsidR="00304CDD" w:rsidRDefault="00304CDD" w:rsidP="00304CDD">
      <w:pPr>
        <w:bidi/>
        <w:jc w:val="lowKashida"/>
        <w:rPr>
          <w:rFonts w:cs="Times New Roman" w:hint="cs"/>
          <w:sz w:val="30"/>
          <w:szCs w:val="30"/>
          <w:rtl/>
          <w:lang w:bidi="fa-IR"/>
        </w:rPr>
      </w:pPr>
      <w:r>
        <w:rPr>
          <w:rFonts w:cs="Times New Roman" w:hint="cs"/>
          <w:sz w:val="30"/>
          <w:szCs w:val="30"/>
          <w:rtl/>
          <w:lang w:bidi="fa-IR"/>
        </w:rPr>
        <w:t>در عبارت چهارت تقریرات ایشان در کتاب زبدة المقال فی خمس ص 37:</w:t>
      </w:r>
    </w:p>
    <w:p w:rsidR="00304CDD" w:rsidRDefault="00304CDD" w:rsidP="00304CDD">
      <w:pPr>
        <w:bidi/>
        <w:jc w:val="lowKashida"/>
        <w:rPr>
          <w:rFonts w:cs="Times New Roman" w:hint="cs"/>
          <w:sz w:val="30"/>
          <w:szCs w:val="30"/>
          <w:rtl/>
          <w:lang w:bidi="fa-IR"/>
        </w:rPr>
      </w:pPr>
      <w:r>
        <w:rPr>
          <w:rFonts w:cs="Times New Roman" w:hint="cs"/>
          <w:sz w:val="30"/>
          <w:szCs w:val="30"/>
          <w:rtl/>
          <w:lang w:bidi="fa-IR"/>
        </w:rPr>
        <w:t xml:space="preserve">تنبیهٌ فی الفرق بین الضبط المبسوط و النهایه علی ما صرح هو به و ما یتفرع علی الوضعین(نتیجه این دو شیوه نگارشی است چیست؟وهو انه وضع المبسوط لتعرض لفروع لم یقوم نص علیها بخصوصها و انما یستفاد حکمها من قواعد الاجتهادیه متخصصه من الروایات او من غیرها و این کتاب را نوشت دفعا لایراد العامه و اثبات هم بکند که ما هم می توانیم تفریع بکنیم بدون اینکه به قیاس روی بیاوریم و اما کتابه النهایه فانما وضعه علی الطریقة الاصحاب حیث تعرض فیها لفروع ورد فی کل منها نص خاص کما هو دابهم و یظهر من ذلک ان ما ذکره فی المبسوط من اجراء الحکم اللقطه فی بعض صور الکنز لا یکشف عن ورود نص خاص نعم </w:t>
      </w:r>
      <w:r w:rsidRPr="00304CDD">
        <w:rPr>
          <w:rFonts w:cs="Times New Roman" w:hint="cs"/>
          <w:sz w:val="30"/>
          <w:szCs w:val="30"/>
          <w:u w:val="single"/>
          <w:rtl/>
          <w:lang w:bidi="fa-IR"/>
        </w:rPr>
        <w:t>الفروع</w:t>
      </w:r>
      <w:r>
        <w:rPr>
          <w:rFonts w:cs="Times New Roman" w:hint="cs"/>
          <w:sz w:val="30"/>
          <w:szCs w:val="30"/>
          <w:rtl/>
          <w:lang w:bidi="fa-IR"/>
        </w:rPr>
        <w:t xml:space="preserve"> التی یذکرها فی النهایه یکشف عن ورود نص خاص فی کل منها.</w:t>
      </w:r>
    </w:p>
    <w:p w:rsidR="00304CDD" w:rsidRDefault="00304CDD" w:rsidP="00304CDD">
      <w:pPr>
        <w:bidi/>
        <w:jc w:val="lowKashida"/>
        <w:rPr>
          <w:rFonts w:cs="Times New Roman" w:hint="cs"/>
          <w:sz w:val="30"/>
          <w:szCs w:val="30"/>
          <w:rtl/>
          <w:lang w:bidi="fa-IR"/>
        </w:rPr>
      </w:pPr>
      <w:r>
        <w:rPr>
          <w:rFonts w:cs="Times New Roman" w:hint="cs"/>
          <w:sz w:val="30"/>
          <w:szCs w:val="30"/>
          <w:rtl/>
          <w:lang w:bidi="fa-IR"/>
        </w:rPr>
        <w:t>داخل پرانتز این نکته را بیان کنیم که در همین کتاب ص 61 مرحوم آقای بروجردی یک تحلیل تاریخی دارد مربوط به کل آثار شیخ طوسی.</w:t>
      </w:r>
    </w:p>
    <w:p w:rsidR="00304CDD" w:rsidRPr="000250C8" w:rsidRDefault="00304CDD" w:rsidP="00304CDD">
      <w:pPr>
        <w:bidi/>
        <w:jc w:val="lowKashida"/>
        <w:rPr>
          <w:rFonts w:cs="Times New Roman"/>
          <w:sz w:val="30"/>
          <w:szCs w:val="30"/>
          <w:rtl/>
          <w:lang w:bidi="fa-IR"/>
        </w:rPr>
      </w:pPr>
      <w:r>
        <w:rPr>
          <w:rFonts w:cs="Times New Roman" w:hint="cs"/>
          <w:sz w:val="30"/>
          <w:szCs w:val="30"/>
          <w:rtl/>
          <w:lang w:bidi="fa-IR"/>
        </w:rPr>
        <w:t>آخرین عبارت که عبارت پنجم ایشان است کتابی است به نام تبیان الصلاة تقریرات نماز به قلم حاج آقا علی صافی گلپایگانی در ج 2 ص 206 به بعد مراجعه کنید چه نکته ایی ازش برداشت می کنید فردا به من بگویید.</w:t>
      </w:r>
    </w:p>
    <w:sectPr w:rsidR="00304CDD" w:rsidRPr="000250C8" w:rsidSect="004D0C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0250C8"/>
    <w:rsid w:val="001723CA"/>
    <w:rsid w:val="001E0FB8"/>
    <w:rsid w:val="001F4B4E"/>
    <w:rsid w:val="00204151"/>
    <w:rsid w:val="00205CC7"/>
    <w:rsid w:val="00304CDD"/>
    <w:rsid w:val="00315F59"/>
    <w:rsid w:val="003F0D5A"/>
    <w:rsid w:val="004225C2"/>
    <w:rsid w:val="004A076D"/>
    <w:rsid w:val="004D0CC0"/>
    <w:rsid w:val="00556DF1"/>
    <w:rsid w:val="00575F82"/>
    <w:rsid w:val="005A3A6A"/>
    <w:rsid w:val="006449EA"/>
    <w:rsid w:val="006714B0"/>
    <w:rsid w:val="00746474"/>
    <w:rsid w:val="0076369A"/>
    <w:rsid w:val="00832024"/>
    <w:rsid w:val="00850CE2"/>
    <w:rsid w:val="00872225"/>
    <w:rsid w:val="008E34EA"/>
    <w:rsid w:val="008E3876"/>
    <w:rsid w:val="00921719"/>
    <w:rsid w:val="009D3A5D"/>
    <w:rsid w:val="00A377A7"/>
    <w:rsid w:val="00A7487B"/>
    <w:rsid w:val="00AE3CC4"/>
    <w:rsid w:val="00CA4BF5"/>
    <w:rsid w:val="00CF1EDF"/>
    <w:rsid w:val="00D21ED5"/>
    <w:rsid w:val="00D6712F"/>
    <w:rsid w:val="00DB4AFE"/>
    <w:rsid w:val="00DE0FDA"/>
    <w:rsid w:val="00DE133A"/>
    <w:rsid w:val="00E11D9C"/>
    <w:rsid w:val="00F36E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27</cp:revision>
  <dcterms:created xsi:type="dcterms:W3CDTF">2018-04-08T05:44:00Z</dcterms:created>
  <dcterms:modified xsi:type="dcterms:W3CDTF">2018-04-16T06:17:00Z</dcterms:modified>
</cp:coreProperties>
</file>