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3EE" w:rsidRPr="002B7246" w:rsidRDefault="00F32CD5" w:rsidP="001A23EE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48"/>
          <w:szCs w:val="48"/>
          <w:rtl/>
        </w:rPr>
      </w:pPr>
      <w:r w:rsidRPr="002B7246">
        <w:rPr>
          <w:rFonts w:ascii="Times New Roman" w:eastAsia="Times New Roman" w:hAnsi="Times New Roman" w:cs="Times New Roman" w:hint="cs"/>
          <w:sz w:val="48"/>
          <w:szCs w:val="48"/>
          <w:rtl/>
        </w:rPr>
        <w:t xml:space="preserve">                </w:t>
      </w:r>
      <w:r w:rsidR="002B7246">
        <w:rPr>
          <w:rFonts w:ascii="Times New Roman" w:eastAsia="Times New Roman" w:hAnsi="Times New Roman" w:cs="Times New Roman" w:hint="cs"/>
          <w:sz w:val="48"/>
          <w:szCs w:val="48"/>
          <w:rtl/>
        </w:rPr>
        <w:t xml:space="preserve">             </w:t>
      </w:r>
      <w:r w:rsidRPr="002B7246">
        <w:rPr>
          <w:rFonts w:ascii="Times New Roman" w:eastAsia="Times New Roman" w:hAnsi="Times New Roman" w:cs="Times New Roman" w:hint="cs"/>
          <w:sz w:val="48"/>
          <w:szCs w:val="48"/>
          <w:rtl/>
        </w:rPr>
        <w:t xml:space="preserve"> «یاحق»</w:t>
      </w:r>
    </w:p>
    <w:p w:rsidR="00F32CD5" w:rsidRDefault="00DB5EDB" w:rsidP="00F32CD5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2"/>
          <w:szCs w:val="32"/>
          <w:rtl/>
        </w:rPr>
      </w:pP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</w:p>
    <w:p w:rsidR="002F179D" w:rsidRDefault="002F179D" w:rsidP="00F32CD5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6"/>
          <w:szCs w:val="36"/>
          <w:rtl/>
        </w:rPr>
      </w:pPr>
    </w:p>
    <w:p w:rsidR="002F179D" w:rsidRDefault="002F179D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6"/>
          <w:szCs w:val="36"/>
          <w:rtl/>
        </w:rPr>
      </w:pPr>
    </w:p>
    <w:p w:rsidR="00F32CD5" w:rsidRDefault="002B7246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2"/>
          <w:szCs w:val="32"/>
          <w:rtl/>
        </w:rPr>
      </w:pPr>
      <w:r w:rsidRPr="002B7246">
        <w:rPr>
          <w:rFonts w:hint="cs"/>
          <w:sz w:val="36"/>
          <w:szCs w:val="36"/>
          <w:rtl/>
        </w:rPr>
        <w:t>موضوع ازمایش:</w:t>
      </w:r>
      <w:r>
        <w:rPr>
          <w:rFonts w:hint="cs"/>
          <w:sz w:val="32"/>
          <w:szCs w:val="32"/>
          <w:rtl/>
        </w:rPr>
        <w:t>رسم منحنی استاندارد نشاسته</w:t>
      </w:r>
    </w:p>
    <w:p w:rsidR="00F32CD5" w:rsidRDefault="00F32CD5" w:rsidP="00F32CD5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2"/>
          <w:szCs w:val="32"/>
          <w:rtl/>
        </w:rPr>
      </w:pPr>
    </w:p>
    <w:p w:rsidR="002F179D" w:rsidRDefault="002F179D" w:rsidP="002B7246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6"/>
          <w:szCs w:val="36"/>
          <w:rtl/>
        </w:rPr>
      </w:pPr>
    </w:p>
    <w:p w:rsidR="00F32CD5" w:rsidRDefault="002B7246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2"/>
          <w:szCs w:val="32"/>
          <w:rtl/>
        </w:rPr>
      </w:pPr>
      <w:r w:rsidRPr="002B7246">
        <w:rPr>
          <w:rFonts w:hint="cs"/>
          <w:sz w:val="36"/>
          <w:szCs w:val="36"/>
          <w:rtl/>
        </w:rPr>
        <w:t>اعضای گروه</w:t>
      </w:r>
      <w:r>
        <w:rPr>
          <w:rFonts w:hint="cs"/>
          <w:sz w:val="36"/>
          <w:szCs w:val="36"/>
          <w:rtl/>
        </w:rPr>
        <w:t>:</w:t>
      </w:r>
      <w:r>
        <w:rPr>
          <w:rFonts w:hint="cs"/>
          <w:sz w:val="32"/>
          <w:szCs w:val="32"/>
          <w:rtl/>
        </w:rPr>
        <w:t>سمانه جهاندار،فرشته نوروزی،فرشته علینژاد اصل</w:t>
      </w:r>
    </w:p>
    <w:p w:rsidR="002F179D" w:rsidRDefault="002F179D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2"/>
          <w:szCs w:val="32"/>
          <w:rtl/>
        </w:rPr>
      </w:pPr>
    </w:p>
    <w:p w:rsidR="002F179D" w:rsidRDefault="002F179D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6"/>
          <w:szCs w:val="36"/>
          <w:rtl/>
        </w:rPr>
      </w:pPr>
    </w:p>
    <w:p w:rsidR="002B7246" w:rsidRDefault="002B7246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2"/>
          <w:szCs w:val="32"/>
          <w:rtl/>
        </w:rPr>
      </w:pPr>
      <w:r>
        <w:rPr>
          <w:rFonts w:hint="cs"/>
          <w:sz w:val="36"/>
          <w:szCs w:val="36"/>
          <w:rtl/>
        </w:rPr>
        <w:t>ساعت ازمایش:</w:t>
      </w:r>
      <w:r>
        <w:rPr>
          <w:rFonts w:hint="cs"/>
          <w:sz w:val="32"/>
          <w:szCs w:val="32"/>
          <w:rtl/>
        </w:rPr>
        <w:t>10-12</w:t>
      </w:r>
    </w:p>
    <w:p w:rsidR="002B7246" w:rsidRDefault="002B7246" w:rsidP="002B7246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2"/>
          <w:szCs w:val="32"/>
          <w:rtl/>
        </w:rPr>
      </w:pPr>
    </w:p>
    <w:p w:rsidR="002F179D" w:rsidRDefault="002F179D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6"/>
          <w:szCs w:val="36"/>
          <w:rtl/>
        </w:rPr>
      </w:pPr>
    </w:p>
    <w:p w:rsidR="002B7246" w:rsidRDefault="002B7246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2"/>
          <w:szCs w:val="32"/>
          <w:rtl/>
        </w:rPr>
      </w:pPr>
      <w:r>
        <w:rPr>
          <w:rFonts w:hint="cs"/>
          <w:sz w:val="36"/>
          <w:szCs w:val="36"/>
          <w:rtl/>
        </w:rPr>
        <w:t>تاریخ انجام ازمایش:</w:t>
      </w:r>
      <w:r>
        <w:rPr>
          <w:rFonts w:hint="cs"/>
          <w:sz w:val="32"/>
          <w:szCs w:val="32"/>
          <w:rtl/>
        </w:rPr>
        <w:t>26/07/95</w:t>
      </w:r>
    </w:p>
    <w:p w:rsidR="002B7246" w:rsidRDefault="002B7246" w:rsidP="002B7246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2"/>
          <w:szCs w:val="32"/>
          <w:rtl/>
        </w:rPr>
      </w:pPr>
    </w:p>
    <w:p w:rsidR="002F179D" w:rsidRDefault="002F179D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6"/>
          <w:szCs w:val="36"/>
          <w:rtl/>
        </w:rPr>
      </w:pPr>
    </w:p>
    <w:p w:rsidR="002B7246" w:rsidRPr="002B7246" w:rsidRDefault="002B7246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تاریخ تحویل گزارش کار:</w:t>
      </w:r>
      <w:r w:rsidRPr="002B7246">
        <w:rPr>
          <w:rFonts w:hint="cs"/>
          <w:sz w:val="32"/>
          <w:szCs w:val="32"/>
          <w:rtl/>
        </w:rPr>
        <w:t>03/08/95</w:t>
      </w:r>
    </w:p>
    <w:p w:rsidR="00F32CD5" w:rsidRDefault="00F32CD5" w:rsidP="00F32CD5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2"/>
          <w:szCs w:val="32"/>
          <w:rtl/>
        </w:rPr>
      </w:pPr>
    </w:p>
    <w:p w:rsidR="002F179D" w:rsidRDefault="002F179D" w:rsidP="00F32CD5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sz w:val="32"/>
          <w:szCs w:val="32"/>
          <w:rtl/>
        </w:rPr>
      </w:pPr>
    </w:p>
    <w:p w:rsidR="00F32CD5" w:rsidRPr="001A23EE" w:rsidRDefault="00F32CD5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40"/>
          <w:szCs w:val="40"/>
          <w:rtl/>
        </w:rPr>
      </w:pPr>
      <w:r w:rsidRPr="001A23EE">
        <w:rPr>
          <w:rFonts w:ascii="Times New Roman" w:eastAsia="Times New Roman" w:hAnsi="Times New Roman" w:cs="Times New Roman" w:hint="cs"/>
          <w:sz w:val="40"/>
          <w:szCs w:val="40"/>
          <w:rtl/>
        </w:rPr>
        <w:lastRenderedPageBreak/>
        <w:t>مقدمه:</w:t>
      </w:r>
    </w:p>
    <w:p w:rsidR="00872E91" w:rsidRDefault="00F32CD5" w:rsidP="00ED161C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cs="Arial"/>
          <w:sz w:val="32"/>
          <w:szCs w:val="32"/>
          <w:rtl/>
          <w:lang w:bidi="fa-IR"/>
        </w:rPr>
      </w:pP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نشاسته ي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ک 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پلي‌ساكاريد گياهي ذخيره شده در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ريشه‌ها، جوانه و دانه‌ها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گياهان است. چنانچه تعداد واحدها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 قند يا مونو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ساكاريد در ي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ک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 كربوهيدرات ب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يش از 10 واحد باشد آن تركيب قند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، پل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ی 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ساكاريد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ناميده م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ی 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>ش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ود. در صورتي كه چنين كربوهيدرات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 از يك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نوع واحد قند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 تشكيل شد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ه باشد مثل نشاسته و سلولز هموپل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‌ساكاريد گفته م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ی 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شود و وقتي از بيش از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ي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ک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نوع واحد قند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درست شده باشد مثل اكثر هم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ی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سلولزها، متروپ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لی 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>‌ساكاريد نا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ميده مي‌شود. بنابراين نشاسته ي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ک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هموپل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ی 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ساكاريد است كه در آندوسپرم همه دانه‌ها وجود دارد. نشاسته ممكن است به گلوكز هيدروليز شود و براي بدن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انسان تامين انرژ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كند. گلوكز برا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مغز و اعمال سيستم عصب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مركز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 لازم است و به هنگام مصرف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در رژيم انسان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چهار كالر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ی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به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ا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ز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ا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ی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هر گرم توليد م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ی 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>كند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.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دانه‌ها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نشاسته يا گرانول‌ها شامل پل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‌مرها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بلند زنجيره‌ا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 از مولك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ول‌ها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 گلوكز هستند كه در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آب نامحلولند. برخلاف مولكول‌ها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كوچ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ک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نم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ک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 و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شكر پل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ی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مرها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بزرگ‌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تر نشاسته تشكيل ي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ک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حلال واقع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ی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را نم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‌دهند. گرانول‌ها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 نشاسته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به هنگام هم زدن در آب تشكيل ي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ک 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>سوسپانسيون موقت را مي‌دهند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.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گرانول‌ها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 خام و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نپخته نشاسته به محض جذب به آرام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ی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 xml:space="preserve"> متورم م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ی 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شوند. تورم گرانول‌ها به هنگام پختن نشاسته بسيار مهم است و سبب خروج نشاسته شده كه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اين امر سبب م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ی </w:t>
      </w:r>
      <w:r w:rsidRPr="001A23EE">
        <w:rPr>
          <w:rFonts w:ascii="Times New Roman" w:eastAsia="Times New Roman" w:hAnsi="Times New Roman" w:cs="Times New Roman"/>
          <w:sz w:val="32"/>
          <w:szCs w:val="32"/>
          <w:rtl/>
        </w:rPr>
        <w:t>شود نشاسته به عنوان ي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>ک</w:t>
      </w:r>
      <w:r w:rsidRPr="00E320B3">
        <w:rPr>
          <w:rFonts w:ascii="Times New Roman" w:eastAsia="Times New Roman" w:hAnsi="Times New Roman" w:cs="Times New Roman"/>
          <w:sz w:val="32"/>
          <w:szCs w:val="32"/>
          <w:rtl/>
        </w:rPr>
        <w:t xml:space="preserve"> غلظت‌دهنده كاربرد داشته باشد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r w:rsidRPr="001A23EE">
        <w:rPr>
          <w:sz w:val="32"/>
          <w:szCs w:val="32"/>
          <w:rtl/>
        </w:rPr>
        <w:t>نشاسته از دو مولكول آميلوز و آميلوپكتين تشكيل شده است. مولكول‌هاي آميلوز تقريبا ي</w:t>
      </w:r>
      <w:r w:rsidRPr="001A23EE">
        <w:rPr>
          <w:rFonts w:hint="cs"/>
          <w:sz w:val="32"/>
          <w:szCs w:val="32"/>
          <w:rtl/>
        </w:rPr>
        <w:t xml:space="preserve">ک </w:t>
      </w:r>
      <w:r w:rsidRPr="001A23EE">
        <w:rPr>
          <w:sz w:val="32"/>
          <w:szCs w:val="32"/>
          <w:rtl/>
        </w:rPr>
        <w:t>چهارم كل نشاسته را تشكيل م</w:t>
      </w:r>
      <w:r w:rsidRPr="001A23EE">
        <w:rPr>
          <w:rFonts w:hint="cs"/>
          <w:sz w:val="32"/>
          <w:szCs w:val="32"/>
          <w:rtl/>
        </w:rPr>
        <w:t>ی</w:t>
      </w:r>
      <w:r w:rsidRPr="001A23EE">
        <w:rPr>
          <w:sz w:val="32"/>
          <w:szCs w:val="32"/>
          <w:rtl/>
        </w:rPr>
        <w:t>‌دهند (اگرچه بعضي واريته‌ها آميلوز ندارند). آميلوز ي</w:t>
      </w:r>
      <w:r w:rsidRPr="001A23EE">
        <w:rPr>
          <w:rFonts w:hint="cs"/>
          <w:sz w:val="32"/>
          <w:szCs w:val="32"/>
          <w:rtl/>
        </w:rPr>
        <w:t xml:space="preserve">ک </w:t>
      </w:r>
      <w:r w:rsidRPr="001A23EE">
        <w:rPr>
          <w:sz w:val="32"/>
          <w:szCs w:val="32"/>
          <w:rtl/>
        </w:rPr>
        <w:t>زنجيره خط</w:t>
      </w:r>
      <w:r w:rsidRPr="001A23EE">
        <w:rPr>
          <w:rFonts w:hint="cs"/>
          <w:sz w:val="32"/>
          <w:szCs w:val="32"/>
          <w:rtl/>
        </w:rPr>
        <w:t>ی</w:t>
      </w:r>
      <w:r w:rsidRPr="001A23EE">
        <w:rPr>
          <w:sz w:val="32"/>
          <w:szCs w:val="32"/>
          <w:rtl/>
        </w:rPr>
        <w:t xml:space="preserve"> بلند متشكل از هزاران گلوكز است. در مولكول آميلوز پيوند ميان واحدها</w:t>
      </w:r>
      <w:r w:rsidRPr="001A23EE">
        <w:rPr>
          <w:rFonts w:hint="cs"/>
          <w:sz w:val="32"/>
          <w:szCs w:val="32"/>
          <w:rtl/>
        </w:rPr>
        <w:t>ی</w:t>
      </w:r>
      <w:r w:rsidRPr="001A23EE">
        <w:rPr>
          <w:sz w:val="32"/>
          <w:szCs w:val="32"/>
          <w:rtl/>
        </w:rPr>
        <w:t xml:space="preserve"> گلوكز فقط به ش</w:t>
      </w:r>
      <w:r w:rsidRPr="001A23EE">
        <w:rPr>
          <w:rFonts w:hint="cs"/>
          <w:sz w:val="32"/>
          <w:szCs w:val="32"/>
          <w:rtl/>
        </w:rPr>
        <w:t>کل الفا 1-4</w:t>
      </w:r>
      <w:r w:rsidRPr="001A23EE">
        <w:rPr>
          <w:sz w:val="32"/>
          <w:szCs w:val="32"/>
          <w:rtl/>
        </w:rPr>
        <w:t>است</w:t>
      </w:r>
      <w:r w:rsidRPr="001A23EE">
        <w:rPr>
          <w:rFonts w:hint="cs"/>
          <w:sz w:val="32"/>
          <w:szCs w:val="32"/>
          <w:rtl/>
        </w:rPr>
        <w:t>.</w:t>
      </w:r>
      <w:r w:rsidRPr="001A23EE">
        <w:rPr>
          <w:sz w:val="32"/>
          <w:szCs w:val="32"/>
        </w:rPr>
        <w:t xml:space="preserve"> </w:t>
      </w:r>
      <w:r w:rsidRPr="001A23EE">
        <w:rPr>
          <w:sz w:val="32"/>
          <w:szCs w:val="32"/>
          <w:rtl/>
        </w:rPr>
        <w:t>نشاسته‌ها</w:t>
      </w:r>
      <w:r w:rsidRPr="001A23EE">
        <w:rPr>
          <w:rFonts w:hint="cs"/>
          <w:sz w:val="32"/>
          <w:szCs w:val="32"/>
          <w:rtl/>
        </w:rPr>
        <w:t>ی</w:t>
      </w:r>
      <w:r w:rsidRPr="001A23EE">
        <w:rPr>
          <w:sz w:val="32"/>
          <w:szCs w:val="32"/>
          <w:rtl/>
        </w:rPr>
        <w:t xml:space="preserve"> دارا</w:t>
      </w:r>
      <w:r w:rsidRPr="001A23EE">
        <w:rPr>
          <w:rFonts w:hint="cs"/>
          <w:sz w:val="32"/>
          <w:szCs w:val="32"/>
          <w:rtl/>
        </w:rPr>
        <w:t>ی</w:t>
      </w:r>
      <w:r w:rsidRPr="001A23EE">
        <w:rPr>
          <w:sz w:val="32"/>
          <w:szCs w:val="32"/>
          <w:rtl/>
        </w:rPr>
        <w:t xml:space="preserve"> مقادير بالا</w:t>
      </w:r>
      <w:r w:rsidRPr="001A23EE">
        <w:rPr>
          <w:rFonts w:hint="cs"/>
          <w:sz w:val="32"/>
          <w:szCs w:val="32"/>
          <w:rtl/>
        </w:rPr>
        <w:t>ی</w:t>
      </w:r>
      <w:r w:rsidRPr="001A23EE">
        <w:rPr>
          <w:sz w:val="32"/>
          <w:szCs w:val="32"/>
          <w:rtl/>
        </w:rPr>
        <w:t xml:space="preserve"> آميلوز شكل خود را به هنگام شكل دادن حفظ كرده و تشكيل ژل م</w:t>
      </w:r>
      <w:r w:rsidRPr="001A23EE">
        <w:rPr>
          <w:rFonts w:hint="cs"/>
          <w:sz w:val="32"/>
          <w:szCs w:val="32"/>
          <w:rtl/>
        </w:rPr>
        <w:t xml:space="preserve">ی </w:t>
      </w:r>
      <w:r w:rsidRPr="001A23EE">
        <w:rPr>
          <w:sz w:val="32"/>
          <w:szCs w:val="32"/>
          <w:rtl/>
        </w:rPr>
        <w:t>دهند</w:t>
      </w:r>
      <w:r w:rsidRPr="001A23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r w:rsidRPr="001A23EE">
        <w:rPr>
          <w:rFonts w:hint="cs"/>
          <w:sz w:val="32"/>
          <w:szCs w:val="32"/>
          <w:rtl/>
        </w:rPr>
        <w:t>.</w:t>
      </w:r>
      <w:r w:rsidRPr="001A23EE">
        <w:rPr>
          <w:sz w:val="32"/>
          <w:szCs w:val="32"/>
          <w:rtl/>
        </w:rPr>
        <w:t>مولكول‌ها</w:t>
      </w:r>
      <w:r w:rsidRPr="001A23EE">
        <w:rPr>
          <w:rFonts w:hint="cs"/>
          <w:sz w:val="32"/>
          <w:szCs w:val="32"/>
          <w:rtl/>
        </w:rPr>
        <w:t>ی</w:t>
      </w:r>
      <w:r w:rsidRPr="001A23EE">
        <w:rPr>
          <w:sz w:val="32"/>
          <w:szCs w:val="32"/>
          <w:rtl/>
        </w:rPr>
        <w:t xml:space="preserve"> آميلوپكتين تقريبا سه‌چهارم پل</w:t>
      </w:r>
      <w:r w:rsidRPr="001A23EE">
        <w:rPr>
          <w:rFonts w:hint="cs"/>
          <w:sz w:val="32"/>
          <w:szCs w:val="32"/>
          <w:rtl/>
        </w:rPr>
        <w:t xml:space="preserve">ی </w:t>
      </w:r>
      <w:r w:rsidRPr="001A23EE">
        <w:rPr>
          <w:sz w:val="32"/>
          <w:szCs w:val="32"/>
          <w:rtl/>
        </w:rPr>
        <w:t>مرهاي ي</w:t>
      </w:r>
      <w:r w:rsidRPr="001A23EE">
        <w:rPr>
          <w:rFonts w:hint="cs"/>
          <w:sz w:val="32"/>
          <w:szCs w:val="32"/>
          <w:rtl/>
        </w:rPr>
        <w:t>ک</w:t>
      </w:r>
      <w:r>
        <w:rPr>
          <w:sz w:val="32"/>
          <w:szCs w:val="32"/>
          <w:rtl/>
        </w:rPr>
        <w:t xml:space="preserve"> گرانول</w:t>
      </w:r>
      <w:r>
        <w:rPr>
          <w:rFonts w:hint="cs"/>
          <w:sz w:val="32"/>
          <w:szCs w:val="32"/>
          <w:rtl/>
        </w:rPr>
        <w:t xml:space="preserve">ن </w:t>
      </w:r>
      <w:r w:rsidRPr="001A23EE">
        <w:rPr>
          <w:sz w:val="32"/>
          <w:szCs w:val="32"/>
          <w:rtl/>
        </w:rPr>
        <w:t>نشاسته را تشكيل مي‌دهند. در مولكول آميلو پكتين معمولا بعد از هر 8 ـ 7 واحد گلوكز ي</w:t>
      </w:r>
      <w:r w:rsidRPr="001A23EE">
        <w:rPr>
          <w:rFonts w:hint="cs"/>
          <w:sz w:val="32"/>
          <w:szCs w:val="32"/>
          <w:rtl/>
        </w:rPr>
        <w:t>ک</w:t>
      </w:r>
      <w:r w:rsidRPr="001A23EE">
        <w:rPr>
          <w:sz w:val="32"/>
          <w:szCs w:val="32"/>
          <w:rtl/>
        </w:rPr>
        <w:t xml:space="preserve"> شاخه انشعاب</w:t>
      </w:r>
      <w:r w:rsidRPr="001A23EE">
        <w:rPr>
          <w:rFonts w:hint="cs"/>
          <w:sz w:val="32"/>
          <w:szCs w:val="32"/>
          <w:rtl/>
        </w:rPr>
        <w:t xml:space="preserve">ی </w:t>
      </w:r>
      <w:r w:rsidRPr="001A23EE">
        <w:rPr>
          <w:sz w:val="32"/>
          <w:szCs w:val="32"/>
          <w:rtl/>
        </w:rPr>
        <w:t>وجود دارد كه خود دارا</w:t>
      </w:r>
      <w:r w:rsidRPr="001A23EE">
        <w:rPr>
          <w:rFonts w:hint="cs"/>
          <w:sz w:val="32"/>
          <w:szCs w:val="32"/>
          <w:rtl/>
        </w:rPr>
        <w:t>ی</w:t>
      </w:r>
      <w:r w:rsidRPr="001A23EE">
        <w:rPr>
          <w:sz w:val="32"/>
          <w:szCs w:val="32"/>
          <w:rtl/>
        </w:rPr>
        <w:t xml:space="preserve"> 30 ـ 15 واحد گلوكز است. در رشته اصل</w:t>
      </w:r>
      <w:r w:rsidRPr="001A23EE">
        <w:rPr>
          <w:rFonts w:hint="cs"/>
          <w:sz w:val="32"/>
          <w:szCs w:val="32"/>
          <w:rtl/>
        </w:rPr>
        <w:t>ی</w:t>
      </w:r>
      <w:r w:rsidRPr="001A23EE">
        <w:rPr>
          <w:sz w:val="32"/>
          <w:szCs w:val="32"/>
          <w:rtl/>
        </w:rPr>
        <w:t xml:space="preserve"> اتصال واحدها</w:t>
      </w:r>
      <w:r w:rsidRPr="001A23EE">
        <w:rPr>
          <w:rFonts w:hint="cs"/>
          <w:sz w:val="32"/>
          <w:szCs w:val="32"/>
          <w:rtl/>
        </w:rPr>
        <w:t>ی</w:t>
      </w:r>
      <w:r w:rsidRPr="001A23EE">
        <w:rPr>
          <w:sz w:val="32"/>
          <w:szCs w:val="32"/>
          <w:rtl/>
        </w:rPr>
        <w:t xml:space="preserve"> گلوكز به صور</w:t>
      </w:r>
      <w:r w:rsidRPr="001A23EE">
        <w:rPr>
          <w:rFonts w:hint="cs"/>
          <w:sz w:val="32"/>
          <w:szCs w:val="32"/>
          <w:rtl/>
        </w:rPr>
        <w:t>ت</w:t>
      </w:r>
      <w:r w:rsidRPr="001A23EE">
        <w:rPr>
          <w:sz w:val="32"/>
          <w:szCs w:val="32"/>
          <w:rtl/>
        </w:rPr>
        <w:t xml:space="preserve"> آلفا</w:t>
      </w:r>
      <w:r w:rsidRPr="001A23EE">
        <w:rPr>
          <w:rFonts w:hint="cs"/>
          <w:sz w:val="32"/>
          <w:szCs w:val="32"/>
          <w:rtl/>
        </w:rPr>
        <w:t xml:space="preserve"> 1-4</w:t>
      </w:r>
      <w:r w:rsidRPr="001A23EE">
        <w:rPr>
          <w:sz w:val="32"/>
          <w:szCs w:val="32"/>
          <w:rtl/>
        </w:rPr>
        <w:t xml:space="preserve"> و در محل انشعاب به صورت آلفا</w:t>
      </w:r>
      <w:r w:rsidRPr="001A23EE">
        <w:rPr>
          <w:rFonts w:hint="cs"/>
          <w:sz w:val="32"/>
          <w:szCs w:val="32"/>
          <w:rtl/>
        </w:rPr>
        <w:t xml:space="preserve"> 1-6</w:t>
      </w:r>
      <w:r w:rsidRPr="001A23EE">
        <w:rPr>
          <w:sz w:val="32"/>
          <w:szCs w:val="32"/>
          <w:rtl/>
        </w:rPr>
        <w:t xml:space="preserve"> است</w:t>
      </w:r>
      <w:r w:rsidRPr="001A23EE">
        <w:rPr>
          <w:rFonts w:hint="cs"/>
          <w:sz w:val="32"/>
          <w:szCs w:val="32"/>
          <w:rtl/>
        </w:rPr>
        <w:t>.</w:t>
      </w:r>
      <w:r w:rsidR="00ED161C">
        <w:rPr>
          <w:rFonts w:hint="cs"/>
          <w:sz w:val="32"/>
          <w:szCs w:val="32"/>
          <w:rtl/>
        </w:rPr>
        <w:t xml:space="preserve"> </w:t>
      </w:r>
      <w:r w:rsidR="00ED161C" w:rsidRPr="00ED161C">
        <w:rPr>
          <w:sz w:val="32"/>
          <w:szCs w:val="32"/>
          <w:rtl/>
        </w:rPr>
        <w:t>نشاسته چا</w:t>
      </w:r>
      <w:r w:rsidR="00ED161C" w:rsidRPr="00ED161C">
        <w:rPr>
          <w:rFonts w:hint="cs"/>
          <w:sz w:val="32"/>
          <w:szCs w:val="32"/>
          <w:rtl/>
        </w:rPr>
        <w:t>ی</w:t>
      </w:r>
      <w:r w:rsidR="00ED161C" w:rsidRPr="00ED161C">
        <w:rPr>
          <w:sz w:val="32"/>
          <w:szCs w:val="32"/>
          <w:rtl/>
        </w:rPr>
        <w:t xml:space="preserve"> درصد بالاي</w:t>
      </w:r>
      <w:r w:rsidR="00ED161C" w:rsidRPr="00ED161C">
        <w:rPr>
          <w:rFonts w:hint="cs"/>
          <w:sz w:val="32"/>
          <w:szCs w:val="32"/>
          <w:rtl/>
        </w:rPr>
        <w:t>ی</w:t>
      </w:r>
      <w:r w:rsidR="00ED161C" w:rsidRPr="00ED161C">
        <w:rPr>
          <w:sz w:val="32"/>
          <w:szCs w:val="32"/>
          <w:rtl/>
        </w:rPr>
        <w:t xml:space="preserve"> آميلوپكتين دارد كه سبب تغليظ ي</w:t>
      </w:r>
      <w:r w:rsidR="00ED161C" w:rsidRPr="00ED161C">
        <w:rPr>
          <w:rFonts w:hint="cs"/>
          <w:sz w:val="32"/>
          <w:szCs w:val="32"/>
          <w:rtl/>
        </w:rPr>
        <w:t xml:space="preserve">ک </w:t>
      </w:r>
      <w:r w:rsidR="00ED161C" w:rsidRPr="00ED161C">
        <w:rPr>
          <w:sz w:val="32"/>
          <w:szCs w:val="32"/>
          <w:rtl/>
        </w:rPr>
        <w:t>مخلوط خواهد شد اما برخلاف آميلوز تشكيل ژل نم</w:t>
      </w:r>
      <w:r w:rsidR="00ED161C" w:rsidRPr="00ED161C">
        <w:rPr>
          <w:rFonts w:hint="cs"/>
          <w:sz w:val="32"/>
          <w:szCs w:val="32"/>
          <w:rtl/>
        </w:rPr>
        <w:t>ی</w:t>
      </w:r>
      <w:r w:rsidR="00ED161C" w:rsidRPr="00ED161C">
        <w:rPr>
          <w:sz w:val="32"/>
          <w:szCs w:val="32"/>
          <w:rtl/>
        </w:rPr>
        <w:t>‌دهد. مولكول‌ها</w:t>
      </w:r>
      <w:r w:rsidR="00ED161C" w:rsidRPr="00ED161C">
        <w:rPr>
          <w:rFonts w:hint="cs"/>
          <w:sz w:val="32"/>
          <w:szCs w:val="32"/>
          <w:rtl/>
        </w:rPr>
        <w:t xml:space="preserve">ی </w:t>
      </w:r>
      <w:r w:rsidR="00ED161C" w:rsidRPr="00ED161C">
        <w:rPr>
          <w:sz w:val="32"/>
          <w:szCs w:val="32"/>
          <w:rtl/>
        </w:rPr>
        <w:t>آميلوپكتين به يكديگر متصل نم</w:t>
      </w:r>
      <w:r w:rsidR="00ED161C" w:rsidRPr="00ED161C">
        <w:rPr>
          <w:rFonts w:hint="cs"/>
          <w:sz w:val="32"/>
          <w:szCs w:val="32"/>
          <w:rtl/>
        </w:rPr>
        <w:t xml:space="preserve">ی </w:t>
      </w:r>
      <w:r w:rsidR="00ED161C" w:rsidRPr="00ED161C">
        <w:rPr>
          <w:sz w:val="32"/>
          <w:szCs w:val="32"/>
          <w:rtl/>
        </w:rPr>
        <w:t>شوند و به هنگام سرد شدن پيوندها</w:t>
      </w:r>
      <w:r w:rsidR="00ED161C" w:rsidRPr="00ED161C">
        <w:rPr>
          <w:rFonts w:hint="cs"/>
          <w:sz w:val="32"/>
          <w:szCs w:val="32"/>
          <w:rtl/>
        </w:rPr>
        <w:t>ی</w:t>
      </w:r>
      <w:r w:rsidR="00ED161C" w:rsidRPr="00ED161C">
        <w:rPr>
          <w:sz w:val="32"/>
          <w:szCs w:val="32"/>
          <w:rtl/>
        </w:rPr>
        <w:t xml:space="preserve"> شيمياي</w:t>
      </w:r>
      <w:r w:rsidR="00ED161C" w:rsidRPr="00ED161C">
        <w:rPr>
          <w:rFonts w:hint="cs"/>
          <w:sz w:val="32"/>
          <w:szCs w:val="32"/>
          <w:rtl/>
        </w:rPr>
        <w:t xml:space="preserve">ی </w:t>
      </w:r>
      <w:r w:rsidR="00ED161C" w:rsidRPr="00ED161C">
        <w:rPr>
          <w:sz w:val="32"/>
          <w:szCs w:val="32"/>
          <w:rtl/>
        </w:rPr>
        <w:t>مشابه آميلوز تشكيل نم</w:t>
      </w:r>
      <w:r w:rsidR="00ED161C" w:rsidRPr="00ED161C">
        <w:rPr>
          <w:rFonts w:hint="cs"/>
          <w:sz w:val="32"/>
          <w:szCs w:val="32"/>
          <w:rtl/>
        </w:rPr>
        <w:t>ی</w:t>
      </w:r>
      <w:r w:rsidR="00ED161C" w:rsidRPr="00ED161C">
        <w:rPr>
          <w:sz w:val="32"/>
          <w:szCs w:val="32"/>
          <w:rtl/>
        </w:rPr>
        <w:t>‌دهند</w:t>
      </w:r>
      <w:r w:rsidR="00ED161C" w:rsidRPr="00ED161C">
        <w:rPr>
          <w:sz w:val="32"/>
          <w:szCs w:val="32"/>
        </w:rPr>
        <w:t>.</w:t>
      </w:r>
      <w:r w:rsidR="00ED161C" w:rsidRPr="00ED161C">
        <w:rPr>
          <w:sz w:val="32"/>
          <w:szCs w:val="32"/>
        </w:rPr>
        <w:br/>
      </w:r>
      <w:r w:rsidR="00ED161C" w:rsidRPr="00ED161C">
        <w:rPr>
          <w:sz w:val="32"/>
          <w:szCs w:val="32"/>
          <w:rtl/>
        </w:rPr>
        <w:t>از ديگر موارد قابل مقايسه بين آميلوز و آميلوپكتين وزن مولكول</w:t>
      </w:r>
      <w:r w:rsidR="00ED161C" w:rsidRPr="00ED161C">
        <w:rPr>
          <w:rFonts w:hint="cs"/>
          <w:sz w:val="32"/>
          <w:szCs w:val="32"/>
          <w:rtl/>
        </w:rPr>
        <w:t xml:space="preserve">ی </w:t>
      </w:r>
      <w:r w:rsidR="00ED161C" w:rsidRPr="00ED161C">
        <w:rPr>
          <w:sz w:val="32"/>
          <w:szCs w:val="32"/>
          <w:rtl/>
        </w:rPr>
        <w:t>آنها است. وزن مولكول</w:t>
      </w:r>
      <w:r w:rsidR="00ED161C" w:rsidRPr="00ED161C">
        <w:rPr>
          <w:rFonts w:hint="cs"/>
          <w:sz w:val="32"/>
          <w:szCs w:val="32"/>
          <w:rtl/>
        </w:rPr>
        <w:t>ی</w:t>
      </w:r>
      <w:r w:rsidR="00ED161C" w:rsidRPr="00ED161C">
        <w:rPr>
          <w:sz w:val="32"/>
          <w:szCs w:val="32"/>
          <w:rtl/>
        </w:rPr>
        <w:t xml:space="preserve"> آميلوز ممكن است به 200 ـ 100 هزار برسد در حال</w:t>
      </w:r>
      <w:r w:rsidR="00ED161C" w:rsidRPr="00ED161C">
        <w:rPr>
          <w:rFonts w:hint="cs"/>
          <w:sz w:val="32"/>
          <w:szCs w:val="32"/>
          <w:rtl/>
        </w:rPr>
        <w:t>ی</w:t>
      </w:r>
      <w:r w:rsidR="00ED161C" w:rsidRPr="00ED161C">
        <w:rPr>
          <w:sz w:val="32"/>
          <w:szCs w:val="32"/>
          <w:rtl/>
        </w:rPr>
        <w:t xml:space="preserve"> كه وزن مولكول</w:t>
      </w:r>
      <w:r w:rsidR="00ED161C" w:rsidRPr="00ED161C">
        <w:rPr>
          <w:rFonts w:hint="cs"/>
          <w:sz w:val="32"/>
          <w:szCs w:val="32"/>
          <w:rtl/>
        </w:rPr>
        <w:t>ی</w:t>
      </w:r>
      <w:r w:rsidR="00ED161C" w:rsidRPr="00ED161C">
        <w:rPr>
          <w:sz w:val="32"/>
          <w:szCs w:val="32"/>
          <w:rtl/>
        </w:rPr>
        <w:t xml:space="preserve"> آميلوپكتين در حدود ي</w:t>
      </w:r>
      <w:r w:rsidR="00ED161C" w:rsidRPr="00ED161C">
        <w:rPr>
          <w:rFonts w:hint="cs"/>
          <w:sz w:val="32"/>
          <w:szCs w:val="32"/>
          <w:rtl/>
        </w:rPr>
        <w:t xml:space="preserve">ک </w:t>
      </w:r>
      <w:r w:rsidR="00ED161C" w:rsidRPr="00ED161C">
        <w:rPr>
          <w:sz w:val="32"/>
          <w:szCs w:val="32"/>
          <w:rtl/>
        </w:rPr>
        <w:t>ميليون است</w:t>
      </w:r>
      <w:r w:rsidR="00ED161C" w:rsidRPr="00ED161C">
        <w:rPr>
          <w:sz w:val="32"/>
          <w:szCs w:val="32"/>
        </w:rPr>
        <w:t>.</w:t>
      </w:r>
      <w:r w:rsidR="00ED161C" w:rsidRPr="00ED161C">
        <w:rPr>
          <w:sz w:val="32"/>
          <w:szCs w:val="32"/>
        </w:rPr>
        <w:br/>
      </w:r>
      <w:r w:rsidR="00ED161C" w:rsidRPr="00ED161C">
        <w:rPr>
          <w:sz w:val="32"/>
          <w:szCs w:val="32"/>
          <w:rtl/>
        </w:rPr>
        <w:t>نسبت وجود دو آنزيم كه سازنده اتصال‌ها</w:t>
      </w:r>
      <w:r w:rsidR="00ED161C" w:rsidRPr="00ED161C">
        <w:rPr>
          <w:rFonts w:hint="cs"/>
          <w:sz w:val="32"/>
          <w:szCs w:val="32"/>
          <w:rtl/>
        </w:rPr>
        <w:t xml:space="preserve">ی </w:t>
      </w:r>
      <w:r w:rsidR="00ED161C" w:rsidRPr="00ED161C">
        <w:rPr>
          <w:sz w:val="32"/>
          <w:szCs w:val="32"/>
          <w:rtl/>
        </w:rPr>
        <w:t xml:space="preserve">آلفا </w:t>
      </w:r>
      <w:r w:rsidR="00ED161C" w:rsidRPr="00ED161C">
        <w:rPr>
          <w:rFonts w:hint="cs"/>
          <w:sz w:val="32"/>
          <w:szCs w:val="32"/>
          <w:rtl/>
        </w:rPr>
        <w:t>1-4 و</w:t>
      </w:r>
      <w:r w:rsidR="00ED161C" w:rsidRPr="00ED161C">
        <w:rPr>
          <w:sz w:val="32"/>
          <w:szCs w:val="32"/>
          <w:rtl/>
        </w:rPr>
        <w:t>آلفا</w:t>
      </w:r>
      <w:r w:rsidR="00ED161C" w:rsidRPr="00ED161C">
        <w:rPr>
          <w:rFonts w:hint="cs"/>
          <w:sz w:val="32"/>
          <w:szCs w:val="32"/>
          <w:rtl/>
        </w:rPr>
        <w:t xml:space="preserve"> 1-6</w:t>
      </w:r>
      <w:r w:rsidR="00ED161C" w:rsidRPr="00ED161C">
        <w:rPr>
          <w:sz w:val="32"/>
          <w:szCs w:val="32"/>
          <w:rtl/>
        </w:rPr>
        <w:t xml:space="preserve"> در گياه هستند مشخص‌كننده  نسبت يا ميزان آميلوز يا آميلوپكتين در نشاسته آن گياه است</w:t>
      </w:r>
      <w:r w:rsidR="00ED161C" w:rsidRPr="00ED161C">
        <w:rPr>
          <w:sz w:val="32"/>
          <w:szCs w:val="32"/>
        </w:rPr>
        <w:t>.</w:t>
      </w:r>
      <w:r w:rsidR="00ED161C" w:rsidRPr="00ED161C">
        <w:rPr>
          <w:sz w:val="32"/>
          <w:szCs w:val="32"/>
        </w:rPr>
        <w:br/>
      </w:r>
      <w:r w:rsidR="00ED161C" w:rsidRPr="00ED161C">
        <w:rPr>
          <w:sz w:val="32"/>
          <w:szCs w:val="32"/>
          <w:rtl/>
        </w:rPr>
        <w:t>مي‌توان گفت كه نسبت آميلوز به آميلوپكتين نقش مهمي در رفتار نشاسته خواهد داشت</w:t>
      </w:r>
      <w:r w:rsidR="00ED161C" w:rsidRPr="00ED161C">
        <w:rPr>
          <w:sz w:val="32"/>
          <w:szCs w:val="32"/>
        </w:rPr>
        <w:t>.</w:t>
      </w:r>
      <w:r w:rsidR="00ED161C">
        <w:rPr>
          <w:rFonts w:hint="cs"/>
          <w:sz w:val="32"/>
          <w:szCs w:val="32"/>
          <w:rtl/>
        </w:rPr>
        <w:t xml:space="preserve">   </w:t>
      </w:r>
      <w:r w:rsidRPr="001A23EE">
        <w:rPr>
          <w:sz w:val="32"/>
          <w:szCs w:val="32"/>
          <w:rtl/>
        </w:rPr>
        <w:lastRenderedPageBreak/>
        <w:t>روش اسپکتروفتومتری یکی از روش های طیف سنجی</w:t>
      </w:r>
      <w:r w:rsidRPr="001A23EE">
        <w:rPr>
          <w:rFonts w:hint="cs"/>
          <w:sz w:val="32"/>
          <w:szCs w:val="32"/>
          <w:rtl/>
        </w:rPr>
        <w:t xml:space="preserve"> </w:t>
      </w:r>
      <w:r w:rsidRPr="001A23EE">
        <w:rPr>
          <w:sz w:val="32"/>
          <w:szCs w:val="32"/>
          <w:rtl/>
        </w:rPr>
        <w:t>می باش</w:t>
      </w:r>
      <w:r w:rsidRPr="001A23EE">
        <w:rPr>
          <w:rFonts w:hint="cs"/>
          <w:sz w:val="32"/>
          <w:szCs w:val="32"/>
          <w:rtl/>
        </w:rPr>
        <w:t xml:space="preserve">د </w:t>
      </w:r>
      <w:r w:rsidRPr="001A23EE">
        <w:rPr>
          <w:sz w:val="32"/>
          <w:szCs w:val="32"/>
          <w:rtl/>
        </w:rPr>
        <w:t>که در آن از طول موج های  ماورای بنف</w:t>
      </w:r>
      <w:r w:rsidRPr="001A23EE">
        <w:rPr>
          <w:rFonts w:hint="cs"/>
          <w:sz w:val="32"/>
          <w:szCs w:val="32"/>
          <w:rtl/>
        </w:rPr>
        <w:t xml:space="preserve">ش </w:t>
      </w:r>
      <w:r w:rsidRPr="001A23EE">
        <w:rPr>
          <w:sz w:val="32"/>
          <w:szCs w:val="32"/>
          <w:rtl/>
        </w:rPr>
        <w:t>و مرئی طیف الکترومغناطیسی برای بررسی کیفی و اندازه گیری کمی مولکول ها و ترکیبات در آزمایشگاه های تحقیقاتی و بالینی استفاده می شو</w:t>
      </w:r>
      <w:r w:rsidRPr="001A23EE">
        <w:rPr>
          <w:rFonts w:hint="cs"/>
          <w:sz w:val="32"/>
          <w:szCs w:val="32"/>
          <w:rtl/>
        </w:rPr>
        <w:t xml:space="preserve">د. </w:t>
      </w:r>
      <w:r w:rsidRPr="001A23EE">
        <w:rPr>
          <w:sz w:val="32"/>
          <w:szCs w:val="32"/>
          <w:rtl/>
        </w:rPr>
        <w:t>اساس روش اسپکتروفتومتری این است که هر مولکول و ترکیب ویژه در محلول شفاف، یکی از طول موج های نور را بیشتر از سایر طول موج ها ج</w:t>
      </w:r>
      <w:r w:rsidRPr="001A23EE">
        <w:rPr>
          <w:rFonts w:hint="cs"/>
          <w:sz w:val="32"/>
          <w:szCs w:val="32"/>
          <w:rtl/>
          <w:lang w:bidi="fa-IR"/>
        </w:rPr>
        <w:t>ذب</w:t>
      </w:r>
      <w:r w:rsidRPr="001A23EE">
        <w:rPr>
          <w:sz w:val="32"/>
          <w:szCs w:val="32"/>
          <w:rtl/>
        </w:rPr>
        <w:t xml:space="preserve"> می کند</w:t>
      </w:r>
      <w:r w:rsidRPr="001A23EE">
        <w:rPr>
          <w:rFonts w:hint="cs"/>
          <w:sz w:val="32"/>
          <w:szCs w:val="32"/>
          <w:rtl/>
        </w:rPr>
        <w:t>.</w:t>
      </w:r>
      <w:r w:rsidRPr="001A23EE">
        <w:rPr>
          <w:sz w:val="32"/>
          <w:szCs w:val="32"/>
          <w:rtl/>
        </w:rPr>
        <w:t>که این طول موج</w:t>
      </w:r>
      <w:r w:rsidRPr="001A23EE">
        <w:rPr>
          <w:rFonts w:hint="cs"/>
          <w:sz w:val="32"/>
          <w:szCs w:val="32"/>
          <w:rtl/>
        </w:rPr>
        <w:t xml:space="preserve"> لاندای ماکسیمم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</m:oMath>
      <w:r w:rsidRPr="001A23EE">
        <w:rPr>
          <w:rFonts w:eastAsiaTheme="minorEastAsia" w:hint="cs"/>
          <w:sz w:val="32"/>
          <w:szCs w:val="32"/>
          <w:rtl/>
          <w:lang w:bidi="fa-IR"/>
        </w:rPr>
        <w:t xml:space="preserve"> نام دارد.</w:t>
      </w:r>
      <w:r w:rsidRPr="001A23EE">
        <w:rPr>
          <w:rFonts w:cs="Arial" w:hint="cs"/>
          <w:sz w:val="32"/>
          <w:szCs w:val="32"/>
          <w:rtl/>
          <w:lang w:bidi="fa-IR"/>
        </w:rPr>
        <w:t>اگر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یک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طول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موج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از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نور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از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محلول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شفافی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با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شدت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sz w:val="32"/>
          <w:szCs w:val="32"/>
          <w:lang w:bidi="fa-IR"/>
        </w:rPr>
        <w:t>I0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عبور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کند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،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بخشی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از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نور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توسط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محلول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جذب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می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شود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و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بقیه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با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شدت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کمتراز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محلول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عبور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میکند</w:t>
      </w:r>
      <w:r w:rsidRPr="001A23EE">
        <w:rPr>
          <w:rFonts w:cs="Arial"/>
          <w:sz w:val="32"/>
          <w:szCs w:val="32"/>
          <w:rtl/>
          <w:lang w:bidi="fa-IR"/>
        </w:rPr>
        <w:t>.</w:t>
      </w:r>
      <w:r w:rsidRPr="001A23EE">
        <w:rPr>
          <w:rFonts w:cs="Arial" w:hint="cs"/>
          <w:sz w:val="32"/>
          <w:szCs w:val="32"/>
          <w:rtl/>
          <w:lang w:bidi="fa-IR"/>
        </w:rPr>
        <w:t>دستگاه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اسپکتروفتومتری،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شدت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نور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جذب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شده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توسط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محلول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را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اندازه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گیری</w:t>
      </w:r>
      <w:r w:rsidRPr="001A23EE">
        <w:rPr>
          <w:rFonts w:cs="Arial"/>
          <w:sz w:val="32"/>
          <w:szCs w:val="32"/>
          <w:rtl/>
          <w:lang w:bidi="fa-IR"/>
        </w:rPr>
        <w:t xml:space="preserve"> </w:t>
      </w:r>
      <w:r w:rsidRPr="001A23EE">
        <w:rPr>
          <w:rFonts w:cs="Arial" w:hint="cs"/>
          <w:sz w:val="32"/>
          <w:szCs w:val="32"/>
          <w:rtl/>
          <w:lang w:bidi="fa-IR"/>
        </w:rPr>
        <w:t>میکند.روش های متعددی برای محاسبۀ غلظت ماده مجهول وجود دارد که یکی از انها</w:t>
      </w:r>
      <w:r>
        <w:rPr>
          <w:rFonts w:cs="Arial" w:hint="cs"/>
          <w:sz w:val="32"/>
          <w:szCs w:val="32"/>
          <w:rtl/>
          <w:lang w:bidi="fa-IR"/>
        </w:rPr>
        <w:t xml:space="preserve"> استفاده </w:t>
      </w:r>
      <w:r w:rsidRPr="001A23EE">
        <w:rPr>
          <w:rFonts w:cs="Arial" w:hint="cs"/>
          <w:sz w:val="32"/>
          <w:szCs w:val="32"/>
          <w:rtl/>
          <w:lang w:bidi="fa-IR"/>
        </w:rPr>
        <w:t>از منحنی استاندارد است که در این روش چند غلظت از محلول استاندارد</w:t>
      </w:r>
      <w:r>
        <w:rPr>
          <w:rFonts w:cs="Arial" w:hint="cs"/>
          <w:sz w:val="32"/>
          <w:szCs w:val="32"/>
          <w:rtl/>
          <w:lang w:bidi="fa-IR"/>
        </w:rPr>
        <w:t xml:space="preserve"> تهیه می کنیم.</w:t>
      </w:r>
    </w:p>
    <w:p w:rsidR="002F179D" w:rsidRDefault="002F179D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cs="Arial"/>
          <w:sz w:val="32"/>
          <w:szCs w:val="32"/>
          <w:rtl/>
          <w:lang w:bidi="fa-IR"/>
        </w:rPr>
      </w:pPr>
    </w:p>
    <w:p w:rsidR="002F179D" w:rsidRDefault="002F179D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Aharoni" w:eastAsia="Times New Roman" w:hAnsi="Aharoni" w:cs="Aharoni"/>
          <w:sz w:val="32"/>
          <w:szCs w:val="32"/>
          <w:rtl/>
        </w:rPr>
      </w:pPr>
    </w:p>
    <w:p w:rsidR="002F179D" w:rsidRDefault="002F179D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Aharoni" w:eastAsia="Times New Roman" w:hAnsi="Aharoni" w:cs="Times New Roman"/>
          <w:sz w:val="40"/>
          <w:szCs w:val="40"/>
          <w:rtl/>
        </w:rPr>
      </w:pPr>
      <w:r>
        <w:rPr>
          <w:rFonts w:ascii="Aharoni" w:eastAsia="Times New Roman" w:hAnsi="Aharoni" w:cs="Times New Roman" w:hint="cs"/>
          <w:sz w:val="40"/>
          <w:szCs w:val="40"/>
          <w:rtl/>
        </w:rPr>
        <w:t>مواد وابزار:</w:t>
      </w:r>
    </w:p>
    <w:p w:rsidR="002F179D" w:rsidRDefault="002F179D" w:rsidP="002F179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Aharoni" w:eastAsia="Times New Roman" w:hAnsi="Aharoni" w:cs="Times New Roman"/>
          <w:sz w:val="32"/>
          <w:szCs w:val="32"/>
          <w:rtl/>
        </w:rPr>
      </w:pPr>
      <w:r>
        <w:rPr>
          <w:rFonts w:ascii="Aharoni" w:eastAsia="Times New Roman" w:hAnsi="Aharoni" w:cs="Times New Roman" w:hint="cs"/>
          <w:sz w:val="32"/>
          <w:szCs w:val="32"/>
          <w:rtl/>
        </w:rPr>
        <w:t>نشاسته،آب مقط</w:t>
      </w:r>
      <w:r w:rsidR="009C7B37">
        <w:rPr>
          <w:rFonts w:ascii="Aharoni" w:eastAsia="Times New Roman" w:hAnsi="Aharoni" w:cs="Times New Roman" w:hint="cs"/>
          <w:sz w:val="32"/>
          <w:szCs w:val="32"/>
          <w:rtl/>
        </w:rPr>
        <w:t>ر،لوله آزمایش،معرف ید،ارلن؛پیپت ودستگاه اسپکتروفتومتر.</w:t>
      </w:r>
    </w:p>
    <w:p w:rsidR="009C7B37" w:rsidRDefault="009C7B37" w:rsidP="009C7B37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Aharoni" w:eastAsia="Times New Roman" w:hAnsi="Aharoni" w:cs="Times New Roman"/>
          <w:sz w:val="32"/>
          <w:szCs w:val="32"/>
          <w:rtl/>
        </w:rPr>
      </w:pPr>
    </w:p>
    <w:p w:rsidR="009C7B37" w:rsidRDefault="009C7B37" w:rsidP="009C7B37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Aharoni" w:eastAsia="Times New Roman" w:hAnsi="Aharoni" w:cs="Times New Roman"/>
          <w:sz w:val="40"/>
          <w:szCs w:val="40"/>
          <w:rtl/>
        </w:rPr>
      </w:pPr>
      <w:r>
        <w:rPr>
          <w:rFonts w:ascii="Aharoni" w:eastAsia="Times New Roman" w:hAnsi="Aharoni" w:cs="Times New Roman" w:hint="cs"/>
          <w:sz w:val="40"/>
          <w:szCs w:val="40"/>
          <w:rtl/>
        </w:rPr>
        <w:t>روش کار:</w:t>
      </w:r>
    </w:p>
    <w:p w:rsidR="004250D4" w:rsidRDefault="004250D4" w:rsidP="004250D4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Aharoni" w:eastAsia="Times New Roman" w:hAnsi="Aharoni" w:cs="Times New Roman"/>
          <w:sz w:val="32"/>
          <w:szCs w:val="32"/>
          <w:rtl/>
        </w:rPr>
      </w:pPr>
      <w:r>
        <w:rPr>
          <w:rFonts w:ascii="Aharoni" w:eastAsia="Times New Roman" w:hAnsi="Aharoni" w:cs="Times New Roman" w:hint="cs"/>
          <w:sz w:val="32"/>
          <w:szCs w:val="32"/>
          <w:rtl/>
        </w:rPr>
        <w:t>مطابق با دستورکار انجام شد</w:t>
      </w:r>
      <w:r>
        <w:rPr>
          <w:rFonts w:ascii="Aharoni" w:eastAsia="Times New Roman" w:hAnsi="Aharoni" w:cs="Times New Roman"/>
          <w:sz w:val="32"/>
          <w:szCs w:val="32"/>
        </w:rPr>
        <w:t>.</w:t>
      </w:r>
    </w:p>
    <w:p w:rsidR="00013D2C" w:rsidRPr="00013D2C" w:rsidRDefault="00013D2C" w:rsidP="00013D2C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Aharoni" w:eastAsia="Times New Roman" w:hAnsi="Aharoni" w:cs="Times New Roman"/>
          <w:sz w:val="40"/>
          <w:szCs w:val="40"/>
        </w:rPr>
      </w:pPr>
      <w:r>
        <w:rPr>
          <w:rFonts w:ascii="Aharoni" w:eastAsia="Times New Roman" w:hAnsi="Aharoni" w:cs="Times New Roman" w:hint="cs"/>
          <w:sz w:val="40"/>
          <w:szCs w:val="40"/>
          <w:rtl/>
        </w:rPr>
        <w:t>نتیجه:</w:t>
      </w:r>
    </w:p>
    <w:p w:rsidR="004250D4" w:rsidRDefault="004250D4" w:rsidP="004250D4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Aharoni" w:eastAsia="Times New Roman" w:hAnsi="Aharoni" w:cs="Times New Roman"/>
          <w:sz w:val="40"/>
          <w:szCs w:val="40"/>
        </w:rPr>
      </w:pPr>
      <w:r>
        <w:rPr>
          <w:rFonts w:ascii="Aharoni" w:eastAsia="Times New Roman" w:hAnsi="Aharoni" w:cs="Times New Roman" w:hint="cs"/>
          <w:sz w:val="40"/>
          <w:szCs w:val="40"/>
          <w:rtl/>
        </w:rPr>
        <w:lastRenderedPageBreak/>
        <w:t xml:space="preserve">                     </w:t>
      </w:r>
      <w:r>
        <w:rPr>
          <w:noProof/>
          <w:lang w:bidi="fa-IR"/>
        </w:rPr>
        <w:drawing>
          <wp:inline distT="0" distB="0" distL="0" distR="0" wp14:anchorId="442E8BC9" wp14:editId="48B56F17">
            <wp:extent cx="4572000" cy="27432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13D2C" w:rsidRDefault="004250D4" w:rsidP="004250D4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Aharoni" w:eastAsia="Times New Roman" w:hAnsi="Aharoni" w:cs="Times New Roman"/>
          <w:sz w:val="40"/>
          <w:szCs w:val="40"/>
          <w:rtl/>
        </w:rPr>
      </w:pPr>
      <w:r>
        <w:rPr>
          <w:rFonts w:ascii="Aharoni" w:eastAsia="Times New Roman" w:hAnsi="Aharoni" w:cs="Times New Roman" w:hint="cs"/>
          <w:sz w:val="40"/>
          <w:szCs w:val="40"/>
          <w:rtl/>
        </w:rPr>
        <w:t xml:space="preserve">   </w:t>
      </w:r>
    </w:p>
    <w:tbl>
      <w:tblPr>
        <w:bidiVisual/>
        <w:tblW w:w="3240" w:type="dxa"/>
        <w:tblInd w:w="93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</w:tblGrid>
      <w:tr w:rsidR="00013D2C" w:rsidTr="00013D2C">
        <w:trPr>
          <w:trHeight w:val="285"/>
        </w:trPr>
        <w:tc>
          <w:tcPr>
            <w:tcW w:w="1080" w:type="dxa"/>
            <w:noWrap/>
            <w:vAlign w:val="bottom"/>
            <w:hideMark/>
          </w:tcPr>
          <w:p w:rsidR="00013D2C" w:rsidRDefault="00013D2C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fa-IR"/>
              </w:rPr>
            </w:pPr>
            <w:r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013D2C" w:rsidTr="00013D2C">
        <w:trPr>
          <w:trHeight w:val="285"/>
        </w:trPr>
        <w:tc>
          <w:tcPr>
            <w:tcW w:w="1080" w:type="dxa"/>
            <w:noWrap/>
            <w:vAlign w:val="bottom"/>
            <w:hideMark/>
          </w:tcPr>
          <w:p w:rsidR="00013D2C" w:rsidRDefault="00013D2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lang w:bidi="fa-IR"/>
              </w:rPr>
            </w:pPr>
            <w:r>
              <w:rPr>
                <w:rFonts w:ascii="Arial" w:eastAsia="Times New Roman" w:hAnsi="Arial" w:cs="Arial"/>
                <w:color w:val="000000"/>
                <w:rtl/>
              </w:rPr>
              <w:t>مقدار نشاسته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rtl/>
              </w:rPr>
              <w:t>جذب نور</w:t>
            </w:r>
          </w:p>
        </w:tc>
      </w:tr>
      <w:tr w:rsidR="00013D2C" w:rsidTr="00013D2C">
        <w:trPr>
          <w:trHeight w:val="285"/>
        </w:trPr>
        <w:tc>
          <w:tcPr>
            <w:tcW w:w="1080" w:type="dxa"/>
            <w:noWrap/>
            <w:vAlign w:val="bottom"/>
            <w:hideMark/>
          </w:tcPr>
          <w:p w:rsidR="00013D2C" w:rsidRDefault="00013D2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bidi="fa-IR"/>
              </w:rPr>
            </w:pPr>
            <w:r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13D2C" w:rsidTr="00013D2C">
        <w:trPr>
          <w:trHeight w:val="285"/>
        </w:trPr>
        <w:tc>
          <w:tcPr>
            <w:tcW w:w="1080" w:type="dxa"/>
            <w:noWrap/>
            <w:vAlign w:val="bottom"/>
            <w:hideMark/>
          </w:tcPr>
          <w:p w:rsidR="00013D2C" w:rsidRDefault="00013D2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bidi="fa-IR"/>
              </w:rPr>
            </w:pPr>
            <w:r>
              <w:rPr>
                <w:rFonts w:ascii="Arial" w:eastAsia="Times New Roman" w:hAnsi="Arial" w:cs="Arial"/>
                <w:color w:val="000000"/>
              </w:rPr>
              <w:t>200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0.043</w:t>
            </w:r>
          </w:p>
        </w:tc>
      </w:tr>
      <w:tr w:rsidR="00013D2C" w:rsidTr="00013D2C">
        <w:trPr>
          <w:trHeight w:val="285"/>
        </w:trPr>
        <w:tc>
          <w:tcPr>
            <w:tcW w:w="1080" w:type="dxa"/>
            <w:noWrap/>
            <w:vAlign w:val="bottom"/>
            <w:hideMark/>
          </w:tcPr>
          <w:p w:rsidR="00013D2C" w:rsidRDefault="00013D2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bidi="fa-IR"/>
              </w:rPr>
            </w:pPr>
            <w:r>
              <w:rPr>
                <w:rFonts w:ascii="Arial" w:eastAsia="Times New Roman" w:hAnsi="Arial" w:cs="Arial"/>
                <w:color w:val="000000"/>
              </w:rPr>
              <w:t>400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0.097</w:t>
            </w:r>
          </w:p>
        </w:tc>
      </w:tr>
      <w:tr w:rsidR="00013D2C" w:rsidTr="00013D2C">
        <w:trPr>
          <w:trHeight w:val="285"/>
        </w:trPr>
        <w:tc>
          <w:tcPr>
            <w:tcW w:w="1080" w:type="dxa"/>
            <w:noWrap/>
            <w:vAlign w:val="bottom"/>
            <w:hideMark/>
          </w:tcPr>
          <w:p w:rsidR="00013D2C" w:rsidRDefault="00013D2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bidi="fa-IR"/>
              </w:rPr>
            </w:pPr>
            <w:r>
              <w:rPr>
                <w:rFonts w:ascii="Arial" w:eastAsia="Times New Roman" w:hAnsi="Arial" w:cs="Arial"/>
                <w:color w:val="000000"/>
              </w:rPr>
              <w:t>800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0.186</w:t>
            </w:r>
          </w:p>
        </w:tc>
      </w:tr>
      <w:tr w:rsidR="00013D2C" w:rsidTr="00013D2C">
        <w:trPr>
          <w:trHeight w:val="285"/>
        </w:trPr>
        <w:tc>
          <w:tcPr>
            <w:tcW w:w="1080" w:type="dxa"/>
            <w:noWrap/>
            <w:vAlign w:val="bottom"/>
            <w:hideMark/>
          </w:tcPr>
          <w:p w:rsidR="00013D2C" w:rsidRDefault="00013D2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bidi="fa-IR"/>
              </w:rPr>
            </w:pPr>
            <w:r>
              <w:rPr>
                <w:rFonts w:ascii="Arial" w:eastAsia="Times New Roman" w:hAnsi="Arial" w:cs="Arial"/>
                <w:color w:val="000000"/>
              </w:rPr>
              <w:t>1200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0.296</w:t>
            </w:r>
          </w:p>
        </w:tc>
      </w:tr>
      <w:tr w:rsidR="00013D2C" w:rsidTr="00013D2C">
        <w:trPr>
          <w:trHeight w:val="285"/>
        </w:trPr>
        <w:tc>
          <w:tcPr>
            <w:tcW w:w="1080" w:type="dxa"/>
            <w:noWrap/>
            <w:vAlign w:val="bottom"/>
            <w:hideMark/>
          </w:tcPr>
          <w:p w:rsidR="00013D2C" w:rsidRDefault="00013D2C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 w:hint="cs"/>
                <w:color w:val="000000"/>
                <w:rtl/>
              </w:rPr>
              <w:t xml:space="preserve">     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bidi="fa-IR"/>
              </w:rPr>
            </w:pPr>
            <w:r>
              <w:rPr>
                <w:rFonts w:ascii="Arial" w:eastAsia="Times New Roman" w:hAnsi="Arial" w:cs="Arial"/>
                <w:color w:val="000000"/>
              </w:rPr>
              <w:t>1600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3D2C" w:rsidRDefault="00013D2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0.385</w:t>
            </w:r>
          </w:p>
        </w:tc>
      </w:tr>
    </w:tbl>
    <w:p w:rsidR="004250D4" w:rsidRDefault="00013D2C" w:rsidP="004250D4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Aharoni" w:eastAsia="Times New Roman" w:hAnsi="Aharoni" w:cs="Times New Roman"/>
          <w:sz w:val="40"/>
          <w:szCs w:val="40"/>
          <w:rtl/>
        </w:rPr>
      </w:pPr>
      <w:r>
        <w:rPr>
          <w:rFonts w:ascii="Aharoni" w:eastAsia="Times New Roman" w:hAnsi="Aharoni" w:cs="Times New Roman" w:hint="cs"/>
          <w:sz w:val="40"/>
          <w:szCs w:val="40"/>
          <w:rtl/>
        </w:rPr>
        <w:t xml:space="preserve">      </w:t>
      </w:r>
      <w:r w:rsidR="004250D4">
        <w:rPr>
          <w:rFonts w:ascii="Aharoni" w:eastAsia="Times New Roman" w:hAnsi="Aharoni" w:cs="Times New Roman" w:hint="cs"/>
          <w:sz w:val="40"/>
          <w:szCs w:val="40"/>
          <w:rtl/>
        </w:rPr>
        <w:t xml:space="preserve">                                                 </w:t>
      </w:r>
    </w:p>
    <w:p w:rsidR="009C7B37" w:rsidRDefault="009C7B37" w:rsidP="009C7B37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Aharoni" w:eastAsia="Times New Roman" w:hAnsi="Aharoni" w:cs="Times New Roman" w:hint="cs"/>
          <w:sz w:val="40"/>
          <w:szCs w:val="40"/>
          <w:rtl/>
          <w:lang w:bidi="fa-IR"/>
        </w:rPr>
      </w:pPr>
    </w:p>
    <w:p w:rsidR="007A486D" w:rsidRDefault="007A486D" w:rsidP="007A486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Aharoni" w:eastAsia="Times New Roman" w:hAnsi="Aharoni" w:cs="Times New Roman" w:hint="cs"/>
          <w:sz w:val="40"/>
          <w:szCs w:val="40"/>
          <w:rtl/>
          <w:lang w:bidi="fa-IR"/>
        </w:rPr>
      </w:pPr>
    </w:p>
    <w:p w:rsidR="007A486D" w:rsidRPr="009C7B37" w:rsidRDefault="007A486D" w:rsidP="007A486D">
      <w:pPr>
        <w:shd w:val="clear" w:color="auto" w:fill="FFFFFF"/>
        <w:bidi/>
        <w:spacing w:before="100" w:beforeAutospacing="1" w:after="100" w:afterAutospacing="1" w:line="240" w:lineRule="auto"/>
        <w:outlineLvl w:val="1"/>
        <w:rPr>
          <w:rFonts w:ascii="Aharoni" w:eastAsia="Times New Roman" w:hAnsi="Aharoni" w:cs="Times New Roman" w:hint="cs"/>
          <w:sz w:val="40"/>
          <w:szCs w:val="40"/>
          <w:lang w:bidi="fa-IR"/>
        </w:rPr>
      </w:pPr>
      <w:r>
        <w:rPr>
          <w:rFonts w:ascii="Aharoni" w:eastAsia="Times New Roman" w:hAnsi="Aharoni" w:cs="Times New Roman" w:hint="cs"/>
          <w:sz w:val="40"/>
          <w:szCs w:val="40"/>
          <w:rtl/>
          <w:lang w:bidi="fa-IR"/>
        </w:rPr>
        <w:t>منابع:</w:t>
      </w:r>
      <w:bookmarkStart w:id="0" w:name="_GoBack"/>
      <w:bookmarkEnd w:id="0"/>
    </w:p>
    <w:sectPr w:rsidR="007A486D" w:rsidRPr="009C7B37" w:rsidSect="007A486D">
      <w:headerReference w:type="default" r:id="rId8"/>
      <w:pgSz w:w="12240" w:h="15840"/>
      <w:pgMar w:top="1440" w:right="1440" w:bottom="1440" w:left="1440" w:header="720" w:footer="720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3A2" w:rsidRDefault="00EE63A2" w:rsidP="00D87B19">
      <w:pPr>
        <w:spacing w:after="0" w:line="240" w:lineRule="auto"/>
      </w:pPr>
      <w:r>
        <w:separator/>
      </w:r>
    </w:p>
  </w:endnote>
  <w:endnote w:type="continuationSeparator" w:id="0">
    <w:p w:rsidR="00EE63A2" w:rsidRDefault="00EE63A2" w:rsidP="00D87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36B25B4-6CC5-4084-95C7-158B3C4794BA}"/>
    <w:embedItalic r:id="rId2" w:fontKey="{1D64480C-EB9F-4091-8FFB-58920E1441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944C991A-B67E-49EC-90B9-BA4B5A2B23B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4" w:fontKey="{A5D02280-13DE-4263-BFAF-644E2B44F381}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  <w:embedRegular r:id="rId5" w:fontKey="{657D98FA-F99A-4E48-9191-85DA731A57B3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6" w:fontKey="{754A0D7D-E78F-4772-8C83-A022921C6F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3A2" w:rsidRDefault="00EE63A2" w:rsidP="00D87B19">
      <w:pPr>
        <w:spacing w:after="0" w:line="240" w:lineRule="auto"/>
      </w:pPr>
      <w:r>
        <w:separator/>
      </w:r>
    </w:p>
  </w:footnote>
  <w:footnote w:type="continuationSeparator" w:id="0">
    <w:p w:rsidR="00EE63A2" w:rsidRDefault="00EE63A2" w:rsidP="00D87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3EE" w:rsidRPr="00DB5EDB" w:rsidRDefault="001A23EE" w:rsidP="001A23EE">
    <w:pPr>
      <w:pStyle w:val="Header"/>
      <w:bidi/>
      <w:rPr>
        <w:sz w:val="44"/>
        <w:szCs w:val="44"/>
        <w:lang w:bidi="fa-I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B19"/>
    <w:rsid w:val="00013D2C"/>
    <w:rsid w:val="001A23EE"/>
    <w:rsid w:val="002B7246"/>
    <w:rsid w:val="002F179D"/>
    <w:rsid w:val="004250D4"/>
    <w:rsid w:val="004E7060"/>
    <w:rsid w:val="007A486D"/>
    <w:rsid w:val="00872E91"/>
    <w:rsid w:val="009B7782"/>
    <w:rsid w:val="009C7B37"/>
    <w:rsid w:val="00A7493D"/>
    <w:rsid w:val="00AA07E8"/>
    <w:rsid w:val="00BA3ADE"/>
    <w:rsid w:val="00CC559F"/>
    <w:rsid w:val="00CE14F9"/>
    <w:rsid w:val="00D87B19"/>
    <w:rsid w:val="00DB5EDB"/>
    <w:rsid w:val="00E320B3"/>
    <w:rsid w:val="00ED161C"/>
    <w:rsid w:val="00EE63A2"/>
    <w:rsid w:val="00F32CD5"/>
    <w:rsid w:val="00F91300"/>
    <w:rsid w:val="00FC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E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B19"/>
  </w:style>
  <w:style w:type="paragraph" w:styleId="Footer">
    <w:name w:val="footer"/>
    <w:basedOn w:val="Normal"/>
    <w:link w:val="FooterChar"/>
    <w:uiPriority w:val="99"/>
    <w:unhideWhenUsed/>
    <w:rsid w:val="00D87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B19"/>
  </w:style>
  <w:style w:type="character" w:styleId="PlaceholderText">
    <w:name w:val="Placeholder Text"/>
    <w:basedOn w:val="DefaultParagraphFont"/>
    <w:uiPriority w:val="99"/>
    <w:semiHidden/>
    <w:rsid w:val="00D87B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3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3E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E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B19"/>
  </w:style>
  <w:style w:type="paragraph" w:styleId="Footer">
    <w:name w:val="footer"/>
    <w:basedOn w:val="Normal"/>
    <w:link w:val="FooterChar"/>
    <w:uiPriority w:val="99"/>
    <w:unhideWhenUsed/>
    <w:rsid w:val="00D87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B19"/>
  </w:style>
  <w:style w:type="character" w:styleId="PlaceholderText">
    <w:name w:val="Placeholder Text"/>
    <w:basedOn w:val="DefaultParagraphFont"/>
    <w:uiPriority w:val="99"/>
    <w:semiHidden/>
    <w:rsid w:val="00D87B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3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3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8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36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3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layout/>
      <c:overlay val="0"/>
    </c:title>
    <c:autoTitleDeleted val="0"/>
    <c:plotArea>
      <c:layout>
        <c:manualLayout>
          <c:layoutTarget val="inner"/>
          <c:xMode val="edge"/>
          <c:yMode val="edge"/>
          <c:x val="3.6983781878011518E-2"/>
          <c:y val="0.15324890022549997"/>
          <c:w val="0.63168272809182435"/>
          <c:h val="0.7483284166943921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Sheet1!$E$2</c:f>
              <c:strCache>
                <c:ptCount val="1"/>
              </c:strCache>
            </c:strRef>
          </c:tx>
          <c:spPr>
            <a:ln w="66675">
              <a:noFill/>
            </a:ln>
          </c:spPr>
          <c:trendline>
            <c:trendlineType val="linear"/>
            <c:dispRSqr val="0"/>
            <c:dispEq val="0"/>
          </c:trendline>
          <c:trendline>
            <c:trendlineType val="linear"/>
            <c:dispRSqr val="0"/>
            <c:dispEq val="0"/>
          </c:trendline>
          <c:trendline>
            <c:trendlineType val="linear"/>
            <c:forward val="2"/>
            <c:dispRSqr val="0"/>
            <c:dispEq val="0"/>
          </c:trendline>
          <c:trendline>
            <c:trendlineType val="linear"/>
            <c:dispRSqr val="1"/>
            <c:dispEq val="1"/>
            <c:trendlineLbl>
              <c:layout>
                <c:manualLayout>
                  <c:x val="0.74626865671641796"/>
                  <c:y val="-0.13630963735166907"/>
                </c:manualLayout>
              </c:layout>
              <c:numFmt formatCode="General" sourceLinked="0"/>
            </c:trendlineLbl>
          </c:trendline>
          <c:xVal>
            <c:strRef>
              <c:f>Sheet1!$D$3:$D$9</c:f>
              <c:strCache>
                <c:ptCount val="7"/>
                <c:pt idx="0">
                  <c:v>مقدار نشاسته</c:v>
                </c:pt>
                <c:pt idx="1">
                  <c:v>0</c:v>
                </c:pt>
                <c:pt idx="2">
                  <c:v>200</c:v>
                </c:pt>
                <c:pt idx="3">
                  <c:v>400</c:v>
                </c:pt>
                <c:pt idx="4">
                  <c:v>800</c:v>
                </c:pt>
                <c:pt idx="5">
                  <c:v>1200</c:v>
                </c:pt>
                <c:pt idx="6">
                  <c:v>1600</c:v>
                </c:pt>
              </c:strCache>
            </c:strRef>
          </c:xVal>
          <c:yVal>
            <c:numRef>
              <c:f>Sheet1!$E$3:$E$9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4.2999999999999997E-2</c:v>
                </c:pt>
                <c:pt idx="3">
                  <c:v>9.7000000000000003E-2</c:v>
                </c:pt>
                <c:pt idx="4">
                  <c:v>0.186</c:v>
                </c:pt>
                <c:pt idx="5">
                  <c:v>0.29599999999999999</c:v>
                </c:pt>
                <c:pt idx="6">
                  <c:v>0.38500000000000001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7879040"/>
        <c:axId val="40769024"/>
      </c:scatterChart>
      <c:valAx>
        <c:axId val="87879040"/>
        <c:scaling>
          <c:orientation val="maxMin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a-IR"/>
                  <a:t>مقدار نشاسته (میکروگرم</a:t>
                </a:r>
                <a:endParaRPr lang="en-US"/>
              </a:p>
            </c:rich>
          </c:tx>
          <c:layout/>
          <c:overlay val="0"/>
        </c:title>
        <c:numFmt formatCode="#,##0.00" sourceLinked="0"/>
        <c:majorTickMark val="none"/>
        <c:minorTickMark val="none"/>
        <c:tickLblPos val="nextTo"/>
        <c:crossAx val="40769024"/>
        <c:crosses val="autoZero"/>
        <c:crossBetween val="midCat"/>
      </c:valAx>
      <c:valAx>
        <c:axId val="40769024"/>
        <c:scaling>
          <c:orientation val="minMax"/>
        </c:scaling>
        <c:delete val="0"/>
        <c:axPos val="r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fa-IR"/>
                  <a:t>جذب نور (نانو متر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75738747208837698"/>
              <c:y val="0.4453096743188791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8787904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samaneh3</dc:creator>
  <cp:keywords/>
  <dc:description/>
  <cp:lastModifiedBy>AlmaS RayaneH</cp:lastModifiedBy>
  <cp:revision>5</cp:revision>
  <dcterms:created xsi:type="dcterms:W3CDTF">2016-10-22T16:12:00Z</dcterms:created>
  <dcterms:modified xsi:type="dcterms:W3CDTF">2016-10-29T14:18:00Z</dcterms:modified>
</cp:coreProperties>
</file>