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647CE3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 xml:space="preserve">راه های تبیین </w:t>
      </w:r>
      <w:r w:rsidR="00875020" w:rsidRPr="00875020">
        <w:rPr>
          <w:rFonts w:ascii="IRBadr" w:hAnsi="IRBadr" w:cs="B Mitra" w:hint="cs"/>
          <w:color w:val="FF0000"/>
          <w:sz w:val="28"/>
          <w:szCs w:val="28"/>
          <w:rtl/>
        </w:rPr>
        <w:t xml:space="preserve">علم حضوری </w:t>
      </w:r>
      <w:r>
        <w:rPr>
          <w:rFonts w:ascii="IRBadr" w:hAnsi="IRBadr" w:cs="B Mitra" w:hint="cs"/>
          <w:color w:val="FF0000"/>
          <w:sz w:val="28"/>
          <w:szCs w:val="28"/>
          <w:rtl/>
        </w:rPr>
        <w:t xml:space="preserve">انسان به خداوند </w:t>
      </w:r>
    </w:p>
    <w:p w:rsidR="00B85C24" w:rsidRDefault="006A2CE6" w:rsidP="003B69F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>موضوع بحث</w:t>
      </w:r>
      <w:r w:rsidR="003B69F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علم حضوری انسان به وجود</w:t>
      </w:r>
      <w:bookmarkStart w:id="0" w:name="_GoBack"/>
      <w:bookmarkEnd w:id="0"/>
      <w:r>
        <w:rPr>
          <w:rFonts w:ascii="IRBadr" w:hAnsi="IRBadr" w:cs="B Mitra" w:hint="cs"/>
          <w:sz w:val="28"/>
          <w:szCs w:val="28"/>
          <w:rtl/>
        </w:rPr>
        <w:t xml:space="preserve"> خدای متعال بود.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برای </w:t>
      </w:r>
      <w:r>
        <w:rPr>
          <w:rFonts w:ascii="IRBadr" w:hAnsi="IRBadr" w:cs="B Mitra" w:hint="cs"/>
          <w:sz w:val="28"/>
          <w:szCs w:val="28"/>
          <w:rtl/>
        </w:rPr>
        <w:t xml:space="preserve">تبیین این مطلب چهار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راه وجود دارد که برخی از آنها بیان شد: </w:t>
      </w:r>
      <w:r>
        <w:rPr>
          <w:rFonts w:ascii="IRBadr" w:hAnsi="IRBadr" w:cs="B Mitra" w:hint="cs"/>
          <w:sz w:val="28"/>
          <w:szCs w:val="28"/>
          <w:rtl/>
        </w:rPr>
        <w:t>راه اول</w:t>
      </w:r>
      <w:r w:rsidR="003B69F9">
        <w:rPr>
          <w:rFonts w:ascii="IRBadr" w:hAnsi="IRBadr" w:cs="B Mitra" w:hint="cs"/>
          <w:sz w:val="28"/>
          <w:szCs w:val="28"/>
          <w:rtl/>
        </w:rPr>
        <w:t>،</w:t>
      </w:r>
      <w:r>
        <w:rPr>
          <w:rFonts w:ascii="IRBadr" w:hAnsi="IRBadr" w:cs="B Mitra" w:hint="cs"/>
          <w:sz w:val="28"/>
          <w:szCs w:val="28"/>
          <w:rtl/>
        </w:rPr>
        <w:t xml:space="preserve"> درک وجدانی و شواهد گفتاری و رفتاری انسان ها بود. انسان ذاتا احساس میل به کمال برین دارد و خداوند متعال همان کمال برین و نامتناهی است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. </w:t>
      </w:r>
      <w:r>
        <w:rPr>
          <w:rFonts w:ascii="IRBadr" w:hAnsi="IRBadr" w:cs="B Mitra" w:hint="cs"/>
          <w:sz w:val="28"/>
          <w:szCs w:val="28"/>
          <w:rtl/>
        </w:rPr>
        <w:t xml:space="preserve">این احساس و میل درونی نسبت به کمال همراه با علم حضوری است.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راه </w:t>
      </w:r>
      <w:r>
        <w:rPr>
          <w:rFonts w:ascii="IRBadr" w:hAnsi="IRBadr" w:cs="B Mitra" w:hint="cs"/>
          <w:sz w:val="28"/>
          <w:szCs w:val="28"/>
          <w:rtl/>
        </w:rPr>
        <w:t xml:space="preserve">دوم، تحقیق فلسفی درباره وجود معلول نسبت به علت ایجادی </w:t>
      </w:r>
      <w:r w:rsidR="003B69F9">
        <w:rPr>
          <w:rFonts w:ascii="IRBadr" w:hAnsi="IRBadr" w:cs="B Mitra" w:hint="cs"/>
          <w:sz w:val="28"/>
          <w:szCs w:val="28"/>
          <w:rtl/>
        </w:rPr>
        <w:t>و یا به ع</w:t>
      </w:r>
      <w:r>
        <w:rPr>
          <w:rFonts w:ascii="IRBadr" w:hAnsi="IRBadr" w:cs="B Mitra" w:hint="cs"/>
          <w:sz w:val="28"/>
          <w:szCs w:val="28"/>
          <w:rtl/>
        </w:rPr>
        <w:t xml:space="preserve">بارت دیگر رابطه میان ممکن الوجود با واجب الوجود بالذات است.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گفته شد </w:t>
      </w:r>
      <w:r>
        <w:rPr>
          <w:rFonts w:ascii="IRBadr" w:hAnsi="IRBadr" w:cs="B Mitra" w:hint="cs"/>
          <w:sz w:val="28"/>
          <w:szCs w:val="28"/>
          <w:rtl/>
        </w:rPr>
        <w:t xml:space="preserve">معلول عین ربط به علت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ایجادی </w:t>
      </w:r>
      <w:r>
        <w:rPr>
          <w:rFonts w:ascii="IRBadr" w:hAnsi="IRBadr" w:cs="B Mitra" w:hint="cs"/>
          <w:sz w:val="28"/>
          <w:szCs w:val="28"/>
          <w:rtl/>
        </w:rPr>
        <w:t xml:space="preserve">خویش است و این امر سبب می شود هم معلول نزد علت حاضر باشد و هم علت نزد معلول، و اینگونه ملاک علم که حضور معلوم نزد عالم است محقق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می شود. </w:t>
      </w:r>
      <w:r>
        <w:rPr>
          <w:rFonts w:ascii="IRBadr" w:hAnsi="IRBadr" w:cs="B Mitra" w:hint="cs"/>
          <w:sz w:val="28"/>
          <w:szCs w:val="28"/>
          <w:rtl/>
        </w:rPr>
        <w:t xml:space="preserve">نفس انسان که مجرد و معلول و عین ربط به خدای متعال است، نزد او به علم حضوری حاضر است و خدای متعال نیز نزد انسان به علم حضوری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به اندازه سعه وجودی انسان </w:t>
      </w:r>
      <w:r>
        <w:rPr>
          <w:rFonts w:ascii="IRBadr" w:hAnsi="IRBadr" w:cs="B Mitra" w:hint="cs"/>
          <w:sz w:val="28"/>
          <w:szCs w:val="28"/>
          <w:rtl/>
        </w:rPr>
        <w:t>حاضر است. مرحوم علامه طباطبایی در این باره می فرماید: «کذالک العله حاضره بوجودها لمعلولها القائم بها</w:t>
      </w:r>
      <w:r w:rsidR="007A2AA6">
        <w:rPr>
          <w:rFonts w:ascii="IRBadr" w:hAnsi="IRBadr" w:cs="B Mitra" w:hint="cs"/>
          <w:sz w:val="28"/>
          <w:szCs w:val="28"/>
          <w:rtl/>
        </w:rPr>
        <w:t xml:space="preserve"> المستقل باستقلالها اذا کانا مجردین من غیر حائل یحول بینهما و هی معلومه لمعلولها علما حضوریا </w:t>
      </w:r>
      <w:r>
        <w:rPr>
          <w:rFonts w:ascii="IRBadr" w:hAnsi="IRBadr" w:cs="B Mitra" w:hint="cs"/>
          <w:sz w:val="28"/>
          <w:szCs w:val="28"/>
          <w:rtl/>
        </w:rPr>
        <w:t>»</w:t>
      </w:r>
      <w:r w:rsidR="007A2AA6">
        <w:rPr>
          <w:rStyle w:val="FootnoteReference"/>
          <w:rFonts w:ascii="IRBadr" w:hAnsi="IRBadr" w:cs="B Mitra"/>
          <w:sz w:val="28"/>
          <w:szCs w:val="28"/>
          <w:rtl/>
        </w:rPr>
        <w:footnoteReference w:id="1"/>
      </w:r>
      <w:r w:rsidR="007A2AA6">
        <w:rPr>
          <w:rFonts w:ascii="IRBadr" w:hAnsi="IRBadr" w:cs="B Mitra" w:hint="cs"/>
          <w:sz w:val="28"/>
          <w:szCs w:val="28"/>
          <w:rtl/>
        </w:rPr>
        <w:t>: همان گونه که معلول نیز علت حاضر است، وجود علت نیز نزد معلول حاضر است. معلولی که قائم به علت است و در ظل او وجود دارد. به شرط آنکه علت و معلول مجرد باشند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، زیرا در این صورت است که </w:t>
      </w:r>
      <w:r w:rsidR="007A2AA6">
        <w:rPr>
          <w:rFonts w:ascii="IRBadr" w:hAnsi="IRBadr" w:cs="B Mitra" w:hint="cs"/>
          <w:sz w:val="28"/>
          <w:szCs w:val="28"/>
          <w:rtl/>
        </w:rPr>
        <w:t xml:space="preserve">دیگر جسمانیت میان این دو حائل نیست. پس علت نزد معلول خودش به علم حضوری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حاضر </w:t>
      </w:r>
      <w:r w:rsidR="007A2AA6">
        <w:rPr>
          <w:rFonts w:ascii="IRBadr" w:hAnsi="IRBadr" w:cs="B Mitra" w:hint="cs"/>
          <w:sz w:val="28"/>
          <w:szCs w:val="28"/>
          <w:rtl/>
        </w:rPr>
        <w:t xml:space="preserve">است.  </w:t>
      </w:r>
      <w:r>
        <w:rPr>
          <w:rFonts w:ascii="IRBadr" w:hAnsi="IRBadr" w:cs="B Mitra" w:hint="cs"/>
          <w:sz w:val="28"/>
          <w:szCs w:val="28"/>
          <w:rtl/>
        </w:rPr>
        <w:t xml:space="preserve"> </w:t>
      </w:r>
    </w:p>
    <w:p w:rsidR="00B85C24" w:rsidRDefault="007A2AA6" w:rsidP="003B69F9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  <w:r>
        <w:rPr>
          <w:rFonts w:ascii="IRBadr" w:hAnsi="IRBadr" w:cs="B Mitra" w:hint="cs"/>
          <w:sz w:val="28"/>
          <w:szCs w:val="28"/>
          <w:rtl/>
        </w:rPr>
        <w:t xml:space="preserve">سومین راه اثبات این مطلب، پژوهش ها و کاوش های روانشناسی است که مورد قبول عده ای از آنان است. </w:t>
      </w:r>
      <w:r w:rsidR="003B69F9">
        <w:rPr>
          <w:rFonts w:ascii="IRBadr" w:hAnsi="IRBadr" w:cs="B Mitra" w:hint="cs"/>
          <w:sz w:val="28"/>
          <w:szCs w:val="28"/>
          <w:rtl/>
        </w:rPr>
        <w:t xml:space="preserve">در این باره </w:t>
      </w:r>
      <w:r>
        <w:rPr>
          <w:rFonts w:ascii="IRBadr" w:hAnsi="IRBadr" w:cs="B Mitra" w:hint="cs"/>
          <w:sz w:val="28"/>
          <w:szCs w:val="28"/>
          <w:rtl/>
        </w:rPr>
        <w:t xml:space="preserve">از کتاب حس مذهبی و نیز کتاب دین و روان از ویلیام جیمز مطالبی بیان شد. </w:t>
      </w:r>
    </w:p>
    <w:p w:rsidR="00647CE3" w:rsidRDefault="00647CE3" w:rsidP="007A2AA6">
      <w:pPr>
        <w:spacing w:after="120"/>
        <w:jc w:val="both"/>
        <w:rPr>
          <w:rFonts w:ascii="IRBadr" w:hAnsi="IRBadr" w:cs="B Mitra"/>
          <w:sz w:val="28"/>
          <w:szCs w:val="28"/>
          <w:rtl/>
        </w:rPr>
      </w:pPr>
    </w:p>
    <w:p w:rsidR="00647CE3" w:rsidRPr="00647CE3" w:rsidRDefault="00647CE3" w:rsidP="007A2AA6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 w:rsidRPr="00647CE3">
        <w:rPr>
          <w:rFonts w:ascii="IRBadr" w:hAnsi="IRBadr" w:cs="B Mitra" w:hint="cs"/>
          <w:color w:val="FF0000"/>
          <w:sz w:val="28"/>
          <w:szCs w:val="28"/>
          <w:rtl/>
        </w:rPr>
        <w:t xml:space="preserve">راه چهارم: شواهد وحیانی </w:t>
      </w:r>
    </w:p>
    <w:p w:rsidR="00762F9E" w:rsidRDefault="007A2AA6" w:rsidP="001F2BEB">
      <w:pPr>
        <w:spacing w:after="120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IRBadr" w:hAnsi="IRBadr" w:cs="B Mitra" w:hint="cs"/>
          <w:sz w:val="28"/>
          <w:szCs w:val="28"/>
          <w:rtl/>
        </w:rPr>
        <w:t>راه چهارم برای تبیین علم حضوری انسان به خداوند شواهد وحیانی است.</w:t>
      </w:r>
      <w:r w:rsidR="001F2BEB">
        <w:rPr>
          <w:rFonts w:ascii="IRBadr" w:hAnsi="IRBadr" w:cs="B Mitra" w:hint="cs"/>
          <w:sz w:val="28"/>
          <w:szCs w:val="28"/>
          <w:rtl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آیات و روایات این مطلب بیان شده که انسان دارای گرایش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توحیدی بوده و از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بدو تولد گرایش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خداوند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دارد.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اگر عوامل مخرب تربیتی مانع جلوگیری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گرایش فطری نباشند، انسان در زندگی خود همواره بر مسیر فطرت حرکت کرده و زندگی او بر مدار خداوند خواهد بود.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روایات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فلسفه آمدن پیامبران الهی نیز زدودن موانع فطرت و بیدار کردن انسان از خواب غفلت بوده است تا چراغ فطرت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آنها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نورافشانی ک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رده و راه را به آنها نشان دهد.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نمونه </w:t>
      </w:r>
      <w:proofErr w:type="spellStart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این آیات و روایت از این قرار است: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0A732B" w:rsidRDefault="000A732B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1. «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فَأَقِمْ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وَجْهَكَ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لِلدِّينِ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حَنيفاً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فِطْرَتَ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اللَّهِ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الَّتي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فَطَرَ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النَّاسَ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عَلَيْها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تَبْديلَ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لِخَلْقِ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اللَّهِ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ذلِكَ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الدِّينُ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الْقَيِّمُ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لكِنَّ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أَكْثَرَ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النَّاسِ</w:t>
      </w:r>
      <w:proofErr w:type="spellEnd"/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يَعْلَمُون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پس [ با توجه به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بى‏پايه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بودن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شرك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]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حق‏گرايانه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بدون انحراف با همه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وجودت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سوى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دين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[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توحيدى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]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آور ، [ و </w:t>
      </w:r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پابرجا و ثابت بر ] سرشت خدا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مردم را بر آن سرشته است باش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آفرينش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خدا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هيچگونه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تغيير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تبديلى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؛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دين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استوار ؛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بيشتر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مردم معرفت [ به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حقيقت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>اصيل</w:t>
      </w:r>
      <w:proofErr w:type="spellEnd"/>
      <w:r w:rsidRP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] ندارند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0A732B" w:rsidRDefault="000A732B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آیه بیان گر آن است که سرشت انسان بر اساس دین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حنیف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الهی سرشته شده است و سررشته این دین، اعتقاد به خداوند است.</w:t>
      </w:r>
    </w:p>
    <w:p w:rsidR="000A732B" w:rsidRDefault="000A732B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در روایت نبوی (ص) معروف آمده است «کل مولود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یولد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الفطره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حتی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یکون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ابواه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یهودانه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ینصرانه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یمجسانه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متن این روایات با تعابیر متفاوت نقل شده است. </w:t>
      </w:r>
    </w:p>
    <w:p w:rsidR="000A732B" w:rsidRPr="00647CE3" w:rsidRDefault="000A732B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647CE3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سوال و جواب</w:t>
      </w:r>
    </w:p>
    <w:p w:rsidR="001F2BEB" w:rsidRDefault="000A732B" w:rsidP="001F2BE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آیه فطرت می فرماید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فطرت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امری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تغییر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پذیر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در روایت نبوی (ص) آمده این است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تربیت های نادرست پدر و مادر مسیر فطرت را تغییر می دهند. این ناسازگاری چگونه برطرف می شود؟ </w:t>
      </w:r>
    </w:p>
    <w:p w:rsidR="000A732B" w:rsidRDefault="001F2BEB" w:rsidP="001F2BE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اینجا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ناسازگاری نیست زیرا آنچه تغییر پذیر است مربوط به علم </w:t>
      </w:r>
      <w:proofErr w:type="spellStart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(یعنی باورهای خودآگاهانه که از طریق فکر حاصل می شود). عوامل مخرب به این بخش صدمه زده و مانع </w:t>
      </w:r>
      <w:proofErr w:type="spellStart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تلالو</w:t>
      </w:r>
      <w:proofErr w:type="spellEnd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فطرت می شود. اما آنچه قرآن کریم بیان می کند،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مربوط به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متن خلقت انسان است که به علم حضوری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او مکشوف است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و تغییر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هر چند ممکن است از جنبه </w:t>
      </w:r>
      <w:proofErr w:type="spellStart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فرد معتقد به الحاد یا </w:t>
      </w:r>
      <w:proofErr w:type="spellStart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شکاکیت</w:t>
      </w:r>
      <w:proofErr w:type="spellEnd"/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باشد.</w:t>
      </w:r>
    </w:p>
    <w:p w:rsidR="000A732B" w:rsidRDefault="00CA4063" w:rsidP="001F2BE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همچنین تغییر ناپذیری فطرت انسان با این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آیه شریفه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منافات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ندارد که می فرماید: 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اللَّهُ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أَخْرَجَكُمْ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مِنْ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بُطُونِ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أُمَّهاتِكُمْ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تَعْلَمُونَ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شَيْئاً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جَعَلَ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لَكُمُ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السَّمْعَ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الْأَبْصارَ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الْأَفْئِدَةَ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لَعَلَّكُمْ</w:t>
      </w:r>
      <w:proofErr w:type="spellEnd"/>
      <w:r w:rsidR="000A732B" w:rsidRPr="000A73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تَشْكُرُون</w:t>
      </w:r>
      <w:proofErr w:type="spellEnd"/>
      <w:r w:rsidR="000A732B" w:rsidRPr="000A732B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="000A732B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0A732B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این آیه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می کند که انسان وقتی به دنیا می آید هیچ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داند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ابزارهای معرفت او گوش و چشم و فکر است. روشن است که این آیه ناظر به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که توسط این ادوات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فرد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حاصل می شود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نافی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معرفت حضوری در طفل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شود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همانند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احساس گرسنگی و درد و غیره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در طفل وجود دارد و آنها را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درک می کند. </w:t>
      </w:r>
    </w:p>
    <w:p w:rsidR="00CA4063" w:rsidRDefault="00CA4063" w:rsidP="001F2BE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فطرت انسان با این آیه شریفه هم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منافاتی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ندارد آنجا که می فرماید: «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اللَّهُ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خَلَقَكُمْ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ثُمَّ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يَتَوَفَّاكُمْ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مِنْكُمْ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مَنْ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يُرَدُّ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إِلى</w:t>
      </w:r>
      <w:proofErr w:type="spellEnd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أَرْذَلِ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الْعُمُرِ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لِكَيْ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يَعْلَمَ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بَعْدَ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عِلْمٍ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شَيْئاً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إِنَّ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اللَّهَ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عَليمٌ</w:t>
      </w:r>
      <w:proofErr w:type="spellEnd"/>
      <w:r w:rsidRPr="00CA406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CA4063">
        <w:rPr>
          <w:rFonts w:ascii="Noor_Mitra" w:hAnsi="Noor_Mitra" w:cs="Noor_Mitra" w:hint="cs"/>
          <w:sz w:val="28"/>
          <w:szCs w:val="28"/>
          <w:rtl/>
          <w:lang w:bidi="fa-IR"/>
        </w:rPr>
        <w:t>قَديرٌ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5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مراد از معلومات در این آیه، معلومات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و الا انسان در حال فرتوتی و فراموشی، باز ادراکات حضوری را </w:t>
      </w:r>
      <w:r w:rsidR="001F2BE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همراه دارد. </w:t>
      </w:r>
    </w:p>
    <w:p w:rsidR="00647CE3" w:rsidRPr="000A732B" w:rsidRDefault="00970D36" w:rsidP="000C6A46">
      <w:pPr>
        <w:jc w:val="both"/>
        <w:rPr>
          <w:rFonts w:ascii="Noor_Mitra" w:hAnsi="Noor_Mitra" w:cs="Noor_Mitra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3. از امام باقر (ع) درباره آیه فطرت سوال شد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ایشان فطرت در آیه را به معرفت تفسیر کردند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«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فطرهم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المعرفه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6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یعنی انسان از یک شناخت موهبتی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آفرینشی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نسبت به خداوند برخوردار است. در روایت دیگری از امام باقر (ع) درباره حضرت نبوی فطرت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سوال شد،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حضرت فرمود: یعنی انسان ها را بر معرفت اینکه خدای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عزوجل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آفریدگار آنان است، آفریده است. این همان است که در آیه «و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لئن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سالتهم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 خلق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السموات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الارض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الا الله» بیان شده است.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7"/>
      </w:r>
    </w:p>
    <w:p w:rsidR="000A732B" w:rsidRDefault="00E5392B" w:rsidP="000C6A4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4. امام صادق (ع) فرمود: خداوند نزد هر جاهلی معروف و شناخته شده است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8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 یک احتمال این روایت آن است که خداوند نزد هر کسی حتی کسی که جاهل به خداوند است، شناخته شده است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یعنی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هر چند انسان جاهل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خداوند را </w:t>
      </w:r>
      <w:proofErr w:type="spellStart"/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شناسد،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به علم حضوری برای او معلوم و شناخته شده است.</w:t>
      </w:r>
    </w:p>
    <w:p w:rsidR="00E5392B" w:rsidRDefault="00E5392B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5. امیرالمومنین (ع) 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خطبه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نهج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البلاغه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، می فرماید: «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فبعث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فيهم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رسله</w:t>
      </w:r>
      <w:proofErr w:type="spellEnd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واتر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إليهم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أنبيائه</w:t>
      </w:r>
      <w:proofErr w:type="spellEnd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ليستأدوهم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ميثاق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فطرته</w:t>
      </w:r>
      <w:proofErr w:type="spellEnd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يذكروهم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منسيّ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نعمته</w:t>
      </w:r>
      <w:proofErr w:type="spellEnd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يحتجوا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عليهم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بالتبليغ</w:t>
      </w:r>
      <w:proofErr w:type="spellEnd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يثيروا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لهم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دفائن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العقول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...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</w:p>
    <w:p w:rsidR="00E5392B" w:rsidRDefault="00E5392B" w:rsidP="000C6A4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نکته: این مطلب را باید توجه داشت که در معارف اسلامی فطرت دو جلوه دارد: الف) فطرت عقل و خرد. معنای آن این است که خرد و عقل انسان که موهبت الهی است اگر درست به کار گرفته شود انسان را 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خداگرایی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خداشناسی سوق می دهد. ب) فطرت دل و قلب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این معنا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دل انسان گرایش به کمال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برین یعنی خداوند دارد. (فطرت عقل و خرد مربوط به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فطرت دل و قلب مربوط به علم حضوری است).</w:t>
      </w:r>
    </w:p>
    <w:p w:rsidR="00E5392B" w:rsidRDefault="00E5392B" w:rsidP="00E539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6. قرآن کریم می فرماید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انسان 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تنگناها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دستش از همه اسباب بشری و غیر بشری کوتاه می شود و امیدش خودش را برای رهایی از تنگنا از دست می دهد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همچنان به یک قدرتی ایمان دارد که اگر آن قدرت اراده کند او را نجات می دهد. «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فَإِذا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رَكِبُوا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فِي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الْفُلْكِ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دَعَوُا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اللَّهَ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مُخْلِصينَ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لَهُ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الدِّينَ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فَلَمَّا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نَجَّاهُمْ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إِلَى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الْبَرِّ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إِذا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هُمْ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يُشْرِكُون</w:t>
      </w:r>
      <w:proofErr w:type="spellEnd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9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[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مشركان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تا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امنيت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آسايشند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آيين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شرك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تعصّب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]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زمانى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كشتى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سوار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مى‏شوند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[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وسط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دريا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امواج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خطرناك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محاصره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]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خدا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حالى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ايمان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عبادت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[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هرگونه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شركى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]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خالص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مى‏خوانند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سوى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خشكى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نجاتشان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مى‏دهيم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ناگاه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آيين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شرك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proofErr w:type="spellEnd"/>
      <w:r w:rsidRPr="00E53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E5392B">
        <w:rPr>
          <w:rFonts w:ascii="Noor_Mitra" w:hAnsi="Noor_Mitra" w:cs="Noor_Mitra" w:hint="cs"/>
          <w:sz w:val="28"/>
          <w:szCs w:val="28"/>
          <w:rtl/>
          <w:lang w:bidi="fa-IR"/>
        </w:rPr>
        <w:t>مى‏آورند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E5392B" w:rsidRDefault="00E5392B" w:rsidP="000C6A4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تفسر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المراغی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، ج21 آمده است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پرستان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وقتی سوال کشتی می شدند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بتها را نیز با خود می بردند اما وقتی دچار طوفان می شدند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می دیدند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این بت ها کاری ساخته ن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یست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استغاثه یارب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یارب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سر می داد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E5392B" w:rsidRDefault="00E5392B" w:rsidP="000C6A4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7. شخصی خدمت امام صادق (ع) آمد و گفت مرا راهنمایی کرده و خدا را به من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بش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اسانید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مجادلات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این باب مرا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متحیر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کرده است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او فرمود: آیا هرگز با کشتی سفر کرده ای؟ گفت: آری. امام فرمود: آیا پیش آمده که کشتی دچار خطر شود؟ گفت: آری. امام فرمود: آیا در آن لحظه ای که امیدت از همه جا برید، این امید در دل تو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بود که نیرویی می تواند ترا نجات دهد؟ گفت: آری. امام فرمود: او همان خداوند متعال است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که </w:t>
      </w:r>
      <w:r w:rsidR="006713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وقتی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هیچ </w:t>
      </w:r>
      <w:r w:rsidR="006713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نجات دهنده ای </w:t>
      </w:r>
      <w:r w:rsidR="000C6A4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نباشد، </w:t>
      </w:r>
      <w:r w:rsidR="006713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تنها </w:t>
      </w:r>
      <w:proofErr w:type="spellStart"/>
      <w:r w:rsidR="0067130D">
        <w:rPr>
          <w:rFonts w:ascii="Noor_Mitra" w:hAnsi="Noor_Mitra" w:cs="Noor_Mitra" w:hint="cs"/>
          <w:sz w:val="28"/>
          <w:szCs w:val="28"/>
          <w:rtl/>
          <w:lang w:bidi="fa-IR"/>
        </w:rPr>
        <w:t>اوست</w:t>
      </w:r>
      <w:proofErr w:type="spellEnd"/>
      <w:r w:rsidR="006713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می تواند انسان را نجات دهد.</w:t>
      </w:r>
      <w:r w:rsidR="0067130D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0"/>
      </w:r>
    </w:p>
    <w:p w:rsidR="000A732B" w:rsidRDefault="0067130D" w:rsidP="001D1AC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</w:t>
      </w:r>
      <w:r w:rsidR="001D1AC1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مساله خطا ناپذیری علم حضوری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انشاءالله در گفتار بعد </w:t>
      </w:r>
      <w:r w:rsidR="001D1AC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شود. </w:t>
      </w:r>
    </w:p>
    <w:p w:rsidR="000A732B" w:rsidRPr="00F14D8C" w:rsidRDefault="000A732B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483" w:rsidRDefault="00D27483" w:rsidP="00BC6EBB">
      <w:pPr>
        <w:spacing w:after="0" w:line="240" w:lineRule="auto"/>
      </w:pPr>
      <w:r>
        <w:separator/>
      </w:r>
    </w:p>
  </w:endnote>
  <w:endnote w:type="continuationSeparator" w:id="0">
    <w:p w:rsidR="00D27483" w:rsidRDefault="00D2748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483" w:rsidRDefault="00D27483" w:rsidP="00BC6EBB">
      <w:pPr>
        <w:spacing w:after="0" w:line="240" w:lineRule="auto"/>
      </w:pPr>
      <w:r>
        <w:separator/>
      </w:r>
    </w:p>
  </w:footnote>
  <w:footnote w:type="continuationSeparator" w:id="0">
    <w:p w:rsidR="00D27483" w:rsidRDefault="00D27483" w:rsidP="00BC6EBB">
      <w:pPr>
        <w:spacing w:after="0" w:line="240" w:lineRule="auto"/>
      </w:pPr>
      <w:r>
        <w:continuationSeparator/>
      </w:r>
    </w:p>
  </w:footnote>
  <w:footnote w:id="1">
    <w:p w:rsidR="007A2AA6" w:rsidRDefault="007A2AA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بدایه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الحکمه</w:t>
      </w:r>
      <w:proofErr w:type="spellEnd"/>
      <w:r>
        <w:rPr>
          <w:rFonts w:hint="cs"/>
          <w:rtl/>
          <w:lang w:bidi="fa-IR"/>
        </w:rPr>
        <w:t xml:space="preserve">، علامه طباطبایی، مرحله یازدهم، فصل </w:t>
      </w:r>
      <w:proofErr w:type="spellStart"/>
      <w:r>
        <w:rPr>
          <w:rFonts w:hint="cs"/>
          <w:rtl/>
          <w:lang w:bidi="fa-IR"/>
        </w:rPr>
        <w:t>دوازهم</w:t>
      </w:r>
      <w:proofErr w:type="spellEnd"/>
      <w:r>
        <w:rPr>
          <w:rFonts w:hint="cs"/>
          <w:rtl/>
          <w:lang w:bidi="fa-IR"/>
        </w:rPr>
        <w:t xml:space="preserve"> و </w:t>
      </w:r>
      <w:proofErr w:type="spellStart"/>
      <w:r>
        <w:rPr>
          <w:rFonts w:hint="cs"/>
          <w:rtl/>
          <w:lang w:bidi="fa-IR"/>
        </w:rPr>
        <w:t>نهایه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الحکمه</w:t>
      </w:r>
      <w:proofErr w:type="spellEnd"/>
      <w:r>
        <w:rPr>
          <w:rFonts w:hint="cs"/>
          <w:rtl/>
          <w:lang w:bidi="fa-IR"/>
        </w:rPr>
        <w:t>، مرحله یازدهم، فصل یازدهم</w:t>
      </w:r>
    </w:p>
  </w:footnote>
  <w:footnote w:id="2">
    <w:p w:rsidR="000A732B" w:rsidRDefault="000A732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روم، آیه 30</w:t>
      </w:r>
    </w:p>
  </w:footnote>
  <w:footnote w:id="3">
    <w:p w:rsidR="000A732B" w:rsidRDefault="000A732B" w:rsidP="000A732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اوالی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اللالی</w:t>
      </w:r>
      <w:proofErr w:type="spellEnd"/>
      <w:r>
        <w:rPr>
          <w:rFonts w:hint="cs"/>
          <w:rtl/>
          <w:lang w:bidi="fa-IR"/>
        </w:rPr>
        <w:t xml:space="preserve">، ج1، ص 35 ؛ فیض </w:t>
      </w:r>
      <w:proofErr w:type="spellStart"/>
      <w:r>
        <w:rPr>
          <w:rFonts w:hint="cs"/>
          <w:rtl/>
          <w:lang w:bidi="fa-IR"/>
        </w:rPr>
        <w:t>القدیر</w:t>
      </w:r>
      <w:proofErr w:type="spellEnd"/>
      <w:r>
        <w:rPr>
          <w:rFonts w:hint="cs"/>
          <w:rtl/>
          <w:lang w:bidi="fa-IR"/>
        </w:rPr>
        <w:t>، ج5، ص 41 (قریب به این عبارت)</w:t>
      </w:r>
    </w:p>
  </w:footnote>
  <w:footnote w:id="4">
    <w:p w:rsidR="000A732B" w:rsidRDefault="000A732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78</w:t>
      </w:r>
    </w:p>
  </w:footnote>
  <w:footnote w:id="5">
    <w:p w:rsidR="00CA4063" w:rsidRDefault="00CA406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70</w:t>
      </w:r>
    </w:p>
  </w:footnote>
  <w:footnote w:id="6">
    <w:p w:rsidR="00970D36" w:rsidRDefault="00970D3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التوحید</w:t>
      </w:r>
      <w:proofErr w:type="spellEnd"/>
      <w:r>
        <w:rPr>
          <w:rFonts w:hint="cs"/>
          <w:rtl/>
          <w:lang w:bidi="fa-IR"/>
        </w:rPr>
        <w:t xml:space="preserve">، شیخ </w:t>
      </w:r>
      <w:proofErr w:type="spellStart"/>
      <w:r>
        <w:rPr>
          <w:rFonts w:hint="cs"/>
          <w:rtl/>
          <w:lang w:bidi="fa-IR"/>
        </w:rPr>
        <w:t>صدوق</w:t>
      </w:r>
      <w:proofErr w:type="spellEnd"/>
      <w:r>
        <w:rPr>
          <w:rFonts w:hint="cs"/>
          <w:rtl/>
          <w:lang w:bidi="fa-IR"/>
        </w:rPr>
        <w:t>، ص 330، ح 9</w:t>
      </w:r>
    </w:p>
  </w:footnote>
  <w:footnote w:id="7">
    <w:p w:rsidR="00970D36" w:rsidRDefault="00970D3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التوحید</w:t>
      </w:r>
      <w:proofErr w:type="spellEnd"/>
      <w:r>
        <w:rPr>
          <w:rFonts w:hint="cs"/>
          <w:rtl/>
          <w:lang w:bidi="fa-IR"/>
        </w:rPr>
        <w:t xml:space="preserve">، شیخ </w:t>
      </w:r>
      <w:proofErr w:type="spellStart"/>
      <w:r>
        <w:rPr>
          <w:rFonts w:hint="cs"/>
          <w:rtl/>
          <w:lang w:bidi="fa-IR"/>
        </w:rPr>
        <w:t>صدوق</w:t>
      </w:r>
      <w:proofErr w:type="spellEnd"/>
      <w:r>
        <w:rPr>
          <w:rFonts w:hint="cs"/>
          <w:rtl/>
          <w:lang w:bidi="fa-IR"/>
        </w:rPr>
        <w:t>، ص 331</w:t>
      </w:r>
    </w:p>
  </w:footnote>
  <w:footnote w:id="8">
    <w:p w:rsidR="00E5392B" w:rsidRDefault="00E5392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التوحید</w:t>
      </w:r>
      <w:proofErr w:type="spellEnd"/>
      <w:r>
        <w:rPr>
          <w:rFonts w:hint="cs"/>
          <w:rtl/>
          <w:lang w:bidi="fa-IR"/>
        </w:rPr>
        <w:t xml:space="preserve">، شیخ </w:t>
      </w:r>
      <w:proofErr w:type="spellStart"/>
      <w:r>
        <w:rPr>
          <w:rFonts w:hint="cs"/>
          <w:rtl/>
          <w:lang w:bidi="fa-IR"/>
        </w:rPr>
        <w:t>صدوق</w:t>
      </w:r>
      <w:proofErr w:type="spellEnd"/>
      <w:r>
        <w:rPr>
          <w:rFonts w:hint="cs"/>
          <w:rtl/>
          <w:lang w:bidi="fa-IR"/>
        </w:rPr>
        <w:t>، ص 58، ح 15</w:t>
      </w:r>
    </w:p>
  </w:footnote>
  <w:footnote w:id="9">
    <w:p w:rsidR="00E5392B" w:rsidRDefault="00E5392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عنکبوت، آیه 65</w:t>
      </w:r>
    </w:p>
  </w:footnote>
  <w:footnote w:id="10">
    <w:p w:rsidR="0067130D" w:rsidRDefault="0067130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معانی </w:t>
      </w:r>
      <w:proofErr w:type="spellStart"/>
      <w:r>
        <w:rPr>
          <w:rFonts w:hint="cs"/>
          <w:rtl/>
          <w:lang w:bidi="fa-IR"/>
        </w:rPr>
        <w:t>الاخبار</w:t>
      </w:r>
      <w:proofErr w:type="spellEnd"/>
      <w:r>
        <w:rPr>
          <w:rFonts w:hint="cs"/>
          <w:rtl/>
          <w:lang w:bidi="fa-IR"/>
        </w:rPr>
        <w:t xml:space="preserve">، شیخ </w:t>
      </w:r>
      <w:proofErr w:type="spellStart"/>
      <w:r>
        <w:rPr>
          <w:rFonts w:hint="cs"/>
          <w:rtl/>
          <w:lang w:bidi="fa-IR"/>
        </w:rPr>
        <w:t>صدوق</w:t>
      </w:r>
      <w:proofErr w:type="spellEnd"/>
      <w:r>
        <w:rPr>
          <w:rFonts w:hint="cs"/>
          <w:rtl/>
          <w:lang w:bidi="fa-IR"/>
        </w:rPr>
        <w:t>، ص 4 و 5. بحارالانوار، ج3، ص 41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3B7A34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کلام </w:t>
    </w:r>
    <w:proofErr w:type="spellStart"/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>جديد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: شنبه، </w:t>
    </w:r>
    <w:r w:rsidR="003B69F9">
      <w:rPr>
        <w:rFonts w:ascii="Tahoma" w:hAnsi="Tahoma" w:cs="Traditional Arabic" w:hint="cs"/>
        <w:sz w:val="28"/>
        <w:szCs w:val="28"/>
        <w:rtl/>
        <w:lang w:bidi="fa-IR"/>
      </w:rPr>
      <w:t>03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7A3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B7A3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4853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48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E622E5-3383-4630-8C40-8779B989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3</cp:revision>
  <dcterms:created xsi:type="dcterms:W3CDTF">2020-10-25T15:38:00Z</dcterms:created>
  <dcterms:modified xsi:type="dcterms:W3CDTF">2020-10-25T15:38:00Z</dcterms:modified>
</cp:coreProperties>
</file>