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1D31FA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دیدگاه فلاسفه جدید غربی درباره مفاهیم کلی</w:t>
      </w:r>
    </w:p>
    <w:p w:rsidR="000A732B" w:rsidRDefault="00BF6F57" w:rsidP="000A732B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صحبت درباره مفاهیم کلی بود و این مباحث تا کنون مطرح شد:</w:t>
      </w:r>
    </w:p>
    <w:p w:rsidR="00BF6F57" w:rsidRDefault="00BF6F57" w:rsidP="00F972BF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</w:t>
      </w:r>
      <w:r w:rsidRPr="00BF6F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های مختلف درباره چیستی مفاهیم کلی. 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دیدگاه ها از این قرار بود: </w:t>
      </w:r>
      <w:r w:rsidRPr="00BF6F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</w:t>
      </w:r>
      <w:proofErr w:type="spellStart"/>
      <w:r w:rsidRPr="00BF6F57">
        <w:rPr>
          <w:rFonts w:ascii="Noor_Mitra" w:hAnsi="Noor_Mitra" w:cs="Noor_Mitra" w:hint="cs"/>
          <w:sz w:val="28"/>
          <w:szCs w:val="28"/>
          <w:rtl/>
          <w:lang w:bidi="fa-IR"/>
        </w:rPr>
        <w:t>نامگرایان</w:t>
      </w:r>
      <w:proofErr w:type="spellEnd"/>
      <w:r w:rsidRPr="00BF6F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منکر مفهوم کلی بودند و مفاهیم کلی را به الفاظ کلی تاویل کردند. دیدگاه کسانی که مفاهیم کلی را جزئی مبهم تفسیر کرده بودند. دیدگاه سوم، دیدگاه </w:t>
      </w:r>
      <w:proofErr w:type="spellStart"/>
      <w:r w:rsidRPr="00BF6F57">
        <w:rPr>
          <w:rFonts w:ascii="Noor_Mitra" w:hAnsi="Noor_Mitra" w:cs="Noor_Mitra" w:hint="cs"/>
          <w:sz w:val="28"/>
          <w:szCs w:val="28"/>
          <w:rtl/>
          <w:lang w:bidi="fa-IR"/>
        </w:rPr>
        <w:t>افلاطونی</w:t>
      </w:r>
      <w:proofErr w:type="spellEnd"/>
      <w:r w:rsidRPr="00BF6F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 که به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حقایق مجرد و غیر حسی قبل از 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دنیا آمده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انسان قائل بودند و گفتند کلیات در واقع ادراک همان موجودات مجرد است.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صدرالمتالهین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علامه طباطبایی تقریر دیگری از این دیدگاه مطرح کردند و گفتند ادراکات کلی، مشاهد عقول اما از دور است. دیدگاه مشهور حکما نیز این بود که مفاهیم کلی از طریق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تجرید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انتزاع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بر روی مفاهیم جزئی صورت می گیرد، به دست می آید. دیدگاه صحیح در میان آراء نیز همان دیدگاه مشهور است. </w:t>
      </w:r>
    </w:p>
    <w:p w:rsidR="00BF6F57" w:rsidRDefault="00BF6F57" w:rsidP="00F972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اقسام مفاهیم کلی یا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گفته شد این مفاهیم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سه دسته تقسیم می شود: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فلسفی. علامه طباطبایی گونه اول را به مفاهیم حقیقی و دو گونه آخر را مفاهیم اعتباری 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نامگذاری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کرده است. در وجه این نامگذاری نیز گفته شد مراد از حقیقی در اینجا، ماهوی و مراد از اعتباری، غیر ماهوی است. 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ایشان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مفاهیمی که از جنس ماهیت هستند و در مقولات عشر جای می گیرند را مفاهیم حقیقی و آنچه از این جنس نیستند، مفاهیم اعتباری نام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گذاری کرده است. </w:t>
      </w:r>
    </w:p>
    <w:p w:rsidR="00BF6F57" w:rsidRDefault="001D31FA" w:rsidP="00BF6F57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3. بررسی پیشینه بحث درباره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ثانیه.</w:t>
      </w:r>
    </w:p>
    <w:p w:rsidR="001D31FA" w:rsidRDefault="001D31FA" w:rsidP="00160501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اکنون به بررسی مفاهیم کلی از منظر فلاسفه جدید غربی می پردازیم. در دوران قبل از رنسانس، همان دو دیدگاه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افلاطونی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ارسطو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>یی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مطرح بود. دیدگاه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افلاطونی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معتقد بود که ادراکات حسی اعتباری ندارند و ادراکات عقلی معتبر هستند. 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طبق این دیدگاه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انسان قبل از اینکه به دنیا بیاید، حقایق عقلی را مشاهده کرده است 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وقتی به دنیا آمده آنها را فراموش کرده است. اکنون که با حواس با عالم خارج تماس برقرار می کند، این تماس </w:t>
      </w:r>
      <w:r w:rsidR="00F972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زمینه را برای یادآوری همان </w:t>
      </w:r>
      <w:r w:rsidR="001605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حقایق عقلی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قبلی فراهم می کند. دیدگاه دوم، دیدگاه ارسطویی است که معتقد بود انسان در آغاز،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معلوماتی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ندارد و ادراکات او از طریق حواس و یا درون برای او حاصل می شود. این ادراکات زمینه </w:t>
      </w:r>
      <w:r w:rsidR="001605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برای ادراک مفاهیم کلی فراهم می آورد.</w:t>
      </w:r>
    </w:p>
    <w:p w:rsidR="001D31FA" w:rsidRDefault="001D31FA" w:rsidP="001D31F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میان فلاسفه جدید غربی، دو دیدگاه درباره مفاهیم کلی پدید آمده است: عقل گرایان، حس گرایان. </w:t>
      </w:r>
    </w:p>
    <w:p w:rsidR="001D31FA" w:rsidRPr="001D31FA" w:rsidRDefault="001D31FA" w:rsidP="001D31FA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1D31FA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دیدگاه عقل گرایان</w:t>
      </w:r>
    </w:p>
    <w:p w:rsidR="001D31FA" w:rsidRDefault="001D31FA" w:rsidP="00160501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پیشتاز این دیدگاه، دکارت (م1650 م ) است. وی معتقد بود که ادراکات و مفاهیم ذهنی ما دو دسته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دسته ای که از طریق حواس حاصل می شود و </w:t>
      </w:r>
      <w:r w:rsidR="001605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دسته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دیگر ادراکات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پیشینی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فطری است </w:t>
      </w:r>
      <w:r w:rsidR="001605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در آنها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عقل انسان بدون نیاز به ادراکات حسی، آنها را درک می کند. از نظر وی مفاهیمی مثل</w:t>
      </w:r>
      <w:r w:rsidR="00160501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وجود، وحدت، حرکت، زمان و مکان مفاهیمی فطری برای عقل هستند. این گونه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ادراکات بر ادراکات حسی برتری دارند زیرا ادراکات حسی مجمل و غیر یقینی هستند در حالی که </w:t>
      </w:r>
      <w:r w:rsidR="0016050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ادراکات روشن و یقینی هستند.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1D31FA" w:rsidRDefault="00136320" w:rsidP="0013632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بعد از دکارت، عده ای دیگر از فلاسفه غربی نیز دیدگاه وی را با کمی تفاوت پذیرفتند که می توان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اسپینوزا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(م 1677)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لایب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نیتس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(م 1716 م)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مالبرانش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فرانسوی (م 1715 م) نام برد.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1D31FA" w:rsidRDefault="00136320" w:rsidP="00BF6F5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بر اساس دیدگاه عقل گرایان (طرفداران اصالت عقل)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مفاهیم کلی دو گونه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یک دسته مفاهیمی که از طریق حواس بیرونی یا احساس درونی حاصل شده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قوه عاقله از آنها مفاهیم کلی ساخته است (همان دیدگاه ارسطو و مشهور فلاسفه اسلامی) و دسته دوم مفاهیمی که فطری هستند و خاصیت ذاتی عقل انسان به شمار می روند و هیچ گونه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استنادی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حس و احساس ندارند. </w:t>
      </w:r>
    </w:p>
    <w:p w:rsidR="001D31FA" w:rsidRDefault="00136320" w:rsidP="00562F38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چهره های شاخص طرفدار مفاهیم فطری عقلی،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امانوئل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کانت (م 1804)  است. از نظر وی علم و معرفت انسان دو رکن و سرچشمه دارد: حس و فهم. به واسطه حس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اشیاء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محسوس را ادراک می کند و به واسطه فهم درباره آنها تفکر و اندیشه ورزی می کند. تفکر عبارت است از متحد ساختن ادراکات در وجدان که همان حکم کردن است. 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معتقد بود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قوه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فاهمه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میان دو مفهوم ر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ابط موضوع و محمول برقرار می کند. از نظر کانت آنچه در همه احکام ذهنی وجود دارد و ثابت است صورت آنها است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ناشی از فاعل شناخت 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نه ماده شناخت. 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آنچه به اختلاف احکام مربوط می شود، مربوط به ماده احکام است. لذا حکم یک ماده دارد که از احساس سرچشمه می گیرد</w:t>
      </w:r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یک صورت که مربوط به دستگاه ادراکی فاعل شناخت یعنی انسان است. ماده احکام ناشی از متعلق شناخت و مشاهده حسی است. در این ماده احکام تنوع بسیار است اما هر حکمی، چهار وجه دارد: کمیت، کیفیت، نسبت و جهت. اینها مربوط به عنصر </w:t>
      </w:r>
      <w:proofErr w:type="spellStart"/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فاهمه</w:t>
      </w:r>
      <w:proofErr w:type="spellEnd"/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>پیشین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proofErr w:type="spellEnd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انسان است و هر کدام از اینها سه شکل مختلف دارند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لذا دوازده مقوله حاصل می شود و مربوط به صورت شناخت و ثابت هستند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(همه انسان </w:t>
      </w:r>
      <w:proofErr w:type="spellStart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دارای قوه </w:t>
      </w:r>
      <w:proofErr w:type="spellStart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>فاهمه</w:t>
      </w:r>
      <w:proofErr w:type="spellEnd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هستند این مقولات را دارند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>. بر حسب همین قال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ب</w:t>
      </w:r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های ذهنی است که </w:t>
      </w:r>
      <w:proofErr w:type="spellStart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>محمولی</w:t>
      </w:r>
      <w:proofErr w:type="spellEnd"/>
      <w:r w:rsidR="003D59B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 موضوعی حمل می شود . </w:t>
      </w:r>
    </w:p>
    <w:p w:rsidR="003D59B2" w:rsidRDefault="003D59B2" w:rsidP="003D59B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جدول مقولات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کانت از این قرار است: </w:t>
      </w:r>
    </w:p>
    <w:p w:rsidR="003D59B2" w:rsidRDefault="003D59B2" w:rsidP="00562F38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الف) مقولات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کمیت: وحدت، کثرت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تمامیت.</w:t>
      </w:r>
    </w:p>
    <w:p w:rsidR="003D59B2" w:rsidRDefault="003D59B2" w:rsidP="003D59B2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ب) مقولات کیفیت: ثبوت و واقعیت (مانند هر گلی زیباست). مقوله سلب و نفی؛ حصر و تهدید (مانند حیات مادی ناپایدار است)</w:t>
      </w:r>
    </w:p>
    <w:p w:rsidR="003D59B2" w:rsidRDefault="003D59B2" w:rsidP="00136320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ج) مقولات نسبت: جوهر و عرض (مانند آتش سوزان است)؛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معلولیت (اگر خورشید طلوع کند روز خواهد بود)؛ مشارکت </w:t>
      </w:r>
    </w:p>
    <w:p w:rsidR="003D59B2" w:rsidRDefault="003D59B2" w:rsidP="00136320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د) مقولات جهت: امکان (در کره مریخ آب وجود دارد)؛ وجوب (حاصل جمع دو و دو چهار است)؛ وجود مانند زمین حرکت می کند. 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</w:p>
    <w:p w:rsidR="003D59B2" w:rsidRDefault="003D59B2" w:rsidP="0013632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کانت علاوه بر این مقولات، دو مفهوم زمان و مکان که مربوط به ادراکات حسی هستند را نیز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پیشینی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می داند. </w:t>
      </w:r>
    </w:p>
    <w:p w:rsidR="006E4753" w:rsidRDefault="006E4753" w:rsidP="00562F3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فلاسفه اسلامی </w:t>
      </w:r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کانت را </w:t>
      </w:r>
      <w:proofErr w:type="spellStart"/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>نپذیرفته</w:t>
      </w:r>
      <w:proofErr w:type="spellEnd"/>
      <w:r w:rsidR="00562F3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آن را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دارای اشکال می دانند، زیرا معتقدند تصورات و مفاهیم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پیشینی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وجود ندارد. مفاهیم کلی از طریق ادراکات حسی به حواس بیرونی و یا ادراکات وجدانی به واسطه حواس درونی که جزئی هستند حاصل می شود. این ادراکات جزئی زمینه ساز می شوند تا قوه عاقله بتواند به مفاهیم کلی راه پیدا کرده و آنها را ابداع کند.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</w:p>
    <w:p w:rsidR="001D31FA" w:rsidRPr="00BF6F57" w:rsidRDefault="006E4753" w:rsidP="00BF6F5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انشاءالله دیدگاه حس گرایان در جلسه آینده نقد و بررسی می شود. </w:t>
      </w:r>
    </w:p>
    <w:p w:rsidR="00BF6F57" w:rsidRDefault="00BF6F57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3B2" w:rsidRDefault="00D553B2" w:rsidP="00BC6EBB">
      <w:pPr>
        <w:spacing w:after="0" w:line="240" w:lineRule="auto"/>
      </w:pPr>
      <w:r>
        <w:separator/>
      </w:r>
    </w:p>
  </w:endnote>
  <w:endnote w:type="continuationSeparator" w:id="0">
    <w:p w:rsidR="00D553B2" w:rsidRDefault="00D553B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3B2" w:rsidRDefault="00D553B2" w:rsidP="00BC6EBB">
      <w:pPr>
        <w:spacing w:after="0" w:line="240" w:lineRule="auto"/>
      </w:pPr>
      <w:r>
        <w:separator/>
      </w:r>
    </w:p>
  </w:footnote>
  <w:footnote w:type="continuationSeparator" w:id="0">
    <w:p w:rsidR="00D553B2" w:rsidRDefault="00D553B2" w:rsidP="00BC6EBB">
      <w:pPr>
        <w:spacing w:after="0" w:line="240" w:lineRule="auto"/>
      </w:pPr>
      <w:r>
        <w:continuationSeparator/>
      </w:r>
    </w:p>
  </w:footnote>
  <w:footnote w:id="1">
    <w:p w:rsidR="001D31FA" w:rsidRDefault="001D31F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حکمت در اروپا، ص 165 و 355</w:t>
      </w:r>
      <w:r w:rsidR="00136320">
        <w:rPr>
          <w:rFonts w:hint="cs"/>
          <w:rtl/>
          <w:lang w:bidi="fa-IR"/>
        </w:rPr>
        <w:t xml:space="preserve"> ؛ </w:t>
      </w:r>
    </w:p>
  </w:footnote>
  <w:footnote w:id="2">
    <w:p w:rsidR="00136320" w:rsidRDefault="0013632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>: اصول فلسفه و روش رئالیسم، ج1، ص 119</w:t>
      </w:r>
    </w:p>
  </w:footnote>
  <w:footnote w:id="3">
    <w:p w:rsidR="003D59B2" w:rsidRDefault="003D59B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فلسفه عمومی، ترجمه پل </w:t>
      </w:r>
      <w:proofErr w:type="spellStart"/>
      <w:r>
        <w:rPr>
          <w:rFonts w:hint="cs"/>
          <w:rtl/>
          <w:lang w:bidi="fa-IR"/>
        </w:rPr>
        <w:t>فولکیه</w:t>
      </w:r>
      <w:proofErr w:type="spellEnd"/>
      <w:r>
        <w:rPr>
          <w:rFonts w:hint="cs"/>
          <w:rtl/>
          <w:lang w:bidi="fa-IR"/>
        </w:rPr>
        <w:t xml:space="preserve">، ص 226- 228 ؛ سیر حکمت در اروپا، ص 472- 474 ؛ تاریخ فلسفه </w:t>
      </w:r>
      <w:proofErr w:type="spellStart"/>
      <w:r>
        <w:rPr>
          <w:rFonts w:hint="cs"/>
          <w:rtl/>
          <w:lang w:bidi="fa-IR"/>
        </w:rPr>
        <w:t>کاپلستون</w:t>
      </w:r>
      <w:proofErr w:type="spellEnd"/>
      <w:r>
        <w:rPr>
          <w:rFonts w:hint="cs"/>
          <w:rtl/>
          <w:lang w:bidi="fa-IR"/>
        </w:rPr>
        <w:t>، ج6، ص 261 - 265</w:t>
      </w:r>
    </w:p>
  </w:footnote>
  <w:footnote w:id="4">
    <w:p w:rsidR="006E4753" w:rsidRDefault="006E4753" w:rsidP="006E475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>: شرح مبسوط منظومه، ج2، ص 72- 73 و ص 353 و ج3، ص 285 ؛ آموزش فلسفه، ج1، ص 226-  230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8572C0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3B69F9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572C0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D7CA8"/>
    <w:multiLevelType w:val="hybridMultilevel"/>
    <w:tmpl w:val="C890F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7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36320"/>
    <w:rsid w:val="00144249"/>
    <w:rsid w:val="00145F6F"/>
    <w:rsid w:val="001515FA"/>
    <w:rsid w:val="001520B4"/>
    <w:rsid w:val="00160501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31FA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59B2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2F38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4753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572C0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6F57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53B2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972BF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C90B699-993C-49CC-9408-6663F99A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2020-11-21T18:43:00Z</dcterms:created>
  <dcterms:modified xsi:type="dcterms:W3CDTF">2020-11-21T19:41:00Z</dcterms:modified>
</cp:coreProperties>
</file>