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162B2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62B2C">
        <w:rPr>
          <w:rFonts w:ascii="Traditional Arabic" w:hAnsi="Traditional Arabic" w:cs="Traditional Arabic" w:hint="cs"/>
          <w:sz w:val="28"/>
          <w:szCs w:val="28"/>
          <w:rtl/>
        </w:rPr>
        <w:t>ملاک حقیقت و صدق</w:t>
      </w:r>
    </w:p>
    <w:p w:rsidR="00875020" w:rsidRPr="00875020" w:rsidRDefault="00530DFA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چیستی نفس الامر</w:t>
      </w:r>
    </w:p>
    <w:p w:rsidR="00197D65" w:rsidRDefault="00530DFA" w:rsidP="0057753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بحث درباره حقیقت و نسبت میان آن با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بود. حقیقت طبق دیدگاه مشهور عبارت است از مطابقت ذهن و اندیشه با واقعیت عینی. </w:t>
      </w:r>
      <w:r w:rsidR="00577538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تعریف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مواردی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همراه با کلمه واقعیت و یا به جای آن از کلمه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استفاده می شود. درباره اینکه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چیست اقوال مختلفی مطرح شده است. در جلسه گذشته چند قول در این باره بیان شد: مرحوم خواجه نصیر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طوسی،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به عقل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مفارق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تفسیر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مرحوم جرجانی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به علم ذاتی خداوند تفسیر کردند. علامه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به معنای متعلق قضایا بیان شد. </w:t>
      </w:r>
      <w:r w:rsidR="00577538">
        <w:rPr>
          <w:rFonts w:ascii="Tahoma" w:hAnsi="Tahoma" w:cs="B Mitra" w:hint="cs"/>
          <w:sz w:val="28"/>
          <w:szCs w:val="28"/>
          <w:rtl/>
          <w:lang w:bidi="fa-IR"/>
        </w:rPr>
        <w:t>در ادامه به بررسی دیدگاه چهارم می پردازیم:</w:t>
      </w:r>
    </w:p>
    <w:p w:rsidR="002A43A2" w:rsidRPr="002A43A2" w:rsidRDefault="002A43A2" w:rsidP="00530DF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A43A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چهارمین دیدگاه در مورد نفس </w:t>
      </w:r>
      <w:proofErr w:type="spellStart"/>
      <w:r w:rsidRPr="002A43A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الامر</w:t>
      </w:r>
      <w:proofErr w:type="spellEnd"/>
    </w:p>
    <w:p w:rsidR="00530DFA" w:rsidRPr="00530DFA" w:rsidRDefault="00530DFA" w:rsidP="00530DF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چهارمین دیدگاه درباره در باره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دیدگاه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میرداماد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است. وی گفته است «</w:t>
      </w:r>
      <w:r w:rsidRPr="00530DFA">
        <w:rPr>
          <w:rFonts w:ascii="Noor_Mitra" w:eastAsiaTheme="minorHAnsi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ثمّ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التحقيق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انّ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اعتبار نفس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هو اعتبار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كون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الشى‏ء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متحقّقا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فى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حدّ نفسه، لا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بتعمّل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و احتمال من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العقل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،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سواء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عليه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أ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كان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تحقّقه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لا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بتعمّل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العقل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فى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لوح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الذهن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، ام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فى</w:t>
      </w:r>
      <w:proofErr w:type="spellEnd"/>
      <w:r w:rsidRPr="00530DFA">
        <w:rPr>
          <w:rFonts w:ascii="Tahoma" w:hAnsi="Tahoma" w:cs="B Mitra"/>
          <w:sz w:val="28"/>
          <w:szCs w:val="28"/>
          <w:rtl/>
          <w:lang w:bidi="fa-IR"/>
        </w:rPr>
        <w:t xml:space="preserve"> متن </w:t>
      </w:r>
      <w:proofErr w:type="spellStart"/>
      <w:r w:rsidRPr="00530DFA">
        <w:rPr>
          <w:rFonts w:ascii="Tahoma" w:hAnsi="Tahoma" w:cs="B Mitra"/>
          <w:sz w:val="28"/>
          <w:szCs w:val="28"/>
          <w:rtl/>
          <w:lang w:bidi="fa-IR"/>
        </w:rPr>
        <w:t>الخارج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اعتبار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عبارت است از اعتبار تحقق داشتن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شیء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در حد نفس خود، نه عمل و فرض عقلی، خواه تحقق ان در لوح ذهن باشد یا در متن خارج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197D65" w:rsidRDefault="00530DFA" w:rsidP="008330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محقق لاهیجی نیز در این باره گفته است: «معنای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عبارت است از «نفس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الشیء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فی حد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ذاته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»، بر این اساس، مراد از «امر» خود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شیء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است، پس معنای این که چیزی در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موجود است، این است که در حد ذات خود موجود است و مراد از حد ذات، این است که با قطع نظر از فرض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و اعتبار معتبر وجود دارد، خواه وجود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شیء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در خارج از ذهن باشد یا در ذهن». وی سپس یادآور شده که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، اعم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از عالم خارج است، زیرا هر چه در خارج موجود است، در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نیز موجود است ولی عکس کلی آن صادق نیست (زیرا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ذهنی در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موجودند ولی در خارج موجود نیستند) و نسبت میان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و ذهن عموم من وجه است، زیرا این گونه نیست که هر چه در ذهن موجود است در نفس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موجود باشد، چون برخی از امور ذهنی، صرف فرض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است مانند زوج بودن عدد پنج و همه امور ذهنی به فرض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نیست، مانند جنس بودن حیوان</w:t>
      </w:r>
      <w:r w:rsidR="00833041">
        <w:rPr>
          <w:rStyle w:val="FootnoteReference"/>
          <w:rtl/>
        </w:rPr>
        <w:footnoteReference w:id="2"/>
      </w:r>
    </w:p>
    <w:p w:rsidR="00530DFA" w:rsidRDefault="00530DFA" w:rsidP="00652C3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حکم عبارت است از این که ذهن میان دو چیز نسبتی برقرار می کند که اتحاد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وجودی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آن دو می باشد - چنان که مراد از حمل همین است </w:t>
      </w:r>
      <w:r w:rsidRPr="00530DFA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خواه اتحاد در وجود خارجی باشد یا در وجود ذهنی، بنابراین حکم حکایت و اخبار از نسبتی واقعی است که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محکی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می باشد و آن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محکی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لاجرم خارج از حکایت است، خواه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محکی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خارجی باشد یا ذهنی. و این است </w:t>
      </w:r>
      <w:r w:rsidRPr="00530DFA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مراد [اهل منطق و فلسفه] </w:t>
      </w:r>
      <w:r w:rsidR="00652C3A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ه گفته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: «صدق به طور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[اعم از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ذهنیه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خارجیه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] عبارت است از مطابقت نسبت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ذهنیه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 xml:space="preserve"> با نسبت </w:t>
      </w:r>
      <w:proofErr w:type="spellStart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خارجیه</w:t>
      </w:r>
      <w:proofErr w:type="spellEnd"/>
      <w:r w:rsidRPr="00530DFA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2A43A2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530DFA">
        <w:rPr>
          <w:rFonts w:ascii="Tahoma" w:hAnsi="Tahoma" w:cs="B Mitra"/>
          <w:sz w:val="28"/>
          <w:szCs w:val="28"/>
          <w:vertAlign w:val="superscript"/>
          <w:rtl/>
          <w:lang w:bidi="fa-IR"/>
        </w:rPr>
        <w:footnoteReference w:id="3"/>
      </w:r>
    </w:p>
    <w:p w:rsidR="002A43A2" w:rsidRPr="002A43A2" w:rsidRDefault="002A43A2" w:rsidP="002A43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بنابراین،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عبارت است از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محکی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در قضیه که با قطع نظر از فرض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واقعیت دارد، خواه ظرف وجود آن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محکی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، عالم ذهن باشد، یا عالم خارج از ذهن. در هر دو صورت، خارج از ظرف حکایت است. در نتیجه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دو مصداق خواهد داشت: یکی عالم ذهن (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منطقی و مانند آن) و دیگری، عالم خارج از ذهن (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طبیعی، فلسفی، تاریخی و...).</w:t>
      </w:r>
    </w:p>
    <w:p w:rsidR="002A43A2" w:rsidRPr="002A43A2" w:rsidRDefault="002A43A2" w:rsidP="002A43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این تفسیر،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در مورد مفاهیم و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ادراکاتی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معنا دارد که از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شیئیت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برخوردار باشند و لذا دو مصداق بیشتر نخواهد داشت: ذهن و عین؛ ولی مفاهیم و ادراکات انسان منحصر در آن دو نیست، و شامل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معدومات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ممتنعات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نیز می باشد. وقتی می گوییم: کوهی از یاقوت ممکن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است، یا شریک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ممتنع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است، حکم در این دو قضیه مربوط به مصداق ذهنی کوه یاقوت یا شریک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نیست، و از طرفی، مصداق خارجی هم ندارد. با این حال هر دو قضیه صادق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 لذا دارای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می باشند. بنابراین،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را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توان به «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شیء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فی نفسه» تفسیر کرد، زیرا موضوع این گونه قضایا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شیئیت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ندارد.</w:t>
      </w:r>
      <w:r w:rsidRPr="002A43A2">
        <w:rPr>
          <w:rFonts w:ascii="Tahoma" w:hAnsi="Tahoma" w:cs="B Mitra"/>
          <w:sz w:val="28"/>
          <w:szCs w:val="28"/>
          <w:vertAlign w:val="superscript"/>
          <w:rtl/>
          <w:lang w:bidi="fa-IR"/>
        </w:rPr>
        <w:footnoteReference w:id="4"/>
      </w:r>
    </w:p>
    <w:p w:rsidR="002A43A2" w:rsidRDefault="002A43A2" w:rsidP="002A43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در این گونه قضایا، اگر چه موضوع وجود خارجی ندارد، ولی حکم، ناظر به وجود خارجی و فرضی آن است و حکم مزبور برای وجود فرضی آن صادق است، یعنی ممکن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بودن کوه یاقوت و ممتنع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بودن شریک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، حقیقت دارد،  هر چند یاقوت و شریک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الباری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، مصداق واقعی ندارد. بنابراین،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قضایایی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که موضوع آنها منهای فرض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واقعیت ندارد ولی حکم آنها تابع فرض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نیست، بلکه از حقیقت برخوردار است نیز دارای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می باشند. و ظاهرا مقصود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میرداماد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 محقق لاهیجی که گفته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: نفس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در مقابل فرض </w:t>
      </w:r>
      <w:proofErr w:type="spellStart"/>
      <w:r w:rsidRPr="002A43A2">
        <w:rPr>
          <w:rFonts w:ascii="Tahoma" w:hAnsi="Tahoma" w:cs="B Mitra" w:hint="cs"/>
          <w:sz w:val="28"/>
          <w:szCs w:val="28"/>
          <w:rtl/>
          <w:lang w:bidi="fa-IR"/>
        </w:rPr>
        <w:t>فارض</w:t>
      </w:r>
      <w:proofErr w:type="spellEnd"/>
      <w:r w:rsidRPr="002A43A2">
        <w:rPr>
          <w:rFonts w:ascii="Tahoma" w:hAnsi="Tahoma" w:cs="B Mitra" w:hint="cs"/>
          <w:sz w:val="28"/>
          <w:szCs w:val="28"/>
          <w:rtl/>
          <w:lang w:bidi="fa-IR"/>
        </w:rPr>
        <w:t xml:space="preserve"> و اعتبار محض عقلی است،‌ همین است، یعنی حکم در قضایا، فرض محض نیست هر چند وجود موضوع فرض است. </w:t>
      </w:r>
    </w:p>
    <w:p w:rsidR="00854E4E" w:rsidRPr="00854E4E" w:rsidRDefault="00854E4E" w:rsidP="002A43A2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854E4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پنجمین دیدگاه</w:t>
      </w:r>
    </w:p>
    <w:p w:rsidR="00854E4E" w:rsidRPr="00854E4E" w:rsidRDefault="00854E4E" w:rsidP="00854E4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در تعریف دیگری از نفس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گفته شده: « نفس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شيء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در حد ذات خود با قطع نظر از هر عارض و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وصفي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و با صرف نظر از تحقق آن در ذهن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انديشمند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خارج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داراي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حقيقت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واقعيت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معيني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گونه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دگرگوني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در آن راه ندارد».</w:t>
      </w:r>
      <w:r w:rsidRPr="00854E4E">
        <w:rPr>
          <w:rFonts w:ascii="Tahoma" w:hAnsi="Tahoma" w:cs="B Mitra"/>
          <w:sz w:val="28"/>
          <w:szCs w:val="28"/>
          <w:vertAlign w:val="superscript"/>
          <w:rtl/>
          <w:lang w:bidi="fa-IR"/>
        </w:rPr>
        <w:footnoteReference w:id="5"/>
      </w:r>
    </w:p>
    <w:p w:rsidR="00854E4E" w:rsidRPr="00854E4E" w:rsidRDefault="00854E4E" w:rsidP="00854E4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تعریف مزبور فقط بر ماهیت من حیث هی منطبق است و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مربوط به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تعریفات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(ذاتیات) و لوازم ذات را شامل می شود، اما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مربوط به عالم تکوین و تشریع و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معدومات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را در بر </w:t>
      </w:r>
      <w:proofErr w:type="spellStart"/>
      <w:r w:rsidRPr="00854E4E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854E4E">
        <w:rPr>
          <w:rFonts w:ascii="Tahoma" w:hAnsi="Tahoma" w:cs="B Mitra" w:hint="cs"/>
          <w:sz w:val="28"/>
          <w:szCs w:val="28"/>
          <w:rtl/>
          <w:lang w:bidi="fa-IR"/>
        </w:rPr>
        <w:t xml:space="preserve"> گیرد. </w:t>
      </w:r>
    </w:p>
    <w:p w:rsidR="00854E4E" w:rsidRDefault="00854E4E" w:rsidP="002A43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2A43A2" w:rsidRPr="00530DFA" w:rsidRDefault="002A43A2" w:rsidP="00652C3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ادامه بحث انشاءالله در جلسه آینده دنبال می شود.</w:t>
      </w:r>
    </w:p>
    <w:p w:rsidR="00530DFA" w:rsidRPr="00530DFA" w:rsidRDefault="00530DFA" w:rsidP="00530DF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197D65" w:rsidRDefault="00197D65" w:rsidP="006E28AB">
      <w:pPr>
        <w:jc w:val="both"/>
        <w:rPr>
          <w:rFonts w:ascii="Tahoma" w:hAnsi="Tahoma" w:cs="Traditional Arabic"/>
          <w:color w:val="008000"/>
          <w:sz w:val="24"/>
          <w:szCs w:val="24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EB" w:rsidRDefault="00691EEB" w:rsidP="00BC6EBB">
      <w:pPr>
        <w:spacing w:after="0" w:line="240" w:lineRule="auto"/>
      </w:pPr>
      <w:r>
        <w:separator/>
      </w:r>
    </w:p>
  </w:endnote>
  <w:endnote w:type="continuationSeparator" w:id="0">
    <w:p w:rsidR="00691EEB" w:rsidRDefault="00691EE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EB" w:rsidRDefault="00691EEB" w:rsidP="00BC6EBB">
      <w:pPr>
        <w:spacing w:after="0" w:line="240" w:lineRule="auto"/>
      </w:pPr>
      <w:r>
        <w:separator/>
      </w:r>
    </w:p>
  </w:footnote>
  <w:footnote w:type="continuationSeparator" w:id="0">
    <w:p w:rsidR="00691EEB" w:rsidRDefault="00691EEB" w:rsidP="00BC6EBB">
      <w:pPr>
        <w:spacing w:after="0" w:line="240" w:lineRule="auto"/>
      </w:pPr>
      <w:r>
        <w:continuationSeparator/>
      </w:r>
    </w:p>
  </w:footnote>
  <w:footnote w:id="1">
    <w:p w:rsidR="00530DFA" w:rsidRDefault="00530DFA" w:rsidP="00833041">
      <w:pPr>
        <w:pStyle w:val="FootnoteText"/>
        <w:spacing w:after="0" w:line="240" w:lineRule="auto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قبسات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میرداماد</w:t>
      </w:r>
      <w:proofErr w:type="spellEnd"/>
      <w:r>
        <w:rPr>
          <w:rFonts w:hint="cs"/>
          <w:rtl/>
          <w:lang w:bidi="fa-IR"/>
        </w:rPr>
        <w:t>، ص 386</w:t>
      </w:r>
    </w:p>
  </w:footnote>
  <w:footnote w:id="2">
    <w:p w:rsidR="00833041" w:rsidRPr="00CF3F7E" w:rsidRDefault="00833041" w:rsidP="00833041">
      <w:pPr>
        <w:pStyle w:val="FootnoteText"/>
        <w:spacing w:after="0" w:line="240" w:lineRule="auto"/>
        <w:rPr>
          <w:rFonts w:ascii="Noor_Mitra" w:hAnsi="Noor_Mitra" w:cs="Noor_Mitra"/>
          <w:rtl/>
        </w:rPr>
      </w:pPr>
      <w:r w:rsidRPr="00CF3F7E">
        <w:rPr>
          <w:rStyle w:val="FootnoteReference"/>
          <w:rFonts w:ascii="Noor_Mitra" w:hAnsi="Noor_Mitra" w:cs="Noor_Mitra"/>
        </w:rPr>
        <w:footnoteRef/>
      </w:r>
      <w:r w:rsidRPr="00CF3F7E">
        <w:rPr>
          <w:rFonts w:ascii="Noor_Mitra" w:hAnsi="Noor_Mitra" w:cs="Noor_Mitra"/>
          <w:rtl/>
        </w:rPr>
        <w:t xml:space="preserve"> حاصل آن که نفس الامر و ذهن یک مورد اجتماع دارند و آن امور ذهنی است که به صرف فرض فارض نمی باشد مانند: حیوان جنس است، و دو مورد افتراق دارند:</w:t>
      </w:r>
    </w:p>
    <w:p w:rsidR="00833041" w:rsidRPr="00CF3F7E" w:rsidRDefault="00833041" w:rsidP="00833041">
      <w:pPr>
        <w:pStyle w:val="FootnoteText"/>
        <w:spacing w:after="0" w:line="240" w:lineRule="auto"/>
        <w:rPr>
          <w:rFonts w:ascii="Noor_Mitra" w:hAnsi="Noor_Mitra" w:cs="Noor_Mitra"/>
          <w:rtl/>
        </w:rPr>
      </w:pPr>
      <w:r w:rsidRPr="00CF3F7E">
        <w:rPr>
          <w:rFonts w:ascii="Noor_Mitra" w:hAnsi="Noor_Mitra" w:cs="Noor_Mitra"/>
          <w:rtl/>
        </w:rPr>
        <w:t xml:space="preserve">   الف. وجود نفس الامر بدون ذهن مانند احکام خارجی، آتش گرم است.</w:t>
      </w:r>
    </w:p>
    <w:p w:rsidR="00833041" w:rsidRPr="00CF3F7E" w:rsidRDefault="00833041" w:rsidP="00833041">
      <w:pPr>
        <w:pStyle w:val="FootnoteText"/>
        <w:spacing w:after="0" w:line="240" w:lineRule="auto"/>
        <w:rPr>
          <w:rFonts w:ascii="Noor_Mitra" w:hAnsi="Noor_Mitra" w:cs="Noor_Mitra"/>
        </w:rPr>
      </w:pPr>
      <w:r w:rsidRPr="00CF3F7E">
        <w:rPr>
          <w:rFonts w:ascii="Noor_Mitra" w:hAnsi="Noor_Mitra" w:cs="Noor_Mitra"/>
          <w:rtl/>
        </w:rPr>
        <w:t xml:space="preserve">   ب. وجود ذهن بدون نفس الامر مانند آنچه به صرف فرض فارض است و عدد پنج زوج است.</w:t>
      </w:r>
    </w:p>
  </w:footnote>
  <w:footnote w:id="3">
    <w:p w:rsidR="00530DFA" w:rsidRPr="00CF3F7E" w:rsidRDefault="00530DFA" w:rsidP="00833041">
      <w:pPr>
        <w:pStyle w:val="FootnoteText"/>
        <w:spacing w:after="0" w:line="240" w:lineRule="auto"/>
        <w:rPr>
          <w:rFonts w:ascii="Noor_Mitra" w:hAnsi="Noor_Mitra" w:cs="Noor_Mitra"/>
        </w:rPr>
      </w:pPr>
      <w:r w:rsidRPr="00CF3F7E">
        <w:rPr>
          <w:rStyle w:val="FootnoteReference"/>
          <w:rFonts w:ascii="Noor_Mitra" w:hAnsi="Noor_Mitra" w:cs="Noor_Mitra"/>
        </w:rPr>
        <w:footnoteRef/>
      </w:r>
      <w:r w:rsidRPr="00CF3F7E">
        <w:rPr>
          <w:rFonts w:ascii="Noor_Mitra" w:hAnsi="Noor_Mitra" w:cs="Noor_Mitra"/>
          <w:rtl/>
        </w:rPr>
        <w:t xml:space="preserve"> شوارق الالهام، ص 485-486</w:t>
      </w:r>
    </w:p>
  </w:footnote>
  <w:footnote w:id="4">
    <w:p w:rsidR="002A43A2" w:rsidRPr="00CF3F7E" w:rsidRDefault="002A43A2" w:rsidP="002A43A2">
      <w:pPr>
        <w:pStyle w:val="FootnoteText"/>
        <w:rPr>
          <w:rFonts w:ascii="Noor_Mitra" w:hAnsi="Noor_Mitra" w:cs="Noor_Mitra"/>
        </w:rPr>
      </w:pPr>
      <w:r w:rsidRPr="00CF3F7E">
        <w:rPr>
          <w:rStyle w:val="FootnoteReference"/>
          <w:rFonts w:ascii="Noor_Mitra" w:hAnsi="Noor_Mitra" w:cs="Noor_Mitra"/>
        </w:rPr>
        <w:footnoteRef/>
      </w:r>
      <w:r w:rsidRPr="00CF3F7E">
        <w:rPr>
          <w:rFonts w:ascii="Noor_Mitra" w:hAnsi="Noor_Mitra" w:cs="Noor_Mitra"/>
          <w:rtl/>
        </w:rPr>
        <w:t xml:space="preserve"> و فیه ان ما لامطابق له فی خارج و لا فی ذهن، لا نفسه له حتی یطابقه هو و احکامه. نهایه الحکمه، مرحله اول،‌ فصل دوم، ص 15</w:t>
      </w:r>
    </w:p>
  </w:footnote>
  <w:footnote w:id="5">
    <w:p w:rsidR="00854E4E" w:rsidRPr="00CF3F7E" w:rsidRDefault="00854E4E" w:rsidP="00854E4E">
      <w:pPr>
        <w:pStyle w:val="FootnoteText"/>
        <w:rPr>
          <w:rFonts w:ascii="Noor_Mitra" w:hAnsi="Noor_Mitra" w:cs="Noor_Mitra"/>
        </w:rPr>
      </w:pPr>
      <w:r w:rsidRPr="00CF3F7E">
        <w:rPr>
          <w:rStyle w:val="FootnoteReference"/>
          <w:rFonts w:ascii="Noor_Mitra" w:hAnsi="Noor_Mitra" w:cs="Noor_Mitra"/>
        </w:rPr>
        <w:footnoteRef/>
      </w:r>
      <w:r w:rsidRPr="00CF3F7E">
        <w:rPr>
          <w:rFonts w:ascii="Noor_Mitra" w:hAnsi="Noor_Mitra" w:cs="Noor_Mitra"/>
          <w:rtl/>
        </w:rPr>
        <w:t xml:space="preserve"> </w:t>
      </w:r>
      <w:r w:rsidRPr="00CF3F7E">
        <w:rPr>
          <w:rFonts w:ascii="Noor_Mitra" w:hAnsi="Noor_Mitra" w:cs="Noor_Mitra"/>
          <w:rtl/>
        </w:rPr>
        <w:t>معرفت شناسی در قرآن، ص 107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D91E1B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91E1B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D91E1B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3A2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0DFA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77538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C3A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1EEB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3041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4E4E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1E1B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1F6C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7A7685-214C-4DF6-9552-35D37FB4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2020-12-27T20:22:00Z</dcterms:created>
  <dcterms:modified xsi:type="dcterms:W3CDTF">2020-12-27T20:55:00Z</dcterms:modified>
</cp:coreProperties>
</file>