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7" w:rsidRPr="005C4FF2" w:rsidRDefault="002D1F77" w:rsidP="000F794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0F794A">
        <w:rPr>
          <w:rFonts w:ascii="Traditional Arabic" w:hAnsi="Traditional Arabic" w:cs="Traditional Arabic" w:hint="cs"/>
          <w:sz w:val="28"/>
          <w:szCs w:val="28"/>
          <w:rtl/>
        </w:rPr>
        <w:t xml:space="preserve">علم حضوری و علم </w:t>
      </w:r>
      <w:proofErr w:type="spellStart"/>
      <w:r w:rsidR="000F794A">
        <w:rPr>
          <w:rFonts w:ascii="Traditional Arabic" w:hAnsi="Traditional Arabic" w:cs="Traditional Arabic" w:hint="cs"/>
          <w:sz w:val="28"/>
          <w:szCs w:val="28"/>
          <w:rtl/>
        </w:rPr>
        <w:t>حصولی</w:t>
      </w:r>
      <w:proofErr w:type="spellEnd"/>
      <w:r w:rsidR="002B584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875020" w:rsidRPr="00875020" w:rsidRDefault="00CB1FFD" w:rsidP="00647CE3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>
        <w:rPr>
          <w:rFonts w:ascii="IRBadr" w:hAnsi="IRBadr" w:cs="B Mitra" w:hint="cs"/>
          <w:color w:val="FF0000"/>
          <w:sz w:val="28"/>
          <w:szCs w:val="28"/>
          <w:rtl/>
        </w:rPr>
        <w:t>اقسام تصدیق در علم حصولی</w:t>
      </w:r>
    </w:p>
    <w:p w:rsidR="000A732B" w:rsidRDefault="00420663" w:rsidP="00CB1FFD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بحث درباره علم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حصولی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است. </w:t>
      </w:r>
      <w:r w:rsidR="00CB1FF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همان طور که بیان شد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این علم به دو قسم تصور و تصدیق تقسیم می شود</w:t>
      </w:r>
      <w:r w:rsidR="00CB1FFD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تصدیق نیز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اقسامی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دارد. تصدیق آنجا است که تصور ما همراه حکم و یا مستلزم حکم باشد. حکم نیز عبارت است از اقرار و اذعان نفس در مورد نسبت میان موضوع و محمول. </w:t>
      </w:r>
    </w:p>
    <w:p w:rsidR="00074E70" w:rsidRDefault="00420663" w:rsidP="00CB1FF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تصدیق دو گونه است: یا حکمی که در آن صورت گرفته به صورت قطعی است که آن را یقین </w:t>
      </w:r>
      <w:r w:rsidR="00CB1FF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گویند،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r w:rsidR="00CB1FFD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یا آن حکم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در درجات پایین تر قرار دارد که آن را ظن گویند. برای یقین در منطق</w:t>
      </w:r>
      <w:r w:rsidR="00CB1FFD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اقسام شش گانه بیان شده است</w:t>
      </w:r>
      <w:r w:rsidR="00CB1FFD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(و این شش قسم را مبادی برهان دانسته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):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اولیات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محسوسات (به حس ظاهر را مشاهدات و به حس باطن را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وجدانیات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گویند)،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فطریات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تجربیات،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متواترات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حدسیات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</w:p>
    <w:p w:rsidR="00420663" w:rsidRDefault="00420663" w:rsidP="00CB1FF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مورد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اولیات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قطع است. در مورد محسوسات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وجدانیات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نیز همین گونه قطع وجود دارد و نقطه مقابل و احتمال خلاف در آنها منتفی است. اما در تجربیات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متواترات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حدسیات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این مقدار از قطع وجود ندارد. در مورد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متواترات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گفته شده است تعدادی خبر را نقل کنند که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عادتا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تبانی آن</w:t>
      </w:r>
      <w:r w:rsidR="00CB1FFD">
        <w:rPr>
          <w:rFonts w:ascii="Noor_Mitra" w:hAnsi="Noor_Mitra" w:cs="Noor_Mitra" w:hint="cs"/>
          <w:sz w:val="28"/>
          <w:szCs w:val="28"/>
          <w:rtl/>
          <w:lang w:bidi="fa-IR"/>
        </w:rPr>
        <w:t>ها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بر کذب ممکن نباشد. (در اینجا از نظر عقلی مساله صد درصد منتفی نیست، البته احتمال </w:t>
      </w:r>
      <w:r w:rsidR="00CB1FF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خلاف آن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ضعیف است و مورد اعتنا قرار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گیرد و لذا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متواترات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جزء اقسام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یقینیات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به شمار آمده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). تجربیات نیز همین گونه است </w:t>
      </w:r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کشف یقین صد درصد در آن مشکل است.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</w:p>
    <w:p w:rsidR="00CB1FFD" w:rsidRDefault="00074E70" w:rsidP="00CB1FFD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حوزه مسائل اعتقادی و کلامی، آنچه لازم است علم است، اما این علم و آگاهی چگونه است؟ آیا همان علم و یقین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بالمعنی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الاخص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CB1FF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مراد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است؟ قطعا </w:t>
      </w:r>
      <w:r w:rsidR="00CB1FF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اینگونه نیست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زیرا </w:t>
      </w:r>
      <w:r w:rsidR="00CB1FFD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</w:p>
    <w:p w:rsidR="00420663" w:rsidRDefault="00CB1FFD" w:rsidP="00CB1FF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1. اموری مانند </w:t>
      </w:r>
      <w:proofErr w:type="spellStart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>متواترات</w:t>
      </w:r>
      <w:proofErr w:type="spellEnd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در کلام بسیار پر کاربرد است، هر چند جز </w:t>
      </w:r>
      <w:proofErr w:type="spellStart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>یقینیات</w:t>
      </w:r>
      <w:proofErr w:type="spellEnd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 اما یقین </w:t>
      </w:r>
      <w:proofErr w:type="spellStart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>بالمعنی</w:t>
      </w:r>
      <w:proofErr w:type="spellEnd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>الاخص</w:t>
      </w:r>
      <w:proofErr w:type="spellEnd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نیست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مانند مساله غدیر که مورد استناد ما حدیث غدیر است که به تواتر به ما رسیده است. بنابراین یقین </w:t>
      </w:r>
      <w:proofErr w:type="spellStart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>بالمعنی</w:t>
      </w:r>
      <w:proofErr w:type="spellEnd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>الاخصی</w:t>
      </w:r>
      <w:proofErr w:type="spellEnd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در منطق بیان شده، در اعتقادات مراد نیست.  </w:t>
      </w:r>
    </w:p>
    <w:p w:rsidR="00CB1FFD" w:rsidRDefault="00CB1FFD" w:rsidP="00074E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2. </w:t>
      </w:r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ادله ای که علم را شرط دانسته و نهی از ظن می کند مانند آیات و روایت، مخاطب در آنها عموم </w:t>
      </w:r>
      <w:proofErr w:type="spellStart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>عقلای</w:t>
      </w:r>
      <w:proofErr w:type="spellEnd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بشر هستند نه خواص (مانند فلاسفه و اهل ریاضی). از جهت عقلی نیز روشن است که عموم </w:t>
      </w:r>
      <w:proofErr w:type="spellStart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>مکلفان</w:t>
      </w:r>
      <w:proofErr w:type="spellEnd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قادر بر یقین </w:t>
      </w:r>
      <w:proofErr w:type="spellStart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>بالمعنی</w:t>
      </w:r>
      <w:proofErr w:type="spellEnd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>الاخص</w:t>
      </w:r>
      <w:proofErr w:type="spellEnd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نیست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ند</w:t>
      </w:r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نتیجه اینکه آنچه </w:t>
      </w:r>
      <w:proofErr w:type="spellStart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>عقلای</w:t>
      </w:r>
      <w:proofErr w:type="spellEnd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اهل دقت علم بدانند، </w:t>
      </w:r>
      <w:proofErr w:type="spellStart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>خطابات</w:t>
      </w:r>
      <w:proofErr w:type="spellEnd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ادله ناظر به آنها است و آن علم، ظواهر و خبر </w:t>
      </w:r>
      <w:proofErr w:type="spellStart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>ثقه</w:t>
      </w:r>
      <w:proofErr w:type="spellEnd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واحد را شامل می شود. مثلا ما بر آیه ولایت و یا حدیث غدیر بر </w:t>
      </w:r>
      <w:proofErr w:type="spellStart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>امامت</w:t>
      </w:r>
      <w:proofErr w:type="spellEnd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استناد می کنیم در حالی که ظهور بر این امر دارند. </w:t>
      </w:r>
    </w:p>
    <w:p w:rsidR="00074E70" w:rsidRDefault="00CB1FFD" w:rsidP="00CB1FF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طبق آنچه بیان شد همچنین روشن می شود که </w:t>
      </w:r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ادله ای که ظن را نهی کرده و آن را فاقد اعتبار می داند، ناظر به ظن منطقی و اطمینان آور نیست، بلکه معنای دیگری دارد و آن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الف) </w:t>
      </w:r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>سخن بدون دلیل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ب) و </w:t>
      </w:r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یا سخن از روی دلیل غیر معتبر است. ظن </w:t>
      </w:r>
      <w:proofErr w:type="spellStart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>منهی</w:t>
      </w:r>
      <w:proofErr w:type="spellEnd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>عنه</w:t>
      </w:r>
      <w:proofErr w:type="spellEnd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آیات و روایات به همین معنا است و لذا از آن تعبیر به «</w:t>
      </w:r>
      <w:proofErr w:type="spellStart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>خرص</w:t>
      </w:r>
      <w:proofErr w:type="spellEnd"/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>» شده است.</w:t>
      </w:r>
      <w:r w:rsidR="00074E70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  <w:r w:rsidR="00074E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</w:p>
    <w:p w:rsidR="00CB1FFD" w:rsidRPr="00CB1FFD" w:rsidRDefault="00CB1FFD" w:rsidP="001E5116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CB1FFD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کاربرهای یقین </w:t>
      </w:r>
    </w:p>
    <w:p w:rsidR="00074E70" w:rsidRDefault="001E5116" w:rsidP="00CB1FFD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یقین کاربرهای مختلفی دارد. یکی یقین در علم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حصولی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 که بیان شد و اصطلاحا آن را «علم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الیقین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» گویند. کاربرد دیگر یقین مربوط به علم حضوری است که دو گونه است: «عین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الیقین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» و «حق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الیقین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». مثال معر</w:t>
      </w:r>
      <w:r w:rsidR="00CB1FF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فی در اینجا بیان می شود و آن اینکه جایی دود می بینیم. با مشاهده این دود حکم به وجود آتش می کنیم</w:t>
      </w:r>
      <w:r w:rsidR="00CB1FF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(از معلوم به علت آن </w:t>
      </w:r>
      <w:r w:rsidR="00CB1FFD">
        <w:rPr>
          <w:rFonts w:ascii="Noor_Mitra" w:hAnsi="Noor_Mitra" w:cs="Noor_Mitra" w:hint="cs"/>
          <w:sz w:val="28"/>
          <w:szCs w:val="28"/>
          <w:rtl/>
          <w:lang w:bidi="fa-IR"/>
        </w:rPr>
        <w:t>پی می بریم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). این را علم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الیقین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گویند. وقتی نزدیک رفته و شعله و گرمی آتش را از نزدیک مشاهده کنیم، آن را عین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الیقین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گویند. وقتی در خود آتش قرار گیریم، آن را حق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الیقین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گویند. </w:t>
      </w:r>
    </w:p>
    <w:p w:rsidR="001E5116" w:rsidRDefault="001E5116" w:rsidP="00CB1FF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کاربرد علم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الیقین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عین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الیقین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حق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الیقین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خداشناسی چنین است: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براهین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ادله اثبات وجود خداوند مربوط به مرحله علم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الیقین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است. مرحله عین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الیقین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را همانند آن کلام امیرالمومنین (ع) می دانند که وقتی از ایشان سوال شد: آیا پروردگارت را می بینی؟ فرمود: «لم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اعبد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ربا لم اره». و یا فرمود: «رای قلبی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ربی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».</w:t>
      </w:r>
      <w:r w:rsidR="00CB1FF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حق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الیقین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نیز مرتبه ای است که میان عاقل و معقول فاصله برداشته شده و یک وحدت معنوی و یک ربط حقیقی برقرار می شود به گونه ای که عاقل ذات خود را </w:t>
      </w:r>
      <w:r w:rsidR="00CB1FF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شعاعی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معقول می بیند. و همواره آثار الهی را ادراک و وجدان می کند. گفته شده این مرحله خیلی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دیریاب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 و راه آن زدودن همه شهوات و آلودگی ها است. 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2"/>
      </w:r>
    </w:p>
    <w:p w:rsidR="00074E70" w:rsidRDefault="001E5116" w:rsidP="00074E7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مرحوم نراقی در جامع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السعادت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گفته است مرتبه بالاتری از حق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الیقین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نیز وجود دارد که آن را </w:t>
      </w:r>
      <w:r w:rsidR="0063305E"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حقیقت حق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الیقین</w:t>
      </w:r>
      <w:proofErr w:type="spellEnd"/>
      <w:r w:rsidR="0063305E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نامیده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آن وقتی است که</w:t>
      </w:r>
      <w:r w:rsidR="0063305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فرد به مرتبه فنا فی الله برسد به گونه ای که هیچ گونه واقعیتی برای خود مشاهده </w:t>
      </w:r>
      <w:proofErr w:type="spellStart"/>
      <w:r w:rsidR="0063305E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 w:rsidR="0063305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کند.</w:t>
      </w:r>
      <w:bookmarkStart w:id="0" w:name="_GoBack"/>
      <w:bookmarkEnd w:id="0"/>
      <w:r w:rsidR="0063305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</w:p>
    <w:p w:rsidR="0063305E" w:rsidRDefault="0063305E" w:rsidP="00074E70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رسد آدمی به جایی که به جز خدا نبیند     بنگر که تا چه حد است مقام آدمیت</w:t>
      </w:r>
    </w:p>
    <w:p w:rsidR="0063305E" w:rsidRDefault="0063305E" w:rsidP="0063305E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ادامه بحث انشاءالله در جلسه آینده بیان می شود</w:t>
      </w:r>
    </w:p>
    <w:p w:rsidR="00420663" w:rsidRPr="00F14D8C" w:rsidRDefault="00420663" w:rsidP="000A73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C76" w:rsidRDefault="008C5C76" w:rsidP="00BC6EBB">
      <w:pPr>
        <w:spacing w:after="0" w:line="240" w:lineRule="auto"/>
      </w:pPr>
      <w:r>
        <w:separator/>
      </w:r>
    </w:p>
  </w:endnote>
  <w:endnote w:type="continuationSeparator" w:id="0">
    <w:p w:rsidR="008C5C76" w:rsidRDefault="008C5C76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Badr">
    <w:altName w:val="Segoe UI"/>
    <w:charset w:val="00"/>
    <w:family w:val="auto"/>
    <w:pitch w:val="variable"/>
    <w:sig w:usb0="00000000" w:usb1="00000000" w:usb2="00000000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C76" w:rsidRDefault="008C5C76" w:rsidP="00BC6EBB">
      <w:pPr>
        <w:spacing w:after="0" w:line="240" w:lineRule="auto"/>
      </w:pPr>
      <w:r>
        <w:separator/>
      </w:r>
    </w:p>
  </w:footnote>
  <w:footnote w:type="continuationSeparator" w:id="0">
    <w:p w:rsidR="008C5C76" w:rsidRDefault="008C5C76" w:rsidP="00BC6EBB">
      <w:pPr>
        <w:spacing w:after="0" w:line="240" w:lineRule="auto"/>
      </w:pPr>
      <w:r>
        <w:continuationSeparator/>
      </w:r>
    </w:p>
  </w:footnote>
  <w:footnote w:id="1">
    <w:p w:rsidR="00074E70" w:rsidRDefault="00074E70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ر.ک</w:t>
      </w:r>
      <w:proofErr w:type="spellEnd"/>
      <w:r>
        <w:rPr>
          <w:rFonts w:hint="cs"/>
          <w:rtl/>
          <w:lang w:bidi="fa-IR"/>
        </w:rPr>
        <w:t>: مقاله جایگاه علم عرفی در اعتقادات دینی، مجله کلام اسلامی، ش 107</w:t>
      </w:r>
    </w:p>
  </w:footnote>
  <w:footnote w:id="2">
    <w:p w:rsidR="001E5116" w:rsidRDefault="001E5116" w:rsidP="001E5116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جامع </w:t>
      </w:r>
      <w:proofErr w:type="spellStart"/>
      <w:r>
        <w:rPr>
          <w:rFonts w:hint="cs"/>
          <w:rtl/>
          <w:lang w:bidi="fa-IR"/>
        </w:rPr>
        <w:t>السعادات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ملامهدی</w:t>
      </w:r>
      <w:proofErr w:type="spellEnd"/>
      <w:r>
        <w:rPr>
          <w:rFonts w:hint="cs"/>
          <w:rtl/>
          <w:lang w:bidi="fa-IR"/>
        </w:rPr>
        <w:t xml:space="preserve"> نراقی، ج1، ص 124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5920FC" w:rsidRPr="00315BE8" w:rsidRDefault="00FA7A35" w:rsidP="00CA3567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CA3567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CA3567">
      <w:rPr>
        <w:rFonts w:ascii="Tahoma" w:hAnsi="Tahoma" w:cs="Traditional Arabic" w:hint="cs"/>
        <w:sz w:val="28"/>
        <w:szCs w:val="28"/>
        <w:rtl/>
        <w:lang w:bidi="fa-IR"/>
      </w:rPr>
      <w:t>12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B15A33">
      <w:rPr>
        <w:rFonts w:ascii="Tahoma" w:hAnsi="Tahoma" w:cs="Traditional Arabic" w:hint="cs"/>
        <w:sz w:val="28"/>
        <w:szCs w:val="28"/>
        <w:rtl/>
        <w:lang w:bidi="fa-IR"/>
      </w:rPr>
      <w:t>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4E70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116"/>
    <w:rsid w:val="001E641F"/>
    <w:rsid w:val="001F02A2"/>
    <w:rsid w:val="001F1887"/>
    <w:rsid w:val="001F2643"/>
    <w:rsid w:val="001F2BEB"/>
    <w:rsid w:val="001F45BD"/>
    <w:rsid w:val="0020009A"/>
    <w:rsid w:val="00202D03"/>
    <w:rsid w:val="00204445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0663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305E"/>
    <w:rsid w:val="00637E49"/>
    <w:rsid w:val="00643D8C"/>
    <w:rsid w:val="00644ED5"/>
    <w:rsid w:val="00645DC1"/>
    <w:rsid w:val="00647CE3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AF3"/>
    <w:rsid w:val="00874B14"/>
    <w:rsid w:val="00875020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C5C76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A33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567"/>
    <w:rsid w:val="00CA3A08"/>
    <w:rsid w:val="00CA4063"/>
    <w:rsid w:val="00CA415E"/>
    <w:rsid w:val="00CA497F"/>
    <w:rsid w:val="00CA4F06"/>
    <w:rsid w:val="00CB1FFD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C0C45B3-53EC-4B81-91E6-800A29008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5</cp:revision>
  <dcterms:created xsi:type="dcterms:W3CDTF">2020-11-02T16:50:00Z</dcterms:created>
  <dcterms:modified xsi:type="dcterms:W3CDTF">2020-11-02T17:32:00Z</dcterms:modified>
</cp:coreProperties>
</file>