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75020" w:rsidRPr="00875020" w:rsidRDefault="002D3AB7" w:rsidP="00647CE3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>پیشینه بحث معقولات اولی و ثانوی</w:t>
      </w:r>
    </w:p>
    <w:p w:rsidR="000A732B" w:rsidRDefault="00D01240" w:rsidP="00F97D3E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جلسه قبل درباره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ثانوی و تفاوت های آن با هم بحث شد و این مساله </w:t>
      </w:r>
      <w:r w:rsidR="00F97D3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مطرح شد که چرا علامه طباطبایی مفاهیم ثانوی را مفاهیم اعتباری </w:t>
      </w:r>
      <w:r w:rsidR="00F97D3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مفاهیم اولی را مفاهیم حقیقی نامیده است.</w:t>
      </w:r>
    </w:p>
    <w:p w:rsidR="00D01240" w:rsidRDefault="00D01240" w:rsidP="0070038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اکنون به بررسی پیشینه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تقسیم بندی در مورد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اولی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ثانیه می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پردازیم.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 شک این بحث از مباحثی است که توسط اندیشمندان اسلامی مطرح شده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از مباحثی نبوده که در جهان یونان مطرح شده و به جهان اسلام آمده باشد. در مورد </w:t>
      </w:r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>شروع این بحث، اطلاع دقیقی در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دست نیست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</w:t>
      </w:r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>آنچه از کتب فلسفی به دست می آید این است که این مساله در زمان ابن سینا مطرح بوده و ایشان در کتاب «</w:t>
      </w:r>
      <w:proofErr w:type="spellStart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>التعلیقات</w:t>
      </w:r>
      <w:proofErr w:type="spellEnd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»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باره </w:t>
      </w:r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>گفته است: موضوع منطق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مستند به </w:t>
      </w:r>
      <w:proofErr w:type="spellStart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اولیه است از این حیث که بواسطه آنها از </w:t>
      </w:r>
      <w:proofErr w:type="spellStart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>معلومی</w:t>
      </w:r>
      <w:proofErr w:type="spellEnd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</w:t>
      </w:r>
      <w:proofErr w:type="spellStart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>مجهولی</w:t>
      </w:r>
      <w:proofErr w:type="spellEnd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پی برده می شود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باب مثال (مفهوم) جسم و حیوان و مانند آنها معقول اولیه هستند و </w:t>
      </w:r>
      <w:proofErr w:type="spellStart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="001C1A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مستند به آنها عبارت از کلی یا جزئی یا شخصی بودن آنها.</w:t>
      </w:r>
      <w:r w:rsidR="001C1AD2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</w:p>
    <w:p w:rsidR="001C1AD2" w:rsidRDefault="001C1AD2" w:rsidP="0070038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محقق طوسی در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شرح اشارات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پس از بیان اینکه موضوع منطق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است گفته است: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عوارضی هستند که بر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اولیه و حقایق موجودات و احکام عقلی آنها عارض می گردد.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بعد سید صدر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دشتکی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شیرازی معروف به سید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مدققین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(م 930 هـ) در این باره گفته است: تعریف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که از قدما نقل شده این است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عوارض عقلی هستند که در خارج از ذهن چیزی در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ازای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آنها نیست و مفاهیمی مانند کلی، جزئی، قضیه، شی، ذات، ماهیت، علت، معلول و ممکن را مصادیق آن دانسته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مثال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ایشان برای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ذکر کرده برخی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منطقی و برخی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فلسفی هستند. نتیجه اینکه در کلمات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قدمای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فلسفه هم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منطقی و هم فلسفی ذکر شده است اما از هم جدا نشده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تفکیک اینها از یکدیگر پس از خواجه نصیر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طوسی انجام شده است زیرا ایشان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شیئیت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وجودی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منحاز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خارج نداشته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دانسته است.</w:t>
      </w:r>
      <w:r w:rsidR="005940A1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4"/>
      </w:r>
      <w:r w:rsidR="00255DF3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255DF3" w:rsidRDefault="00255DF3" w:rsidP="0070038D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برخی بر خواجه نصیر اشکال کرده گفته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اینکه شما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شیئیت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دانسته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اید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ما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بازاء در خارج ندارد،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این معنا است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را در ردیف کلیت و جنسیت به شمار آورده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اید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است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حالی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شیئیت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هر چند در خارج نیست اما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اتصاف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آن مربوط به خارج است.</w:t>
      </w:r>
    </w:p>
    <w:p w:rsidR="00255DF3" w:rsidRDefault="00255DF3" w:rsidP="00255DF3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در مقام دفاع از خواجه گفته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شما بین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منطقی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فلسفی خلط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اید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مرحوم خواجه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شیئیت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دانسته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فلسفی دانسته نه منطقی. </w:t>
      </w:r>
    </w:p>
    <w:p w:rsidR="00255DF3" w:rsidRDefault="00255DF3" w:rsidP="0070038D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اشکال و پاسخ سبب شد که بحث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منطقی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فلسفی به صورت مستقل مطرح شود و از کسانی که به صورت روشن این کار را انجام داده، مرحوم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صدرالمتالهین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>. ایشان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جلد اول اسفار در بحث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تتمه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احکام وجود و عدم، به این مساله پرداخته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وجود چگونه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فلسفی است</w:t>
      </w:r>
      <w:r w:rsidR="0070038D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5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ایشان سپس به تعریف آن پرداخته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خلاصه کلام ایشان چنین است:</w:t>
      </w:r>
    </w:p>
    <w:p w:rsidR="00255DF3" w:rsidRDefault="00255DF3" w:rsidP="00255DF3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منطقی،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محمولاتی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کلی هستند که ناظر به مفاهیم ذهنی می باشند.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قضایایی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از آنها تشکیل می شود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قضایای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ذهنی است. از آنجا که این مفاهیم کلی مربوط به وجود ذهنی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اولیه هستند،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منطقی نامیده شده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</w:p>
    <w:p w:rsidR="0070038D" w:rsidRDefault="00255DF3" w:rsidP="0070038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2. در مورد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فلسفی دو اصطلاح عام و خاص وجود دارد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اصطلاح خاص آن این موارد را در بر می گیرد: </w:t>
      </w:r>
    </w:p>
    <w:p w:rsidR="0070038D" w:rsidRDefault="00255DF3" w:rsidP="0070038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الف) محمولات کلی مانند واجب و ممکن و ممتنع؛ </w:t>
      </w:r>
    </w:p>
    <w:p w:rsidR="0070038D" w:rsidRDefault="00255DF3" w:rsidP="0070038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ب) مبادی ذهنی و انتزاعی این محمولات مانند وجوب و امکان و امتناع؛ </w:t>
      </w:r>
    </w:p>
    <w:p w:rsidR="0070038D" w:rsidRDefault="00255DF3" w:rsidP="0070038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ج) طبایع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مصدریه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 موجودیت،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، معلولیت. </w:t>
      </w:r>
    </w:p>
    <w:p w:rsidR="0070038D" w:rsidRDefault="00255DF3" w:rsidP="0070038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د) لوازم ماهیت مانند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زوجیت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برای اربعه. </w:t>
      </w:r>
    </w:p>
    <w:p w:rsidR="00255DF3" w:rsidRDefault="00255DF3" w:rsidP="0070038D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هـ) نسب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اضافات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ابوت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اخوت.</w:t>
      </w:r>
    </w:p>
    <w:p w:rsidR="0070038D" w:rsidRDefault="00255DF3" w:rsidP="00E708C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در اصطلاح عام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شامل دو دسته از قضایا می شود: </w:t>
      </w:r>
    </w:p>
    <w:p w:rsidR="0070038D" w:rsidRDefault="00255DF3" w:rsidP="00E708C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الف)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قضایای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ذهنی که همان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E708C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ثانیه منطقی هستند، </w:t>
      </w:r>
    </w:p>
    <w:p w:rsidR="00255DF3" w:rsidRDefault="00E708CC" w:rsidP="00E708C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ب)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قضایای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حقیقی که مربوط به لوازم ماهیت می باشند.</w:t>
      </w:r>
    </w:p>
    <w:p w:rsidR="00E708CC" w:rsidRDefault="00E708CC" w:rsidP="0070038D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بعد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صدرالمتالهین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، محقق لاهیجی در کتاب «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شوارق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الالهام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6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بحث را مطرح کرده و به صورت روشن از دو دسته مفاهیم منطقی و فلسفی سخن به میان آورده </w:t>
      </w:r>
      <w:r w:rsidR="0070038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سپس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وجه اشتراک و اختلاف آنها را بیان کرده است.</w:t>
      </w:r>
    </w:p>
    <w:p w:rsidR="00E708CC" w:rsidRDefault="00E708CC" w:rsidP="00E708C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حکیم سبزواری نیز در بخش امور عامه منظومه حکمت، یکی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غررها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به بحث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اختصاص داده و مباحثی که مطرح کرده حاصل همان مطالبی است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صدرالمتالهین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حکیم لاهیجی بیان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7"/>
      </w:r>
    </w:p>
    <w:p w:rsidR="002D3AB7" w:rsidRDefault="00E708CC" w:rsidP="009B099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علامه طباطبایی نیز این بحث در «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بدایه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الحکمه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 و «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نهایه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الحکمه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» و «اصول فلسفه» </w:t>
      </w:r>
      <w:r w:rsidR="009B0993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مطرح کرده </w:t>
      </w:r>
      <w:proofErr w:type="spellStart"/>
      <w:r w:rsidR="009B0993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9B0993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اما در این میان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شهید مطهری مفصل ترین مباحث را درباره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مطرح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8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ایشان به نقشی که این بحث در معرفت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حل مساله شناخت </w:t>
      </w:r>
      <w:r w:rsidR="009B099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داشته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پرداخته </w:t>
      </w:r>
      <w:r w:rsidR="009B0993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2D3AB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طرح این بحث در فلسفه اسلامی </w:t>
      </w:r>
      <w:r w:rsidR="009B099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 w:rsidR="002D3AB7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یکی از معجزات فکری بشر به شمار </w:t>
      </w:r>
      <w:r w:rsidR="009B099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آورده </w:t>
      </w:r>
      <w:proofErr w:type="spellStart"/>
      <w:r w:rsidR="009B0993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2D3AB7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5940A1" w:rsidRDefault="002D3AB7" w:rsidP="002D3AB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انشاءالله در جلسه آینده به ادامه این بحث می پردازیم </w:t>
      </w: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570" w:rsidRDefault="003A7570" w:rsidP="00BC6EBB">
      <w:pPr>
        <w:spacing w:after="0" w:line="240" w:lineRule="auto"/>
      </w:pPr>
      <w:r>
        <w:separator/>
      </w:r>
    </w:p>
  </w:endnote>
  <w:endnote w:type="continuationSeparator" w:id="0">
    <w:p w:rsidR="003A7570" w:rsidRDefault="003A757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570" w:rsidRDefault="003A7570" w:rsidP="00BC6EBB">
      <w:pPr>
        <w:spacing w:after="0" w:line="240" w:lineRule="auto"/>
      </w:pPr>
      <w:r>
        <w:separator/>
      </w:r>
    </w:p>
  </w:footnote>
  <w:footnote w:type="continuationSeparator" w:id="0">
    <w:p w:rsidR="003A7570" w:rsidRDefault="003A7570" w:rsidP="00BC6EBB">
      <w:pPr>
        <w:spacing w:after="0" w:line="240" w:lineRule="auto"/>
      </w:pPr>
      <w:r>
        <w:continuationSeparator/>
      </w:r>
    </w:p>
  </w:footnote>
  <w:footnote w:id="1">
    <w:p w:rsidR="001C1AD2" w:rsidRDefault="001C1AD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التعلیقات</w:t>
      </w:r>
      <w:proofErr w:type="spellEnd"/>
      <w:r>
        <w:rPr>
          <w:rFonts w:hint="cs"/>
          <w:rtl/>
          <w:lang w:bidi="fa-IR"/>
        </w:rPr>
        <w:t xml:space="preserve">، شیخ </w:t>
      </w:r>
      <w:proofErr w:type="spellStart"/>
      <w:r>
        <w:rPr>
          <w:rFonts w:hint="cs"/>
          <w:rtl/>
          <w:lang w:bidi="fa-IR"/>
        </w:rPr>
        <w:t>الرئیس</w:t>
      </w:r>
      <w:proofErr w:type="spellEnd"/>
      <w:r>
        <w:rPr>
          <w:rFonts w:hint="cs"/>
          <w:rtl/>
          <w:lang w:bidi="fa-IR"/>
        </w:rPr>
        <w:t xml:space="preserve"> ابن سینا، ص 167</w:t>
      </w:r>
    </w:p>
  </w:footnote>
  <w:footnote w:id="2">
    <w:p w:rsidR="001C1AD2" w:rsidRDefault="001C1AD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شرح </w:t>
      </w:r>
      <w:proofErr w:type="spellStart"/>
      <w:r>
        <w:rPr>
          <w:rFonts w:hint="cs"/>
          <w:rtl/>
          <w:lang w:bidi="fa-IR"/>
        </w:rPr>
        <w:t>الاشارات</w:t>
      </w:r>
      <w:proofErr w:type="spellEnd"/>
      <w:r>
        <w:rPr>
          <w:rFonts w:hint="cs"/>
          <w:rtl/>
          <w:lang w:bidi="fa-IR"/>
        </w:rPr>
        <w:t>، ج1، ص 9</w:t>
      </w:r>
    </w:p>
  </w:footnote>
  <w:footnote w:id="3">
    <w:p w:rsidR="001C1AD2" w:rsidRDefault="001C1AD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شوارق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الالهام</w:t>
      </w:r>
      <w:proofErr w:type="spellEnd"/>
      <w:r>
        <w:rPr>
          <w:rFonts w:hint="cs"/>
          <w:rtl/>
          <w:lang w:bidi="fa-IR"/>
        </w:rPr>
        <w:t>، ج1، ص 291</w:t>
      </w:r>
    </w:p>
  </w:footnote>
  <w:footnote w:id="4">
    <w:p w:rsidR="005940A1" w:rsidRDefault="005940A1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کشف </w:t>
      </w:r>
      <w:proofErr w:type="spellStart"/>
      <w:r>
        <w:rPr>
          <w:rFonts w:hint="cs"/>
          <w:rtl/>
          <w:lang w:bidi="fa-IR"/>
        </w:rPr>
        <w:t>المراد</w:t>
      </w:r>
      <w:proofErr w:type="spellEnd"/>
      <w:r>
        <w:rPr>
          <w:rFonts w:hint="cs"/>
          <w:rtl/>
          <w:lang w:bidi="fa-IR"/>
        </w:rPr>
        <w:t>، مقصد اول، فصل اول، مساله 18</w:t>
      </w:r>
    </w:p>
  </w:footnote>
  <w:footnote w:id="5">
    <w:p w:rsidR="0070038D" w:rsidRDefault="0070038D" w:rsidP="0070038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اسفار، </w:t>
      </w:r>
      <w:proofErr w:type="spellStart"/>
      <w:r>
        <w:rPr>
          <w:rFonts w:hint="cs"/>
          <w:rtl/>
          <w:lang w:bidi="fa-IR"/>
        </w:rPr>
        <w:t>صدرالمتالهین</w:t>
      </w:r>
      <w:proofErr w:type="spellEnd"/>
      <w:r>
        <w:rPr>
          <w:rFonts w:hint="cs"/>
          <w:rtl/>
          <w:lang w:bidi="fa-IR"/>
        </w:rPr>
        <w:t>، ج1، ص 3332- 335</w:t>
      </w:r>
    </w:p>
  </w:footnote>
  <w:footnote w:id="6">
    <w:p w:rsidR="00E708CC" w:rsidRDefault="00E708C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شوارق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الالهام</w:t>
      </w:r>
      <w:proofErr w:type="spellEnd"/>
      <w:r>
        <w:rPr>
          <w:rFonts w:hint="cs"/>
          <w:rtl/>
          <w:lang w:bidi="fa-IR"/>
        </w:rPr>
        <w:t>، محقق لاهیجی، ج1، ص 288- 289</w:t>
      </w:r>
    </w:p>
  </w:footnote>
  <w:footnote w:id="7">
    <w:p w:rsidR="00E708CC" w:rsidRDefault="00E708C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شرح منظومه، حاجی سبزواری، مقصد اول، </w:t>
      </w:r>
      <w:proofErr w:type="spellStart"/>
      <w:r>
        <w:rPr>
          <w:rFonts w:hint="cs"/>
          <w:rtl/>
          <w:lang w:bidi="fa-IR"/>
        </w:rPr>
        <w:t>غرر</w:t>
      </w:r>
      <w:proofErr w:type="spellEnd"/>
      <w:r>
        <w:rPr>
          <w:rFonts w:hint="cs"/>
          <w:rtl/>
          <w:lang w:bidi="fa-IR"/>
        </w:rPr>
        <w:t xml:space="preserve"> هشتم</w:t>
      </w:r>
    </w:p>
  </w:footnote>
  <w:footnote w:id="8">
    <w:p w:rsidR="00E708CC" w:rsidRDefault="00E708C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مفصل این بحث را ایشان در شرح مبسوط منظومه آورده </w:t>
      </w:r>
      <w:proofErr w:type="spellStart"/>
      <w:r>
        <w:rPr>
          <w:rFonts w:hint="cs"/>
          <w:rtl/>
          <w:lang w:bidi="fa-IR"/>
        </w:rPr>
        <w:t>اند</w:t>
      </w:r>
      <w:proofErr w:type="spellEnd"/>
      <w:r>
        <w:rPr>
          <w:rFonts w:hint="cs"/>
          <w:rtl/>
          <w:lang w:bidi="fa-IR"/>
        </w:rPr>
        <w:t xml:space="preserve">.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کتاب اندیشه های </w:t>
      </w:r>
      <w:proofErr w:type="spellStart"/>
      <w:r>
        <w:rPr>
          <w:rFonts w:hint="cs"/>
          <w:rtl/>
          <w:lang w:bidi="fa-IR"/>
        </w:rPr>
        <w:t>مطهر</w:t>
      </w:r>
      <w:proofErr w:type="spellEnd"/>
      <w:r>
        <w:rPr>
          <w:rFonts w:hint="cs"/>
          <w:rtl/>
          <w:lang w:bidi="fa-IR"/>
        </w:rPr>
        <w:t>، اثر نگارنده، ص 85- 126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C72A2B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6C14B4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6C14B4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C72A2B">
      <w:rPr>
        <w:rFonts w:ascii="Tahoma" w:hAnsi="Tahoma" w:cs="Traditional Arabic" w:hint="cs"/>
        <w:sz w:val="28"/>
        <w:szCs w:val="28"/>
        <w:rtl/>
        <w:lang w:bidi="fa-IR"/>
      </w:rPr>
      <w:t>6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15A33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1AD2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55DF3"/>
    <w:rsid w:val="00261FC1"/>
    <w:rsid w:val="002629CF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3AB7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A7570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940A1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4B4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38D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0993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2A2B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1240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08CC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97D3E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73539CC-33F3-41FF-B52F-6DB7C157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2020-11-16T15:09:00Z</dcterms:created>
  <dcterms:modified xsi:type="dcterms:W3CDTF">2020-11-16T16:24:00Z</dcterms:modified>
</cp:coreProperties>
</file>