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162B2C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62B2C">
        <w:rPr>
          <w:rFonts w:ascii="Traditional Arabic" w:hAnsi="Traditional Arabic" w:cs="Traditional Arabic" w:hint="cs"/>
          <w:sz w:val="28"/>
          <w:szCs w:val="28"/>
          <w:rtl/>
        </w:rPr>
        <w:t>ملاک حقیقت و صدق</w:t>
      </w:r>
    </w:p>
    <w:p w:rsidR="00875020" w:rsidRPr="00875020" w:rsidRDefault="00712969" w:rsidP="00712969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چیستی نفس الامر</w:t>
      </w:r>
    </w:p>
    <w:p w:rsidR="00763E38" w:rsidRDefault="006F268A" w:rsidP="009E6E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یکی از مباحثی که در بحث حقیقت </w:t>
      </w:r>
      <w:r w:rsidR="00763E38">
        <w:rPr>
          <w:rFonts w:ascii="Tahoma" w:hAnsi="Tahoma" w:cs="B Mitra" w:hint="cs"/>
          <w:sz w:val="28"/>
          <w:szCs w:val="28"/>
          <w:rtl/>
          <w:lang w:bidi="fa-IR"/>
        </w:rPr>
        <w:t xml:space="preserve">باید مورد بررسی قرار گیرد نسبت حقیقت و نفس </w:t>
      </w:r>
      <w:proofErr w:type="spellStart"/>
      <w:r w:rsidR="00763E38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763E38">
        <w:rPr>
          <w:rFonts w:ascii="Tahoma" w:hAnsi="Tahoma" w:cs="B Mitra" w:hint="cs"/>
          <w:sz w:val="28"/>
          <w:szCs w:val="28"/>
          <w:rtl/>
          <w:lang w:bidi="fa-IR"/>
        </w:rPr>
        <w:t xml:space="preserve"> است. گفته شد حقیقت به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معنای </w:t>
      </w:r>
      <w:r w:rsidR="00763E38">
        <w:rPr>
          <w:rFonts w:ascii="Tahoma" w:hAnsi="Tahoma" w:cs="B Mitra" w:hint="cs"/>
          <w:sz w:val="28"/>
          <w:szCs w:val="28"/>
          <w:rtl/>
          <w:lang w:bidi="fa-IR"/>
        </w:rPr>
        <w:t xml:space="preserve">مطابقت ادراک و حکم ذهنی با واقعیت عینی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می باشد. </w:t>
      </w:r>
      <w:r w:rsidR="00763E38">
        <w:rPr>
          <w:rFonts w:ascii="Tahoma" w:hAnsi="Tahoma" w:cs="B Mitra" w:hint="cs"/>
          <w:sz w:val="28"/>
          <w:szCs w:val="28"/>
          <w:rtl/>
          <w:lang w:bidi="fa-IR"/>
        </w:rPr>
        <w:t xml:space="preserve">معمولا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تعریف </w:t>
      </w:r>
      <w:r w:rsidR="00763E38">
        <w:rPr>
          <w:rFonts w:ascii="Tahoma" w:hAnsi="Tahoma" w:cs="B Mitra" w:hint="cs"/>
          <w:sz w:val="28"/>
          <w:szCs w:val="28"/>
          <w:rtl/>
          <w:lang w:bidi="fa-IR"/>
        </w:rPr>
        <w:t xml:space="preserve">بعد از واژه واقعیت و یا به جای آن از واژه نفس </w:t>
      </w:r>
      <w:proofErr w:type="spellStart"/>
      <w:r w:rsidR="00763E38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763E38">
        <w:rPr>
          <w:rFonts w:ascii="Tahoma" w:hAnsi="Tahoma" w:cs="B Mitra" w:hint="cs"/>
          <w:sz w:val="28"/>
          <w:szCs w:val="28"/>
          <w:rtl/>
          <w:lang w:bidi="fa-IR"/>
        </w:rPr>
        <w:t xml:space="preserve"> استفاده می شود. اما نفس </w:t>
      </w:r>
      <w:proofErr w:type="spellStart"/>
      <w:r w:rsidR="00763E38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763E38">
        <w:rPr>
          <w:rFonts w:ascii="Tahoma" w:hAnsi="Tahoma" w:cs="B Mitra" w:hint="cs"/>
          <w:sz w:val="28"/>
          <w:szCs w:val="28"/>
          <w:rtl/>
          <w:lang w:bidi="fa-IR"/>
        </w:rPr>
        <w:t xml:space="preserve"> چیست؟ در باره نفس </w:t>
      </w:r>
      <w:proofErr w:type="spellStart"/>
      <w:r w:rsidR="00763E38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763E38">
        <w:rPr>
          <w:rFonts w:ascii="Tahoma" w:hAnsi="Tahoma" w:cs="B Mitra" w:hint="cs"/>
          <w:sz w:val="28"/>
          <w:szCs w:val="28"/>
          <w:rtl/>
          <w:lang w:bidi="fa-IR"/>
        </w:rPr>
        <w:t xml:space="preserve"> در منابع اسلامی کاربردهای مختلفی بیان شده است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 که از این قرار است</w:t>
      </w:r>
      <w:r w:rsidR="00763E38">
        <w:rPr>
          <w:rFonts w:ascii="Tahoma" w:hAnsi="Tahoma" w:cs="B Mitra" w:hint="cs"/>
          <w:sz w:val="28"/>
          <w:szCs w:val="28"/>
          <w:rtl/>
          <w:lang w:bidi="fa-IR"/>
        </w:rPr>
        <w:t>:</w:t>
      </w:r>
    </w:p>
    <w:p w:rsidR="00712969" w:rsidRPr="00712969" w:rsidRDefault="00712969" w:rsidP="009E6E0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1296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دیدگاه اول</w:t>
      </w:r>
    </w:p>
    <w:p w:rsidR="00763E38" w:rsidRPr="006F268A" w:rsidRDefault="00763E38" w:rsidP="009E6E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خواجه نصیر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طوسی،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به عقل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مفارق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تفسیر 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، به این معنا که اگر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صورت های ذهنی با صورت های علمی در عقل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مفارق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مطابقت داشته باشد، حقیقت و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صدق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اگر مطابقت نداشته باشد، خطا و کذب خواهد بود. این مطلب را علامه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حلی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کتاب «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نهایه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المرام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فی علم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الکلام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از مرحوم خواجه نقل کرده است.</w:t>
      </w:r>
    </w:p>
    <w:p w:rsidR="00197D65" w:rsidRPr="006F268A" w:rsidRDefault="00763E38" w:rsidP="009E6E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تفسیر صحیح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باشد و مرحوم علامه نیز دو اشکال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بر 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وارد دانسته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اول اینکه از نظر فلاسفه علم عقل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مفارق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مربوط به کلیات است نه جزئیات. جزئیات عالم طبیعت 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نفوس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یا عالم مثال است. مثلا این قضیه که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>زید انسان است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یک ادراک جزئی است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توان برای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فهم </w:t>
      </w:r>
      <w:r>
        <w:rPr>
          <w:rFonts w:ascii="Tahoma" w:hAnsi="Tahoma" w:cs="B Mitra" w:hint="cs"/>
          <w:sz w:val="28"/>
          <w:szCs w:val="28"/>
          <w:rtl/>
          <w:lang w:bidi="fa-IR"/>
        </w:rPr>
        <w:t>صدق و کذب آن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 عقل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مفارق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آن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مقایسه کرد. اشکال دوم این است که این تعریف شامل صورت های علمی موجود در عقل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مفارق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شود (</w:t>
      </w:r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بنابر این مبنا که برای عقول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مفارق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صور علمی قائل باشیم). علامه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حلی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می فرماید: «لا تکون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شامله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للقضایا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الجزئیه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کقولنا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زید انسان.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اذ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لا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یجوز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ارتسام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الجزئیات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 xml:space="preserve"> فی </w:t>
      </w:r>
      <w:proofErr w:type="spellStart"/>
      <w:r w:rsidR="00A74031">
        <w:rPr>
          <w:rFonts w:ascii="Tahoma" w:hAnsi="Tahoma" w:cs="B Mitra" w:hint="cs"/>
          <w:sz w:val="28"/>
          <w:szCs w:val="28"/>
          <w:rtl/>
          <w:lang w:bidi="fa-IR"/>
        </w:rPr>
        <w:t>العق</w:t>
      </w:r>
      <w:r w:rsidR="00822668">
        <w:rPr>
          <w:rFonts w:ascii="Tahoma" w:hAnsi="Tahoma" w:cs="B Mitra" w:hint="cs"/>
          <w:sz w:val="28"/>
          <w:szCs w:val="28"/>
          <w:rtl/>
          <w:lang w:bidi="fa-IR"/>
        </w:rPr>
        <w:t>ول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المفارقه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عند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الحکماء</w:t>
      </w:r>
      <w:proofErr w:type="spellEnd"/>
      <w:r w:rsidR="00A74031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و درباره اشکال دوم گفته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لاتکون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شامله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لنفس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تلک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الصور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اذ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صدقها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ایضا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بمطابقتها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لنفس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822668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این اشکال را علامه طباطبایی نیز بیان کرده </w:t>
      </w:r>
      <w:proofErr w:type="spellStart"/>
      <w:r w:rsidR="0082266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822668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822668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82266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712969" w:rsidRPr="00712969" w:rsidRDefault="00712969" w:rsidP="009E6E0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1296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دیدگاه دوم</w:t>
      </w:r>
    </w:p>
    <w:p w:rsidR="00822668" w:rsidRDefault="00822668" w:rsidP="009E6E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در کتاب «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التعریفات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 سید شریف جرجانی درباره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گفته است: «نفس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عباره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الذاتی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الحاوی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لصور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الاشیاء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کلها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کلیاتها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جزئیاتها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صغیرها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کبیرها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جمله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تفصیلا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عینیه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کانت او علمیه»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عبارت است از علم ذاتی که مشتمل است بر صور همه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اشیاء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اعم از کلیات و جزئیات، کوچک و بزرگ، کلی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تفصیلی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این تعریف، بر علم ذاتی خداوند به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اشیاء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منطبق است.</w:t>
      </w:r>
    </w:p>
    <w:p w:rsidR="00197D65" w:rsidRDefault="00822668" w:rsidP="009E6E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دو اشکالی که بر نظریه اول وارد شده بر این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کاربرد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وارد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شود</w:t>
      </w:r>
      <w:r w:rsidR="00345843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این مطلب مطرح می شود که </w:t>
      </w:r>
      <w:r w:rsidR="00345843">
        <w:rPr>
          <w:rFonts w:ascii="Tahoma" w:hAnsi="Tahoma" w:cs="B Mitra" w:hint="cs"/>
          <w:sz w:val="28"/>
          <w:szCs w:val="28"/>
          <w:rtl/>
          <w:lang w:bidi="fa-IR"/>
        </w:rPr>
        <w:t xml:space="preserve">در این کاربرد ابتدا باید به وجود خداوند و اینکه او علم ذاتی به همه </w:t>
      </w:r>
      <w:proofErr w:type="spellStart"/>
      <w:r w:rsidR="00345843">
        <w:rPr>
          <w:rFonts w:ascii="Tahoma" w:hAnsi="Tahoma" w:cs="B Mitra" w:hint="cs"/>
          <w:sz w:val="28"/>
          <w:szCs w:val="28"/>
          <w:rtl/>
          <w:lang w:bidi="fa-IR"/>
        </w:rPr>
        <w:t>اشیاء</w:t>
      </w:r>
      <w:proofErr w:type="spellEnd"/>
      <w:r w:rsidR="00345843">
        <w:rPr>
          <w:rFonts w:ascii="Tahoma" w:hAnsi="Tahoma" w:cs="B Mitra" w:hint="cs"/>
          <w:sz w:val="28"/>
          <w:szCs w:val="28"/>
          <w:rtl/>
          <w:lang w:bidi="fa-IR"/>
        </w:rPr>
        <w:t xml:space="preserve"> دارد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اعتقاد </w:t>
      </w:r>
      <w:r w:rsidR="00345843">
        <w:rPr>
          <w:rFonts w:ascii="Tahoma" w:hAnsi="Tahoma" w:cs="B Mitra" w:hint="cs"/>
          <w:sz w:val="28"/>
          <w:szCs w:val="28"/>
          <w:rtl/>
          <w:lang w:bidi="fa-IR"/>
        </w:rPr>
        <w:t xml:space="preserve">داشته باشیم. اکنون این سوال مطرح می شود که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مساله حقیقت و نفس </w:t>
      </w:r>
      <w:proofErr w:type="spellStart"/>
      <w:r w:rsidR="009E6E00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 به این معنا در مورد </w:t>
      </w:r>
      <w:r w:rsidR="00345843">
        <w:rPr>
          <w:rFonts w:ascii="Tahoma" w:hAnsi="Tahoma" w:cs="B Mitra" w:hint="cs"/>
          <w:sz w:val="28"/>
          <w:szCs w:val="28"/>
          <w:rtl/>
          <w:lang w:bidi="fa-IR"/>
        </w:rPr>
        <w:t xml:space="preserve">گزاره </w:t>
      </w:r>
      <w:proofErr w:type="spellStart"/>
      <w:r w:rsidR="00345843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="00345843">
        <w:rPr>
          <w:rFonts w:ascii="Tahoma" w:hAnsi="Tahoma" w:cs="B Mitra" w:hint="cs"/>
          <w:sz w:val="28"/>
          <w:szCs w:val="28"/>
          <w:rtl/>
          <w:lang w:bidi="fa-IR"/>
        </w:rPr>
        <w:t xml:space="preserve"> که برای اثبات وجود خداوند و علم ذاتی او استفاده می شود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 چگونه خواهد بود؟ </w:t>
      </w:r>
    </w:p>
    <w:p w:rsidR="00712969" w:rsidRPr="00712969" w:rsidRDefault="00712969" w:rsidP="009E6E0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1296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دیدگاه سوم</w:t>
      </w:r>
    </w:p>
    <w:p w:rsidR="00822668" w:rsidRDefault="00345843" w:rsidP="009E6E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علامه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حلی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تفسیر دیگری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به متعلق قضایا تعریف کرده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>ند</w:t>
      </w:r>
      <w:proofErr w:type="spellEnd"/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تعریف هم شامل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قضایایی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 شود که متعلق آنها ذهن است و هم شامل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قضایایی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 شود که متعلق آنها عالم خارج است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3556BE">
        <w:rPr>
          <w:rFonts w:ascii="Tahoma" w:hAnsi="Tahoma" w:cs="B Mitra" w:hint="cs"/>
          <w:sz w:val="28"/>
          <w:szCs w:val="28"/>
          <w:rtl/>
          <w:lang w:bidi="fa-IR"/>
        </w:rPr>
        <w:t xml:space="preserve">و هم شامل </w:t>
      </w:r>
      <w:proofErr w:type="spellStart"/>
      <w:r w:rsidR="003556BE">
        <w:rPr>
          <w:rFonts w:ascii="Tahoma" w:hAnsi="Tahoma" w:cs="B Mitra" w:hint="cs"/>
          <w:sz w:val="28"/>
          <w:szCs w:val="28"/>
          <w:rtl/>
          <w:lang w:bidi="fa-IR"/>
        </w:rPr>
        <w:t>قضایایی</w:t>
      </w:r>
      <w:proofErr w:type="spellEnd"/>
      <w:r w:rsidR="003556BE">
        <w:rPr>
          <w:rFonts w:ascii="Tahoma" w:hAnsi="Tahoma" w:cs="B Mitra" w:hint="cs"/>
          <w:sz w:val="28"/>
          <w:szCs w:val="28"/>
          <w:rtl/>
          <w:lang w:bidi="fa-IR"/>
        </w:rPr>
        <w:t xml:space="preserve"> می شود که متعلق آنها نه در ذهن و نه در خارج است مانند اینکه می گوییم شریک </w:t>
      </w:r>
      <w:proofErr w:type="spellStart"/>
      <w:r w:rsidR="003556BE">
        <w:rPr>
          <w:rFonts w:ascii="Tahoma" w:hAnsi="Tahoma" w:cs="B Mitra" w:hint="cs"/>
          <w:sz w:val="28"/>
          <w:szCs w:val="28"/>
          <w:rtl/>
          <w:lang w:bidi="fa-IR"/>
        </w:rPr>
        <w:t>الباری</w:t>
      </w:r>
      <w:proofErr w:type="spellEnd"/>
      <w:r w:rsidR="003556BE">
        <w:rPr>
          <w:rFonts w:ascii="Tahoma" w:hAnsi="Tahoma" w:cs="B Mitra" w:hint="cs"/>
          <w:sz w:val="28"/>
          <w:szCs w:val="28"/>
          <w:rtl/>
          <w:lang w:bidi="fa-IR"/>
        </w:rPr>
        <w:t xml:space="preserve"> ممتنع </w:t>
      </w:r>
      <w:proofErr w:type="spellStart"/>
      <w:r w:rsidR="003556BE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="003556BE">
        <w:rPr>
          <w:rFonts w:ascii="Tahoma" w:hAnsi="Tahoma" w:cs="B Mitra" w:hint="cs"/>
          <w:sz w:val="28"/>
          <w:szCs w:val="28"/>
          <w:rtl/>
          <w:lang w:bidi="fa-IR"/>
        </w:rPr>
        <w:t xml:space="preserve"> است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، و یا </w:t>
      </w:r>
      <w:r w:rsidR="003556BE">
        <w:rPr>
          <w:rFonts w:ascii="Tahoma" w:hAnsi="Tahoma" w:cs="B Mitra" w:hint="cs"/>
          <w:sz w:val="28"/>
          <w:szCs w:val="28"/>
          <w:rtl/>
          <w:lang w:bidi="fa-IR"/>
        </w:rPr>
        <w:t xml:space="preserve">می گوییم فردا خورشید از مغرب طلوع نخواهد کرد. </w:t>
      </w:r>
    </w:p>
    <w:p w:rsidR="003556BE" w:rsidRDefault="000249FC" w:rsidP="009E6E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مقصود از متعلق حکم نیز، حال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الشی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فی نفسه است. اگر موضوع و محمول قضیه هر دو در خارج باشند، شرط علم بودن چنین حکمی آن است که وصف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موصوف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هر دو در خارج باشد. مانند گرمی آتش . و اگر حکم ذهنی به سلب چیزی از چیزی در خارج از ذهن باشد مثلا خورشید از مغرب طلوع نخواهد کرد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شرط درست بودن آن این است 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مسلوب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عنه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حکم عالم خارج دارای ثبوت باشد. </w:t>
      </w:r>
      <w:r w:rsidR="00FD3F64">
        <w:rPr>
          <w:rFonts w:ascii="Tahoma" w:hAnsi="Tahoma" w:cs="B Mitra" w:hint="cs"/>
          <w:sz w:val="28"/>
          <w:szCs w:val="28"/>
          <w:rtl/>
          <w:lang w:bidi="fa-IR"/>
        </w:rPr>
        <w:t xml:space="preserve">طبق این کاربرد نفس </w:t>
      </w:r>
      <w:proofErr w:type="spellStart"/>
      <w:r w:rsidR="00FD3F64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FD3F64">
        <w:rPr>
          <w:rFonts w:ascii="Tahoma" w:hAnsi="Tahoma" w:cs="B Mitra" w:hint="cs"/>
          <w:sz w:val="28"/>
          <w:szCs w:val="28"/>
          <w:rtl/>
          <w:lang w:bidi="fa-IR"/>
        </w:rPr>
        <w:t xml:space="preserve"> اعم از واقعیت است.</w:t>
      </w:r>
      <w:r w:rsidR="00FD3F64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CB26C6" w:rsidRDefault="00FD3F64" w:rsidP="009E6E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در نقد ا</w:t>
      </w: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ین دیدگاه گفته می شود اگر چه احکام سلبی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امتناعی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(شریک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الباری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ممتنع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 و اینکه فردا خورشید از مغرب طلوع نخواهد کرد)</w:t>
      </w:r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واقعیت خارجی ندارد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اما ناظر به عالم خارج است و لذا قضیه </w:t>
      </w:r>
      <w:proofErr w:type="spellStart"/>
      <w:r w:rsidR="00CB26C6">
        <w:rPr>
          <w:rFonts w:ascii="Tahoma" w:hAnsi="Tahoma" w:cs="B Mitra" w:hint="cs"/>
          <w:sz w:val="28"/>
          <w:szCs w:val="28"/>
          <w:rtl/>
          <w:lang w:bidi="fa-IR"/>
        </w:rPr>
        <w:t>خارجیه</w:t>
      </w:r>
      <w:proofErr w:type="spellEnd"/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به شمار می آیند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قضیه ذهنی آن است که حکم آن ناظر به وجود ذهنی موضوع باشد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، مانند </w:t>
      </w:r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این قضیه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CB26C6">
        <w:rPr>
          <w:rFonts w:ascii="Tahoma" w:hAnsi="Tahoma" w:cs="B Mitra" w:hint="cs"/>
          <w:sz w:val="28"/>
          <w:szCs w:val="28"/>
          <w:rtl/>
          <w:lang w:bidi="fa-IR"/>
        </w:rPr>
        <w:t>«انسان نوع است»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. در مقابل </w:t>
      </w:r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قضیه خارجی به قضیه ای گفته می شود که حکم در آن ناظر به وجود خارجی موضوع باشد اعم از اینکه واجب </w:t>
      </w:r>
      <w:proofErr w:type="spellStart"/>
      <w:r w:rsidR="00CB26C6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باشد یا ممکن </w:t>
      </w:r>
      <w:proofErr w:type="spellStart"/>
      <w:r w:rsidR="00CB26C6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یا ممتنع </w:t>
      </w:r>
      <w:proofErr w:type="spellStart"/>
      <w:r w:rsidR="00CB26C6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 xml:space="preserve">مانند این حکم که </w:t>
      </w:r>
      <w:proofErr w:type="spellStart"/>
      <w:r w:rsidR="009E6E00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CB26C6">
        <w:rPr>
          <w:rFonts w:ascii="Tahoma" w:hAnsi="Tahoma" w:cs="B Mitra" w:hint="cs"/>
          <w:sz w:val="28"/>
          <w:szCs w:val="28"/>
          <w:rtl/>
          <w:lang w:bidi="fa-IR"/>
        </w:rPr>
        <w:t>ه</w:t>
      </w:r>
      <w:proofErr w:type="spellEnd"/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اجتماع </w:t>
      </w:r>
      <w:proofErr w:type="spellStart"/>
      <w:r w:rsidR="00CB26C6">
        <w:rPr>
          <w:rFonts w:ascii="Tahoma" w:hAnsi="Tahoma" w:cs="B Mitra" w:hint="cs"/>
          <w:sz w:val="28"/>
          <w:szCs w:val="28"/>
          <w:rtl/>
          <w:lang w:bidi="fa-IR"/>
        </w:rPr>
        <w:t>نقیضین</w:t>
      </w:r>
      <w:proofErr w:type="spellEnd"/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و ارتفاع </w:t>
      </w:r>
      <w:proofErr w:type="spellStart"/>
      <w:r w:rsidR="00CB26C6">
        <w:rPr>
          <w:rFonts w:ascii="Tahoma" w:hAnsi="Tahoma" w:cs="B Mitra" w:hint="cs"/>
          <w:sz w:val="28"/>
          <w:szCs w:val="28"/>
          <w:rtl/>
          <w:lang w:bidi="fa-IR"/>
        </w:rPr>
        <w:t>نقیضین</w:t>
      </w:r>
      <w:proofErr w:type="spellEnd"/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محال است. این حکام ناظر به وجود خارجی است نه مصداق ذهنی</w:t>
      </w:r>
      <w:r w:rsidR="009E6E0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26C6">
        <w:rPr>
          <w:rFonts w:ascii="Tahoma" w:hAnsi="Tahoma" w:cs="B Mitra" w:hint="cs"/>
          <w:sz w:val="28"/>
          <w:szCs w:val="28"/>
          <w:rtl/>
          <w:lang w:bidi="fa-IR"/>
        </w:rPr>
        <w:t xml:space="preserve"> زیرا مصداق ذهنی آن، مصداق علمی آن نیست.</w:t>
      </w:r>
    </w:p>
    <w:p w:rsidR="00EF07B4" w:rsidRDefault="00CB26C6" w:rsidP="00E75BE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 توجه به آنچه گفته شد معلوم می شود که سخن مرحوم سبزواری و مرحوم مظفر 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قضایا</w:t>
      </w:r>
      <w:r w:rsidR="00EF43C8">
        <w:rPr>
          <w:rFonts w:ascii="Tahoma" w:hAnsi="Tahoma" w:cs="B Mitra" w:hint="cs"/>
          <w:sz w:val="28"/>
          <w:szCs w:val="28"/>
          <w:rtl/>
          <w:lang w:bidi="fa-IR"/>
        </w:rPr>
        <w:t>یی</w:t>
      </w:r>
      <w:proofErr w:type="spellEnd"/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 مانند </w:t>
      </w:r>
      <w:r w:rsidR="00E75BE1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کل اجتماع </w:t>
      </w:r>
      <w:proofErr w:type="spellStart"/>
      <w:r w:rsidR="00EF43C8">
        <w:rPr>
          <w:rFonts w:ascii="Tahoma" w:hAnsi="Tahoma" w:cs="B Mitra" w:hint="cs"/>
          <w:sz w:val="28"/>
          <w:szCs w:val="28"/>
          <w:rtl/>
          <w:lang w:bidi="fa-IR"/>
        </w:rPr>
        <w:t>نقیضین</w:t>
      </w:r>
      <w:proofErr w:type="spellEnd"/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 م</w:t>
      </w:r>
      <w:r w:rsidR="00E75BE1">
        <w:rPr>
          <w:rFonts w:ascii="Tahoma" w:hAnsi="Tahoma" w:cs="B Mitra" w:hint="cs"/>
          <w:sz w:val="28"/>
          <w:szCs w:val="28"/>
          <w:rtl/>
          <w:lang w:bidi="fa-IR"/>
        </w:rPr>
        <w:t>غ</w:t>
      </w:r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ایر </w:t>
      </w:r>
      <w:proofErr w:type="spellStart"/>
      <w:r w:rsidR="00EF43C8">
        <w:rPr>
          <w:rFonts w:ascii="Tahoma" w:hAnsi="Tahoma" w:cs="B Mitra" w:hint="cs"/>
          <w:sz w:val="28"/>
          <w:szCs w:val="28"/>
          <w:rtl/>
          <w:lang w:bidi="fa-IR"/>
        </w:rPr>
        <w:t>لاجتماع</w:t>
      </w:r>
      <w:proofErr w:type="spellEnd"/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EF43C8">
        <w:rPr>
          <w:rFonts w:ascii="Tahoma" w:hAnsi="Tahoma" w:cs="B Mitra" w:hint="cs"/>
          <w:sz w:val="28"/>
          <w:szCs w:val="28"/>
          <w:rtl/>
          <w:lang w:bidi="fa-IR"/>
        </w:rPr>
        <w:t>مثلین</w:t>
      </w:r>
      <w:proofErr w:type="spellEnd"/>
      <w:r w:rsidR="00E75BE1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 و قضیه </w:t>
      </w:r>
      <w:r w:rsidR="00E75BE1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جبل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یاقوت</w:t>
      </w:r>
      <w:r w:rsidR="00E75BE1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، را به عنوان دو قضیه ذهنی دانسته </w:t>
      </w:r>
      <w:proofErr w:type="spellStart"/>
      <w:r w:rsidR="00EF43C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EF43C8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5"/>
      </w:r>
      <w:r w:rsidR="00E75BE1">
        <w:rPr>
          <w:rFonts w:ascii="Tahoma" w:hAnsi="Tahoma" w:cs="B Mitra" w:hint="cs"/>
          <w:sz w:val="28"/>
          <w:szCs w:val="28"/>
          <w:rtl/>
          <w:lang w:bidi="fa-IR"/>
        </w:rPr>
        <w:t xml:space="preserve"> نادرست است. </w:t>
      </w:r>
      <w:r w:rsidR="00EF07B4">
        <w:rPr>
          <w:rFonts w:ascii="Tahoma" w:hAnsi="Tahoma" w:cs="B Mitra" w:hint="cs"/>
          <w:sz w:val="28"/>
          <w:szCs w:val="28"/>
          <w:rtl/>
          <w:lang w:bidi="fa-IR"/>
        </w:rPr>
        <w:t xml:space="preserve">همچنین </w:t>
      </w:r>
      <w:r w:rsidR="00E75BE1">
        <w:rPr>
          <w:rFonts w:ascii="Tahoma" w:hAnsi="Tahoma" w:cs="B Mitra" w:hint="cs"/>
          <w:sz w:val="28"/>
          <w:szCs w:val="28"/>
          <w:rtl/>
          <w:lang w:bidi="fa-IR"/>
        </w:rPr>
        <w:t xml:space="preserve">کلام </w:t>
      </w:r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ملا عبدالله یزدی </w:t>
      </w:r>
      <w:r w:rsidR="00E75BE1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قضیه شریک </w:t>
      </w:r>
      <w:proofErr w:type="spellStart"/>
      <w:r w:rsidR="00EF43C8">
        <w:rPr>
          <w:rFonts w:ascii="Tahoma" w:hAnsi="Tahoma" w:cs="B Mitra" w:hint="cs"/>
          <w:sz w:val="28"/>
          <w:szCs w:val="28"/>
          <w:rtl/>
          <w:lang w:bidi="fa-IR"/>
        </w:rPr>
        <w:t>الباری</w:t>
      </w:r>
      <w:proofErr w:type="spellEnd"/>
      <w:r w:rsidR="00EF43C8">
        <w:rPr>
          <w:rFonts w:ascii="Tahoma" w:hAnsi="Tahoma" w:cs="B Mitra" w:hint="cs"/>
          <w:sz w:val="28"/>
          <w:szCs w:val="28"/>
          <w:rtl/>
          <w:lang w:bidi="fa-IR"/>
        </w:rPr>
        <w:t xml:space="preserve"> ممتنع را به عنوان مثالی برای قضیه ذهنی نام برده</w:t>
      </w:r>
      <w:r w:rsidR="00EF07B4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6"/>
      </w:r>
      <w:r w:rsidR="00EF07B4">
        <w:rPr>
          <w:rFonts w:ascii="Tahoma" w:hAnsi="Tahoma" w:cs="B Mitra" w:hint="cs"/>
          <w:sz w:val="28"/>
          <w:szCs w:val="28"/>
          <w:rtl/>
          <w:lang w:bidi="fa-IR"/>
        </w:rPr>
        <w:t xml:space="preserve"> درست نیست. اینها </w:t>
      </w:r>
      <w:proofErr w:type="spellStart"/>
      <w:r w:rsidR="00EF07B4">
        <w:rPr>
          <w:rFonts w:ascii="Tahoma" w:hAnsi="Tahoma" w:cs="B Mitra" w:hint="cs"/>
          <w:sz w:val="28"/>
          <w:szCs w:val="28"/>
          <w:rtl/>
          <w:lang w:bidi="fa-IR"/>
        </w:rPr>
        <w:t>قض</w:t>
      </w:r>
      <w:r w:rsidR="00E75BE1">
        <w:rPr>
          <w:rFonts w:ascii="Tahoma" w:hAnsi="Tahoma" w:cs="B Mitra" w:hint="cs"/>
          <w:sz w:val="28"/>
          <w:szCs w:val="28"/>
          <w:rtl/>
          <w:lang w:bidi="fa-IR"/>
        </w:rPr>
        <w:t>ایای</w:t>
      </w:r>
      <w:proofErr w:type="spellEnd"/>
      <w:r w:rsidR="00E75BE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EF07B4">
        <w:rPr>
          <w:rFonts w:ascii="Tahoma" w:hAnsi="Tahoma" w:cs="B Mitra" w:hint="cs"/>
          <w:sz w:val="28"/>
          <w:szCs w:val="28"/>
          <w:rtl/>
          <w:lang w:bidi="fa-IR"/>
        </w:rPr>
        <w:t>خارجیه</w:t>
      </w:r>
      <w:proofErr w:type="spellEnd"/>
      <w:r w:rsidR="00EF07B4">
        <w:rPr>
          <w:rFonts w:ascii="Tahoma" w:hAnsi="Tahoma" w:cs="B Mitra" w:hint="cs"/>
          <w:sz w:val="28"/>
          <w:szCs w:val="28"/>
          <w:rtl/>
          <w:lang w:bidi="fa-IR"/>
        </w:rPr>
        <w:t xml:space="preserve"> هستند زیرا حکم آن ها مربوط به قضیه خارجی بوده است.</w:t>
      </w:r>
    </w:p>
    <w:p w:rsidR="000249FC" w:rsidRDefault="00EF07B4" w:rsidP="0034584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 الله در جلسه آینده بیان خواهد شد.  </w:t>
      </w:r>
    </w:p>
    <w:p w:rsidR="00822668" w:rsidRPr="006F268A" w:rsidRDefault="00822668" w:rsidP="006E28A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1B9" w:rsidRDefault="008431B9" w:rsidP="00BC6EBB">
      <w:pPr>
        <w:spacing w:after="0" w:line="240" w:lineRule="auto"/>
      </w:pPr>
      <w:r>
        <w:separator/>
      </w:r>
    </w:p>
  </w:endnote>
  <w:endnote w:type="continuationSeparator" w:id="0">
    <w:p w:rsidR="008431B9" w:rsidRDefault="008431B9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1B9" w:rsidRDefault="008431B9" w:rsidP="00BC6EBB">
      <w:pPr>
        <w:spacing w:after="0" w:line="240" w:lineRule="auto"/>
      </w:pPr>
      <w:r>
        <w:separator/>
      </w:r>
    </w:p>
  </w:footnote>
  <w:footnote w:type="continuationSeparator" w:id="0">
    <w:p w:rsidR="008431B9" w:rsidRDefault="008431B9" w:rsidP="00BC6EBB">
      <w:pPr>
        <w:spacing w:after="0" w:line="240" w:lineRule="auto"/>
      </w:pPr>
      <w:r>
        <w:continuationSeparator/>
      </w:r>
    </w:p>
  </w:footnote>
  <w:footnote w:id="1">
    <w:p w:rsidR="00822668" w:rsidRDefault="00822668" w:rsidP="0082266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نهایه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المرام</w:t>
      </w:r>
      <w:proofErr w:type="spellEnd"/>
      <w:r>
        <w:rPr>
          <w:rFonts w:hint="cs"/>
          <w:rtl/>
          <w:lang w:bidi="fa-IR"/>
        </w:rPr>
        <w:t>، ج2، ص 236</w:t>
      </w:r>
    </w:p>
  </w:footnote>
  <w:footnote w:id="2">
    <w:p w:rsidR="00822668" w:rsidRDefault="00822668" w:rsidP="00822668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بدایه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الحکمه</w:t>
      </w:r>
      <w:proofErr w:type="spellEnd"/>
      <w:r>
        <w:rPr>
          <w:rFonts w:hint="cs"/>
          <w:rtl/>
          <w:lang w:bidi="fa-IR"/>
        </w:rPr>
        <w:t xml:space="preserve">، علامه طباطبایی، مرحله اول، فصل هشتم ؛ </w:t>
      </w:r>
      <w:proofErr w:type="spellStart"/>
      <w:r>
        <w:rPr>
          <w:rFonts w:hint="cs"/>
          <w:rtl/>
          <w:lang w:bidi="fa-IR"/>
        </w:rPr>
        <w:t>نهایه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الحکمه</w:t>
      </w:r>
      <w:proofErr w:type="spellEnd"/>
      <w:r>
        <w:rPr>
          <w:rFonts w:hint="cs"/>
          <w:rtl/>
          <w:lang w:bidi="fa-IR"/>
        </w:rPr>
        <w:t xml:space="preserve">، مرحله اول، فصل دوم </w:t>
      </w:r>
    </w:p>
  </w:footnote>
  <w:footnote w:id="3">
    <w:p w:rsidR="00822668" w:rsidRDefault="0082266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التعریفات</w:t>
      </w:r>
      <w:proofErr w:type="spellEnd"/>
      <w:r>
        <w:rPr>
          <w:rFonts w:hint="cs"/>
          <w:rtl/>
          <w:lang w:bidi="fa-IR"/>
        </w:rPr>
        <w:t>، جرجانی، ص 169</w:t>
      </w:r>
    </w:p>
  </w:footnote>
  <w:footnote w:id="4">
    <w:p w:rsidR="00FD3F64" w:rsidRDefault="00FD3F6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نهایه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المرام</w:t>
      </w:r>
      <w:proofErr w:type="spellEnd"/>
      <w:r>
        <w:rPr>
          <w:rFonts w:hint="cs"/>
          <w:rtl/>
          <w:lang w:bidi="fa-IR"/>
        </w:rPr>
        <w:t xml:space="preserve">، علامه </w:t>
      </w:r>
      <w:proofErr w:type="spellStart"/>
      <w:r>
        <w:rPr>
          <w:rFonts w:hint="cs"/>
          <w:rtl/>
          <w:lang w:bidi="fa-IR"/>
        </w:rPr>
        <w:t>حلی</w:t>
      </w:r>
      <w:proofErr w:type="spellEnd"/>
      <w:r>
        <w:rPr>
          <w:rFonts w:hint="cs"/>
          <w:rtl/>
          <w:lang w:bidi="fa-IR"/>
        </w:rPr>
        <w:t>، ج2، ص 235- 236</w:t>
      </w:r>
    </w:p>
  </w:footnote>
  <w:footnote w:id="5">
    <w:p w:rsidR="00EF43C8" w:rsidRDefault="00EF43C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منظومه، بحث منطق، فی بعض احکام، </w:t>
      </w:r>
      <w:proofErr w:type="spellStart"/>
      <w:r>
        <w:rPr>
          <w:rFonts w:hint="cs"/>
          <w:rtl/>
          <w:lang w:bidi="fa-IR"/>
        </w:rPr>
        <w:t>القضایا</w:t>
      </w:r>
      <w:proofErr w:type="spellEnd"/>
      <w:r>
        <w:rPr>
          <w:rFonts w:hint="cs"/>
          <w:rtl/>
          <w:lang w:bidi="fa-IR"/>
        </w:rPr>
        <w:t xml:space="preserve"> ؛ </w:t>
      </w:r>
      <w:proofErr w:type="spellStart"/>
      <w:r>
        <w:rPr>
          <w:rFonts w:hint="cs"/>
          <w:rtl/>
          <w:lang w:bidi="fa-IR"/>
        </w:rPr>
        <w:t>المنطق</w:t>
      </w:r>
      <w:proofErr w:type="spellEnd"/>
      <w:r>
        <w:rPr>
          <w:rFonts w:hint="cs"/>
          <w:rtl/>
          <w:lang w:bidi="fa-IR"/>
        </w:rPr>
        <w:t xml:space="preserve">، مرحوم مظفر، ج3، </w:t>
      </w:r>
      <w:proofErr w:type="spellStart"/>
      <w:r>
        <w:rPr>
          <w:rFonts w:hint="cs"/>
          <w:rtl/>
          <w:lang w:bidi="fa-IR"/>
        </w:rPr>
        <w:t>تقسییمات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الحملیه</w:t>
      </w:r>
      <w:proofErr w:type="spellEnd"/>
    </w:p>
  </w:footnote>
  <w:footnote w:id="6">
    <w:p w:rsidR="00EF07B4" w:rsidRDefault="00EF07B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الحاشیه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ملاعبدالله</w:t>
      </w:r>
      <w:proofErr w:type="spellEnd"/>
      <w:r>
        <w:rPr>
          <w:rFonts w:hint="cs"/>
          <w:rtl/>
          <w:lang w:bidi="fa-IR"/>
        </w:rPr>
        <w:t xml:space="preserve"> یزدی، ص 73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B72117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B72117">
      <w:rPr>
        <w:rFonts w:ascii="Tahoma" w:hAnsi="Tahoma" w:cs="Traditional Arabic" w:hint="cs"/>
        <w:sz w:val="28"/>
        <w:szCs w:val="28"/>
        <w:rtl/>
        <w:lang w:bidi="fa-IR"/>
      </w:rPr>
      <w:t>06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197D65">
      <w:rPr>
        <w:rFonts w:ascii="Tahoma" w:hAnsi="Tahoma" w:cs="Traditional Arabic" w:hint="cs"/>
        <w:sz w:val="28"/>
        <w:szCs w:val="28"/>
        <w:rtl/>
        <w:lang w:bidi="fa-IR"/>
      </w:rPr>
      <w:t>10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9FC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1F4DEE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5843"/>
    <w:rsid w:val="00346C60"/>
    <w:rsid w:val="003470DA"/>
    <w:rsid w:val="00350250"/>
    <w:rsid w:val="00351AC8"/>
    <w:rsid w:val="003556BE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268A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969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3E38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68"/>
    <w:rsid w:val="008226B2"/>
    <w:rsid w:val="008245C4"/>
    <w:rsid w:val="00826E19"/>
    <w:rsid w:val="00830D3D"/>
    <w:rsid w:val="00830DE6"/>
    <w:rsid w:val="008341BF"/>
    <w:rsid w:val="00837161"/>
    <w:rsid w:val="00841B70"/>
    <w:rsid w:val="008431B9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5F3E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E6E00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4031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4926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2117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B26C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BE1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07B4"/>
    <w:rsid w:val="00EF1E15"/>
    <w:rsid w:val="00EF43C8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2C56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3F64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1158E8D-349C-4FE0-A86C-A335B68F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13</cp:revision>
  <dcterms:created xsi:type="dcterms:W3CDTF">2020-12-27T16:00:00Z</dcterms:created>
  <dcterms:modified xsi:type="dcterms:W3CDTF">2020-12-27T20:52:00Z</dcterms:modified>
</cp:coreProperties>
</file>