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7" w:rsidRPr="005C4FF2" w:rsidRDefault="002D1F77" w:rsidP="000F794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0F794A">
        <w:rPr>
          <w:rFonts w:ascii="Traditional Arabic" w:hAnsi="Traditional Arabic" w:cs="Traditional Arabic" w:hint="cs"/>
          <w:sz w:val="28"/>
          <w:szCs w:val="28"/>
          <w:rtl/>
        </w:rPr>
        <w:t xml:space="preserve">علم حضوری و علم </w:t>
      </w:r>
      <w:proofErr w:type="spellStart"/>
      <w:r w:rsidR="000F794A">
        <w:rPr>
          <w:rFonts w:ascii="Traditional Arabic" w:hAnsi="Traditional Arabic" w:cs="Traditional Arabic" w:hint="cs"/>
          <w:sz w:val="28"/>
          <w:szCs w:val="28"/>
          <w:rtl/>
        </w:rPr>
        <w:t>حصولی</w:t>
      </w:r>
      <w:proofErr w:type="spellEnd"/>
      <w:r w:rsidR="002B584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75020" w:rsidRPr="00875020" w:rsidRDefault="00DB2536" w:rsidP="00647CE3">
      <w:pPr>
        <w:spacing w:after="120"/>
        <w:jc w:val="both"/>
        <w:rPr>
          <w:rFonts w:ascii="IRBadr" w:hAnsi="IRBadr" w:cs="B Mitra"/>
          <w:color w:val="FF0000"/>
          <w:sz w:val="28"/>
          <w:szCs w:val="28"/>
          <w:rtl/>
        </w:rPr>
      </w:pPr>
      <w:r>
        <w:rPr>
          <w:rFonts w:ascii="IRBadr" w:hAnsi="IRBadr" w:cs="B Mitra" w:hint="cs"/>
          <w:color w:val="FF0000"/>
          <w:sz w:val="28"/>
          <w:szCs w:val="28"/>
          <w:rtl/>
        </w:rPr>
        <w:t>دیدگاه تجربه گرایان در مورد اصول معرفت های تصدیقی</w:t>
      </w:r>
    </w:p>
    <w:p w:rsidR="000A732B" w:rsidRDefault="00BE2B6C" w:rsidP="000A73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بحث درباره دیدگاه تجربه گرایان درباره مبادی و اصول معرفت های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تصدیقی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بود. اینکه آیا آنان این اصول را ماقبل تجربی می دانند یا آنها را مابعد تجربی و برگرفته از حواس حسی می دانند. </w:t>
      </w:r>
    </w:p>
    <w:p w:rsidR="00BE2B6C" w:rsidRDefault="00BE2B6C" w:rsidP="00DB2536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جلسه قبل دیدگاه جان لاک که از فلاسفه پیش آهنگ تجربه گرایی در عصر جدید است نقد و بررسی شد و نتیجه این شد که وی درباره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تصورات معتقد است </w:t>
      </w:r>
      <w:r w:rsidR="00DB2536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تصورات ما قبل تجربی نداریم اما درباره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برخی از اصول عقلی را قبول کرده </w:t>
      </w:r>
      <w:r w:rsidR="00DB253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مخالف وی </w:t>
      </w:r>
      <w:r w:rsidR="00DB2536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باره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 فطری دانستن اصول و مبادی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تصدیقات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</w:t>
      </w:r>
      <w:r w:rsidR="00DB2536">
        <w:rPr>
          <w:rFonts w:ascii="Noor_Mitra" w:hAnsi="Noor_Mitra" w:cs="Noor_Mitra" w:hint="cs"/>
          <w:sz w:val="28"/>
          <w:szCs w:val="28"/>
          <w:rtl/>
          <w:lang w:bidi="fa-IR"/>
        </w:rPr>
        <w:t>.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(فطری بودن به این معنا که انسان در بدو تولد، واجد چنین معرفت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هایی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باشد).</w:t>
      </w:r>
    </w:p>
    <w:p w:rsidR="00CB1E57" w:rsidRDefault="00CB1E57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</w:p>
    <w:p w:rsidR="00CB1E57" w:rsidRPr="00CB1E57" w:rsidRDefault="00CB1E57" w:rsidP="000A732B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B1E57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دیدگاه دیوید </w:t>
      </w:r>
      <w:proofErr w:type="spellStart"/>
      <w:r w:rsidRPr="00CB1E57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هیوم</w:t>
      </w:r>
      <w:proofErr w:type="spellEnd"/>
      <w:r w:rsidRPr="00CB1E57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(م1711- 1776)</w:t>
      </w:r>
    </w:p>
    <w:p w:rsidR="00CB1E57" w:rsidRDefault="00DB2536" w:rsidP="00391C4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فلاسفه مطرح تجربه گرایی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اهل اسکاتلند است و در زمینه معرفت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کتابی با عنوان «پژوهش در باره فهم آدمی» نگاشته است.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او را از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فلاسفه سرسخت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 تجربه گرایی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دانند که به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هیچ اصل معرفتی ما قبل عقلی قائل نیست و لذا در حوزه مباحث خداشناسی به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شکاکیت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لاادری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گرایی گرایش پیدا کرده است. وی حتی اصل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به عنوان یک اصل عقلی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نپذ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>یر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فته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تلاش کرده بر اساس تجربه گرایی آن را تبیین کند و سرانجام هم به انکار اصل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عنوان یک واقعیت عینی قائل شده است. او این اصل را یک امر ذهنی و روانی می داند.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توضیح مطلب چنین است که وی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پذیرد که در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عنصر وابستگی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چیزی با چیز دیگر مطرح است و نیز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پذیرد که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رابطه ضروری میان علت و معلول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وجود دارد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سوال را مطرح می کند که </w:t>
      </w:r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آنجا که این وابستگی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</w:t>
      </w:r>
      <w:proofErr w:type="spellStart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CB1E57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 از طریق حس تجربه و مشاهده کرد ما از کجا به این رابطه پی برده ایم</w:t>
      </w:r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؟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در پاسخ </w:t>
      </w:r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>می گوید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آنچه ما از طریق مشاهده می یابیم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یکی </w:t>
      </w:r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تقارن و هم زمانی و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دیگری </w:t>
      </w:r>
      <w:proofErr w:type="spellStart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توالی دو پدیده است.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عنوان مثال </w:t>
      </w:r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وقتی سنگی به شیشه خورد و می </w:t>
      </w:r>
      <w:proofErr w:type="spellStart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>شکند</w:t>
      </w:r>
      <w:proofErr w:type="spellEnd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آنچه مورد مشاهده ما است همراهی این دو پدیده و </w:t>
      </w:r>
      <w:proofErr w:type="spellStart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 w:rsidR="004025E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آنها است. </w:t>
      </w:r>
      <w:r w:rsidR="005A0F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تکرار این امر باعث می شود در روان و ذهن ما یک حالت تداعی و عادت ذهنی ایجاد شود. این حالت دو </w:t>
      </w:r>
      <w:proofErr w:type="spellStart"/>
      <w:r w:rsidR="005A0FDE">
        <w:rPr>
          <w:rFonts w:ascii="Noor_Mitra" w:hAnsi="Noor_Mitra" w:cs="Noor_Mitra" w:hint="cs"/>
          <w:sz w:val="28"/>
          <w:szCs w:val="28"/>
          <w:rtl/>
          <w:lang w:bidi="fa-IR"/>
        </w:rPr>
        <w:t>مولفه</w:t>
      </w:r>
      <w:proofErr w:type="spellEnd"/>
      <w:r w:rsidR="005A0F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دارد: وابستگی شکسته شدن شیشه به خوردن سنگ و دیگری ضرورت و قطعیت. لذا وقتی کسی سنگ را پرتاب می کند و هنوز برخورد نکرده، ضرورت شکسته شدن شیشه را پیش بینی می کنیم. اما چون این وابستگی و ضرورت را </w:t>
      </w:r>
      <w:proofErr w:type="spellStart"/>
      <w:r w:rsidR="005A0FDE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 w:rsidR="005A0FDE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توانیم توسط حواسمان درک کنیم، این امر مربوط به دستگاه ذهن ما است و واقعیت خارجی ندارد. </w:t>
      </w:r>
    </w:p>
    <w:p w:rsidR="00C04780" w:rsidRDefault="00C04780" w:rsidP="00C0478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پل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فولکیه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باره می گوید: «مهمترین مفاهیم یعنی مفاهیمی که استدلال های ما بر مبنای آنها است یکی مفهوم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سببیت است که حصول عمل منطقی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استقرا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 دخالت ان ممکن نیست و دیگری مفهوم ضرورت وجه ثابت قیاس منطقی است اما پاسخ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به این پرسش که این مفاهیم از کجا برای ما حاصل می شود این است که از تداعی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نفسانیات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نظر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است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که مفهوم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برای ما از حس یا تجربه خاص حاصل نشده است زیرا آنچه برای ما از طریق تجربه حاصل می شود تقارن یا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امور در وجود است نه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مفعوم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علت و معلول و نسبت و علاقه ضروری میان آنها. به اعتقاد وی تقارب و تقارن مکرر در نفس، موجب حصول تداعی میان ادراکات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ارتسامی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متعاقب می گردد و از این تداعی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مدرکات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ما تمایل شدیدی حاصل می شود به این که حوادثی که منشا حصول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مدرکات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ارتسامی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متقارن یا متعاقب در وجود بوده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همواره با هم ادراک کنیم. بنابراین علاقه و پیوستگی امری مشهود در خود اشیا نیست بلکه امری مخصوص در نفس ما است. مفاهیم وجود و امتناع نیز به همین نحو حاصل شده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>. بنابراین ضرورت امری است موجود در اذهان و نه در اعیان، به عبارت دیگری امری است اعتباری و نه حقیقی».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</w:p>
    <w:p w:rsidR="00C04780" w:rsidRDefault="00C04780" w:rsidP="00C04780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همیلتون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نیز در کتاب معرفت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نظریه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در باب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بیان کرده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همچنین در کتاب کلیات فلسفه دیدگاه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بیان شده است.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</w:p>
    <w:p w:rsidR="005C0AFC" w:rsidRDefault="00C04780" w:rsidP="005C0AFC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حاصل سخن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باب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این است که تصور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اولا و تصدیق آن ثانیا نه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بدهیات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عقلی و نه حاصل تفکر </w:t>
      </w:r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استدلال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عقلی و نه مشاهده </w:t>
      </w:r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تجربه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حسی است</w:t>
      </w:r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بلکه </w:t>
      </w:r>
      <w:proofErr w:type="spellStart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>فرایندی</w:t>
      </w:r>
      <w:proofErr w:type="spellEnd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ذهنی و روانی است که پس از مشاهده تقارن و </w:t>
      </w:r>
      <w:proofErr w:type="spellStart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>تعاقب</w:t>
      </w:r>
      <w:proofErr w:type="spellEnd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حوادث به صورت یک عادت ذهنی در آمده است.</w:t>
      </w:r>
    </w:p>
    <w:p w:rsidR="005C0AFC" w:rsidRPr="00DB2536" w:rsidRDefault="005C0AFC" w:rsidP="005C0AFC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DB2536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ارزیابی</w:t>
      </w:r>
    </w:p>
    <w:p w:rsidR="00BE2B6C" w:rsidRDefault="006B5447" w:rsidP="00391C4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1. </w:t>
      </w:r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مطلب درستی که </w:t>
      </w:r>
      <w:proofErr w:type="spellStart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 این باره بیان کرده این است که رابطه </w:t>
      </w:r>
      <w:proofErr w:type="spellStart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یک رابطه حسی نیست که بتوان با دستگاه حسی آن را مشاهده کرد اما اینکه </w:t>
      </w:r>
      <w:proofErr w:type="spellStart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به عنوان یک واقعیت عینی انکار کرده و صرفا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 را </w:t>
      </w:r>
      <w:r w:rsidR="005C0AFC"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 عادت ذهنی می داند نادرست است 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منشا اشتباه وی نیز این است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مفاهیم اولیه و ماهوی مثل سفیدی و سیاهی و نرمی و شیرینی و مانند آن نیست که بتوان با قوای حسی آنها را ادراک کرد. همچنین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مفاهیم منطقی صرف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مانند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مفهوم قضیه، قیاس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مانند آن هم نیست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که نه واقعیت خارجی داشته باشند و نه منشا انتزاع خارجی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بلکه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مفاهیم ثان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>ویه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فلسفی است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این مفاهیم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درست است که ما بازاء خارجی ندارند اما منشا انتزاع آنها خارجی است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یعنی مثلا سنگ و شیشه 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واقع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 خصوصیت عینی دارند که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آن</w:t>
      </w:r>
      <w:r w:rsidR="00391C4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خصوصیت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انتزاع می شود. </w:t>
      </w:r>
    </w:p>
    <w:p w:rsidR="00BE2B6C" w:rsidRDefault="006B5447" w:rsidP="005740A4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2. ما از کجا به مفهوم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پی می بریم؟ آیا از طریق حواس ظاهری می خواهیم به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پی ببریم ؟ اگر مراد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انکار </w:t>
      </w:r>
      <w:proofErr w:type="spellStart"/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است درست است، زیرا مفهوم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از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معقولات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ماهوی نیست که قابل مشاهده 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حسی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باشد. اما 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اینگونه نیست آنچه درست است آن است که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به حس باطنی و علم حضوری و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شهودی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خود درک می کنیم.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سببیت به معنای وابستگی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ما نفس خود و افعال و حالت آن 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>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 شهود می کنیم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نیز این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حقیقت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حضورا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درک می کند که واقعیت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 xml:space="preserve">و هویت </w:t>
      </w:r>
      <w:r w:rsidR="005740A4">
        <w:rPr>
          <w:rFonts w:ascii="Noor_Mitra" w:hAnsi="Noor_Mitra" w:cs="Noor_Mitra" w:hint="cs"/>
          <w:sz w:val="28"/>
          <w:szCs w:val="28"/>
          <w:rtl/>
          <w:lang w:bidi="fa-IR"/>
        </w:rPr>
        <w:t>این افعال و حالات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عین وابستگی به نفس است. سپس نفس از این شهود و علم حضوری مفهوم گیری می کند و آن همان مفهوم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معلولیت است. </w:t>
      </w:r>
      <w:r w:rsidR="00B8220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سپس نوبت به تشخیص مصادیق آن در عالم واقعیت می رسد. </w:t>
      </w:r>
    </w:p>
    <w:p w:rsidR="00B8220F" w:rsidRDefault="00B8220F" w:rsidP="005A41A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3. ما نسبت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تصدیق می کنیم و به این حکم می رسیم که وقتی علت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تامه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محقق شد، معلول قطعا محقق می شود و از آن طرف </w:t>
      </w:r>
      <w:r w:rsidR="005A41A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دیگر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وقتی معلول محقق شده حکم می کنیم که قطعا علت محقق شده است. این امری عقلی و بدیهی است. </w:t>
      </w:r>
      <w:r w:rsidR="00CA65B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</w:t>
      </w:r>
      <w:r w:rsidR="005A41A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آنچه </w:t>
      </w:r>
      <w:r w:rsidR="00CA65B3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رابطه ضروری میان علت و معلول را درک می کند، عقل آدمی است. </w:t>
      </w:r>
    </w:p>
    <w:p w:rsidR="00CA65B3" w:rsidRDefault="00CA65B3" w:rsidP="005A41A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بنابراین روشن شد که دو مطلب در کلام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هیوم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درست و بقیه نادرست است. مطالب درست وی این است که اولا رابطه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معلولیت را خوب فهمیده است (رابطه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یعنی استناد و فقر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ضرورت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وجودی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میان دو پدیده). ثانیا رابطه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را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توان از طریق حس ظاهری و روش تجربی درک کنیم. اما انکار کرد</w:t>
      </w:r>
      <w:r w:rsidR="005A41A5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واقعیت عینی داشتن </w:t>
      </w:r>
      <w:proofErr w:type="spellStart"/>
      <w:r>
        <w:rPr>
          <w:rFonts w:ascii="Noor_Mitra" w:hAnsi="Noor_Mitra" w:cs="Noor_Mitra" w:hint="cs"/>
          <w:sz w:val="28"/>
          <w:szCs w:val="28"/>
          <w:rtl/>
          <w:lang w:bidi="fa-IR"/>
        </w:rPr>
        <w:t>علیت</w:t>
      </w:r>
      <w:proofErr w:type="spellEnd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و تفسیر آن به عادت ذهنی و تداعی ذهنی نادرست</w:t>
      </w:r>
      <w:bookmarkStart w:id="0" w:name="_GoBack"/>
      <w:bookmarkEnd w:id="0"/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است. </w:t>
      </w:r>
    </w:p>
    <w:p w:rsidR="00CA65B3" w:rsidRDefault="00CA65B3" w:rsidP="00CA65B3">
      <w:pPr>
        <w:jc w:val="both"/>
        <w:rPr>
          <w:rFonts w:ascii="Noor_Mitra" w:hAnsi="Noor_Mitra" w:cs="Noor_Mitra" w:hint="cs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انشاءالله در جلسات آینده بررسی خواهد شد.  </w:t>
      </w: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BA8" w:rsidRDefault="00950BA8" w:rsidP="00BC6EBB">
      <w:pPr>
        <w:spacing w:after="0" w:line="240" w:lineRule="auto"/>
      </w:pPr>
      <w:r>
        <w:separator/>
      </w:r>
    </w:p>
  </w:endnote>
  <w:endnote w:type="continuationSeparator" w:id="0">
    <w:p w:rsidR="00950BA8" w:rsidRDefault="00950BA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Bad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BA8" w:rsidRDefault="00950BA8" w:rsidP="00BC6EBB">
      <w:pPr>
        <w:spacing w:after="0" w:line="240" w:lineRule="auto"/>
      </w:pPr>
      <w:r>
        <w:separator/>
      </w:r>
    </w:p>
  </w:footnote>
  <w:footnote w:type="continuationSeparator" w:id="0">
    <w:p w:rsidR="00950BA8" w:rsidRDefault="00950BA8" w:rsidP="00BC6EBB">
      <w:pPr>
        <w:spacing w:after="0" w:line="240" w:lineRule="auto"/>
      </w:pPr>
      <w:r>
        <w:continuationSeparator/>
      </w:r>
    </w:p>
  </w:footnote>
  <w:footnote w:id="1">
    <w:p w:rsidR="00C04780" w:rsidRDefault="00C0478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فلسفه عمومی، پل </w:t>
      </w:r>
      <w:proofErr w:type="spellStart"/>
      <w:r>
        <w:rPr>
          <w:rFonts w:hint="cs"/>
          <w:rtl/>
          <w:lang w:bidi="fa-IR"/>
        </w:rPr>
        <w:t>فولکیه</w:t>
      </w:r>
      <w:proofErr w:type="spellEnd"/>
      <w:r>
        <w:rPr>
          <w:rFonts w:hint="cs"/>
          <w:rtl/>
          <w:lang w:bidi="fa-IR"/>
        </w:rPr>
        <w:t>، ص 135- 138</w:t>
      </w:r>
    </w:p>
  </w:footnote>
  <w:footnote w:id="2">
    <w:p w:rsidR="00C04780" w:rsidRDefault="00C0478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معرفت </w:t>
      </w:r>
      <w:proofErr w:type="spellStart"/>
      <w:r>
        <w:rPr>
          <w:rFonts w:hint="cs"/>
          <w:rtl/>
          <w:lang w:bidi="fa-IR"/>
        </w:rPr>
        <w:t>شناسی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همیلتون</w:t>
      </w:r>
      <w:proofErr w:type="spellEnd"/>
      <w:r>
        <w:rPr>
          <w:rFonts w:hint="cs"/>
          <w:rtl/>
          <w:lang w:bidi="fa-IR"/>
        </w:rPr>
        <w:t>، ص 61- 64</w:t>
      </w:r>
    </w:p>
  </w:footnote>
  <w:footnote w:id="3">
    <w:p w:rsidR="00C04780" w:rsidRDefault="00C0478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کلیات فلسفه، ص 313- 320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5920FC" w:rsidRPr="00315BE8" w:rsidRDefault="00FA7A35" w:rsidP="0022318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223180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223180">
      <w:rPr>
        <w:rFonts w:ascii="Tahoma" w:hAnsi="Tahoma" w:cs="Traditional Arabic" w:hint="cs"/>
        <w:sz w:val="28"/>
        <w:szCs w:val="28"/>
        <w:rtl/>
        <w:lang w:bidi="fa-IR"/>
      </w:rPr>
      <w:t>24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2637C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/9</w:t>
    </w:r>
    <w:r w:rsidR="00AB63B4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  <w:r w:rsidR="007931F1" w:rsidRPr="00315BE8">
      <w:rPr>
        <w:rFonts w:ascii="Tahoma" w:hAnsi="Tahoma" w:cs="Traditional Arabic" w:hint="cs"/>
        <w:color w:val="7030A0"/>
        <w:rtl/>
        <w:lang w:bidi="fa-IR"/>
      </w:rPr>
      <w:t>(مقرر: حسن مجتبی زاده)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A0C"/>
    <w:rsid w:val="00057E3E"/>
    <w:rsid w:val="00060173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3AE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F96"/>
    <w:rsid w:val="002104BA"/>
    <w:rsid w:val="00213E18"/>
    <w:rsid w:val="002152B2"/>
    <w:rsid w:val="00217A73"/>
    <w:rsid w:val="00223180"/>
    <w:rsid w:val="00226FCD"/>
    <w:rsid w:val="0022770F"/>
    <w:rsid w:val="00227DEF"/>
    <w:rsid w:val="00233413"/>
    <w:rsid w:val="00236008"/>
    <w:rsid w:val="00237C2B"/>
    <w:rsid w:val="00240AFC"/>
    <w:rsid w:val="00246F8E"/>
    <w:rsid w:val="002472FB"/>
    <w:rsid w:val="00247EA1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4B5D"/>
    <w:rsid w:val="00285CD8"/>
    <w:rsid w:val="00285F7B"/>
    <w:rsid w:val="0028726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37F1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1C42"/>
    <w:rsid w:val="003932F3"/>
    <w:rsid w:val="00393BD0"/>
    <w:rsid w:val="0039580F"/>
    <w:rsid w:val="003A0270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25EF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44B5"/>
    <w:rsid w:val="00447D89"/>
    <w:rsid w:val="00453C04"/>
    <w:rsid w:val="00453FAA"/>
    <w:rsid w:val="00465559"/>
    <w:rsid w:val="00465656"/>
    <w:rsid w:val="0046603E"/>
    <w:rsid w:val="004726AC"/>
    <w:rsid w:val="004741DE"/>
    <w:rsid w:val="004754C7"/>
    <w:rsid w:val="00475C58"/>
    <w:rsid w:val="004763DD"/>
    <w:rsid w:val="00476F46"/>
    <w:rsid w:val="004802FA"/>
    <w:rsid w:val="00481659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FBC"/>
    <w:rsid w:val="004C5648"/>
    <w:rsid w:val="004C7875"/>
    <w:rsid w:val="004D003F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0A4"/>
    <w:rsid w:val="00574246"/>
    <w:rsid w:val="005766FE"/>
    <w:rsid w:val="00576E1F"/>
    <w:rsid w:val="005817AE"/>
    <w:rsid w:val="005902CE"/>
    <w:rsid w:val="00591007"/>
    <w:rsid w:val="005912F4"/>
    <w:rsid w:val="005920FC"/>
    <w:rsid w:val="005A04F4"/>
    <w:rsid w:val="005A0FDE"/>
    <w:rsid w:val="005A266E"/>
    <w:rsid w:val="005A41A5"/>
    <w:rsid w:val="005A5013"/>
    <w:rsid w:val="005A742D"/>
    <w:rsid w:val="005A754E"/>
    <w:rsid w:val="005B3B71"/>
    <w:rsid w:val="005B6816"/>
    <w:rsid w:val="005B780B"/>
    <w:rsid w:val="005C0AFC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38C2"/>
    <w:rsid w:val="0065579C"/>
    <w:rsid w:val="00661DB3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B5447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6636"/>
    <w:rsid w:val="0078709C"/>
    <w:rsid w:val="00787DAA"/>
    <w:rsid w:val="00790C14"/>
    <w:rsid w:val="00790F2D"/>
    <w:rsid w:val="007923F3"/>
    <w:rsid w:val="007931F1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6415"/>
    <w:rsid w:val="008734DA"/>
    <w:rsid w:val="00874AF3"/>
    <w:rsid w:val="00874B14"/>
    <w:rsid w:val="00875020"/>
    <w:rsid w:val="00875509"/>
    <w:rsid w:val="00876745"/>
    <w:rsid w:val="00876D3A"/>
    <w:rsid w:val="00882F8D"/>
    <w:rsid w:val="00883EBD"/>
    <w:rsid w:val="00885141"/>
    <w:rsid w:val="008875FD"/>
    <w:rsid w:val="00891D90"/>
    <w:rsid w:val="00894892"/>
    <w:rsid w:val="0089576C"/>
    <w:rsid w:val="008A1693"/>
    <w:rsid w:val="008A2D69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5018E"/>
    <w:rsid w:val="00950BA8"/>
    <w:rsid w:val="00950DA2"/>
    <w:rsid w:val="00955D90"/>
    <w:rsid w:val="00956E8D"/>
    <w:rsid w:val="009575A3"/>
    <w:rsid w:val="0096094F"/>
    <w:rsid w:val="009636AA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3515"/>
    <w:rsid w:val="009B49D2"/>
    <w:rsid w:val="009B5E38"/>
    <w:rsid w:val="009B6066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5C9D"/>
    <w:rsid w:val="009F6EDA"/>
    <w:rsid w:val="009F72F8"/>
    <w:rsid w:val="00A00296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B18"/>
    <w:rsid w:val="00A6491F"/>
    <w:rsid w:val="00A72415"/>
    <w:rsid w:val="00A72EA0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367F"/>
    <w:rsid w:val="00B1376F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680F"/>
    <w:rsid w:val="00B66FED"/>
    <w:rsid w:val="00B74E3B"/>
    <w:rsid w:val="00B811DA"/>
    <w:rsid w:val="00B8220F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2B6C"/>
    <w:rsid w:val="00BE4B35"/>
    <w:rsid w:val="00BE63DB"/>
    <w:rsid w:val="00BE6CFC"/>
    <w:rsid w:val="00BF1A71"/>
    <w:rsid w:val="00BF1F73"/>
    <w:rsid w:val="00BF3182"/>
    <w:rsid w:val="00BF338C"/>
    <w:rsid w:val="00BF53F4"/>
    <w:rsid w:val="00BF680A"/>
    <w:rsid w:val="00BF7087"/>
    <w:rsid w:val="00C006BF"/>
    <w:rsid w:val="00C04780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A65B3"/>
    <w:rsid w:val="00CB1E57"/>
    <w:rsid w:val="00CC121B"/>
    <w:rsid w:val="00CC6BA7"/>
    <w:rsid w:val="00CD1540"/>
    <w:rsid w:val="00CD3195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3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594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9E5C1D-58A4-4C2E-9FBA-A5A4EE07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2020-12-14T15:50:00Z</dcterms:created>
  <dcterms:modified xsi:type="dcterms:W3CDTF">2020-12-16T06:25:00Z</dcterms:modified>
</cp:coreProperties>
</file>