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162B2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62B2C">
        <w:rPr>
          <w:rFonts w:ascii="Traditional Arabic" w:hAnsi="Traditional Arabic" w:cs="Traditional Arabic" w:hint="cs"/>
          <w:sz w:val="28"/>
          <w:szCs w:val="28"/>
          <w:rtl/>
        </w:rPr>
        <w:t>ملاک حقیقت و صدق</w:t>
      </w:r>
    </w:p>
    <w:p w:rsidR="00197D65" w:rsidRPr="00E17500" w:rsidRDefault="00E17500" w:rsidP="006E28A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1750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درباره شخصیت </w:t>
      </w:r>
      <w:r w:rsidR="00A14D5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علمی و اخلاقی </w:t>
      </w:r>
      <w:r w:rsidRPr="00E1750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حضرت آیت الله مصباح یزدی</w:t>
      </w:r>
      <w:r w:rsidR="00A14D5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(ره)</w:t>
      </w:r>
      <w:bookmarkStart w:id="0" w:name="_GoBack"/>
      <w:bookmarkEnd w:id="0"/>
    </w:p>
    <w:p w:rsidR="009176BC" w:rsidRDefault="00E17500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آیت الله مصباح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یزدی به حق </w:t>
      </w:r>
      <w:r>
        <w:rPr>
          <w:rFonts w:ascii="Tahoma" w:hAnsi="Tahoma" w:cs="B Mitra" w:hint="cs"/>
          <w:sz w:val="28"/>
          <w:szCs w:val="28"/>
          <w:rtl/>
          <w:lang w:bidi="fa-IR"/>
        </w:rPr>
        <w:t>یکی از مفاخر حوزه های علمیه شیعه و از فرزانگان برجسته جهان اسلام به شمار می روند.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 درباره شخصیت ایشان در چند بخش نکاتی بیان می شود: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9176BC" w:rsidRPr="009176BC" w:rsidRDefault="009176BC" w:rsidP="009176B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176B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ویژگی های علمی و معرفتی</w:t>
      </w:r>
    </w:p>
    <w:p w:rsidR="001E2427" w:rsidRDefault="00E17500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در زمینه های مختلف علوم عقلی و معارف اسلامی آثار بسیار ارزشمندی بجای گذاشته و شاگردان لایقی را تربیت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مهمترین محورهای تحقیقات و مباحث گفتاری و نوشتاری این استاد عالی قدر حوزه های علمیه از این قرار است: </w:t>
      </w:r>
    </w:p>
    <w:p w:rsidR="00E17500" w:rsidRDefault="00E17500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در حوزه معرفت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شیوه ایشان در این باره همانند </w:t>
      </w:r>
      <w:r>
        <w:rPr>
          <w:rFonts w:ascii="Tahoma" w:hAnsi="Tahoma" w:cs="B Mitra" w:hint="cs"/>
          <w:sz w:val="28"/>
          <w:szCs w:val="28"/>
          <w:rtl/>
          <w:lang w:bidi="fa-IR"/>
        </w:rPr>
        <w:t>روشی که علامه طباطبایی به کار گرفت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ند و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پرداختن به مسائل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معرفت </w:t>
      </w:r>
      <w:proofErr w:type="spellStart"/>
      <w:r w:rsidR="001E2427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 قبل از مباحث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هستی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 است. ایشان همین شیوه را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کتاب آموزش فلسفه، جلد اول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بکار گرفته </w:t>
      </w:r>
      <w:proofErr w:type="spellStart"/>
      <w:r w:rsidR="001E242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E17500" w:rsidRDefault="00E17500" w:rsidP="00E175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در حوزه فلسفه اولی و هستی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ایشان در این زمینه استاد مسلم و مسلط در فلسفه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مشاء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اشراق و حکمت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صدرایی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بودند. </w:t>
      </w:r>
      <w:r w:rsidR="009176BC">
        <w:rPr>
          <w:rFonts w:ascii="Tahoma" w:hAnsi="Tahoma" w:cs="B Mitra" w:hint="cs"/>
          <w:sz w:val="28"/>
          <w:szCs w:val="28"/>
          <w:rtl/>
          <w:lang w:bidi="fa-IR"/>
        </w:rPr>
        <w:t xml:space="preserve">دروس ایشان در این زمینه وجود دارد. </w:t>
      </w:r>
    </w:p>
    <w:p w:rsidR="009176BC" w:rsidRDefault="009176BC" w:rsidP="009176B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3. فلسفه های مضاف. ایشان از پیشگامان در این عرصه به شمار می روند. در فلسفه حقوق، فلسفه سیاست و فلسفه اخلاق کارهای بسیار ارزشمندی انجام داده و آثار ایشان در این زمینه موجود و قابل استفاده است.</w:t>
      </w:r>
    </w:p>
    <w:p w:rsidR="009176BC" w:rsidRDefault="009176BC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اخلاق و عرفان اسلامی. مباحث ارزشمندی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از این استاد فرزانه در این زمینه وجود دارد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صورت کتاب در آمده و موجود است.</w:t>
      </w:r>
    </w:p>
    <w:p w:rsidR="009176BC" w:rsidRDefault="009176BC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5. معارف قرآنی . ایشان در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مباحث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اعم از علوم قرآنی و معارف قرآن (تفسیر موضوعی) کارهای بزرگی انجام داده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9176BC" w:rsidRDefault="009176BC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6. مباحث اعتقادات اسلامی. کتاب آموزش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عقائد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ایشان در این باره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یکی از آثار ارزشمند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به شمار می رود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کتاب درسی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در حوزه های علمیه تدریس می شود. </w:t>
      </w:r>
    </w:p>
    <w:p w:rsidR="009176BC" w:rsidRDefault="009176BC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7. رابطه علم و دین، و عقل و دین. این مباحث در دوره های اخیر مورد توجه واقع شده و ایشان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این مباحث پرداخته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گفتارهای ایشان در مجموعه ای به نام علم و دین چاپ شده است.</w:t>
      </w:r>
    </w:p>
    <w:p w:rsidR="009176BC" w:rsidRDefault="009176BC" w:rsidP="001E24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8. نقد مکاتب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الحادی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سکولاریستی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. ایشان هم در نقد مک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اتب </w:t>
      </w:r>
      <w:proofErr w:type="spellStart"/>
      <w:r w:rsidR="001E2427">
        <w:rPr>
          <w:rFonts w:ascii="Tahoma" w:hAnsi="Tahoma" w:cs="B Mitra" w:hint="cs"/>
          <w:sz w:val="28"/>
          <w:szCs w:val="28"/>
          <w:rtl/>
          <w:lang w:bidi="fa-IR"/>
        </w:rPr>
        <w:t>الحادی</w:t>
      </w:r>
      <w:proofErr w:type="spellEnd"/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 مانند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ماتریالیست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وارد شده و </w:t>
      </w:r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به نقد آنها پرداخته </w:t>
      </w:r>
      <w:proofErr w:type="spellStart"/>
      <w:r w:rsidR="001E242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1E2427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مکتب های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سکولاریستی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مورد انتقاد قرار داده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9176BC" w:rsidRPr="009176BC" w:rsidRDefault="009176BC" w:rsidP="009176B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176B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ویژگی های اخلاقی</w:t>
      </w:r>
    </w:p>
    <w:p w:rsidR="009176BC" w:rsidRDefault="009176BC" w:rsidP="009176B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از جهت خصوصیات شخصیتی نیز چند نکته درباره ایشان در خور توجه است. </w:t>
      </w:r>
    </w:p>
    <w:p w:rsidR="009176BC" w:rsidRDefault="009176BC" w:rsidP="009176B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تعهد غیرت مردانه نسبت به اصول و معارف اسلامی. </w:t>
      </w:r>
    </w:p>
    <w:p w:rsidR="009176BC" w:rsidRDefault="009176BC" w:rsidP="009176B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بصیرت و زمان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ایشان در این زمینه به این روایت نورانی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امام صادق (ع)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عمل کردند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فرمود: 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العالم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بزمانه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لاتهجم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علیه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اللوابس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9176BC" w:rsidRDefault="009176BC" w:rsidP="009176B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درک درست از آسیب ها و خطرها برای جامعه دینی و انقلاب اسلامی. ایشان در مواقع حساس تصمیم گرفته و ورود پیدا می کردند. </w:t>
      </w:r>
    </w:p>
    <w:p w:rsidR="009176BC" w:rsidRDefault="009176BC" w:rsidP="0019099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صراحت در بیان و صداقت در گفتار و رفتار. ایشان برای روشن گری صریح و بی پرده وارد می شدند تا مغالطات را روشن کرده و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انحرافات را بیان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کنند.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در دورانی که تفکر اصلاحات بر جامعه حاکم شده بود و افرادی بی پروا ارزش های دینی را هدف گرفته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بودند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>و اهانت می کردند و اینها را تحت عن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اوینی چون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آزادی خواهی و شعارهای جذاب مطرح می کردند، این بزرگوار از </w:t>
      </w:r>
      <w:proofErr w:type="spellStart"/>
      <w:r w:rsidR="003C2BAB">
        <w:rPr>
          <w:rFonts w:ascii="Tahoma" w:hAnsi="Tahoma" w:cs="B Mitra" w:hint="cs"/>
          <w:sz w:val="28"/>
          <w:szCs w:val="28"/>
          <w:rtl/>
          <w:lang w:bidi="fa-IR"/>
        </w:rPr>
        <w:t>پیشتازان</w:t>
      </w:r>
      <w:proofErr w:type="spellEnd"/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 مقابله با این </w:t>
      </w:r>
      <w:proofErr w:type="spellStart"/>
      <w:r w:rsidR="003C2BAB">
        <w:rPr>
          <w:rFonts w:ascii="Tahoma" w:hAnsi="Tahoma" w:cs="B Mitra" w:hint="cs"/>
          <w:sz w:val="28"/>
          <w:szCs w:val="28"/>
          <w:rtl/>
          <w:lang w:bidi="fa-IR"/>
        </w:rPr>
        <w:t>هجمه</w:t>
      </w:r>
      <w:proofErr w:type="spellEnd"/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 ها و انحرافات فکری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و از کسانی بودند که در خط مقدم این جبهه مبارزه می کردند. ایشان در این زمینه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هسته طرح ولایت را راه انداختند تا دانشجویان را در برابر این </w:t>
      </w:r>
      <w:proofErr w:type="spellStart"/>
      <w:r w:rsidR="003C2BAB">
        <w:rPr>
          <w:rFonts w:ascii="Tahoma" w:hAnsi="Tahoma" w:cs="B Mitra" w:hint="cs"/>
          <w:sz w:val="28"/>
          <w:szCs w:val="28"/>
          <w:rtl/>
          <w:lang w:bidi="fa-IR"/>
        </w:rPr>
        <w:t>هجمه</w:t>
      </w:r>
      <w:proofErr w:type="spellEnd"/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 ها توانمند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سازند.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خود ایشان نیز در دانشگاه ها </w:t>
      </w:r>
      <w:r w:rsidR="00190994">
        <w:rPr>
          <w:rFonts w:ascii="Tahoma" w:hAnsi="Tahoma" w:cs="B Mitra" w:hint="cs"/>
          <w:sz w:val="28"/>
          <w:szCs w:val="28"/>
          <w:rtl/>
          <w:lang w:bidi="fa-IR"/>
        </w:rPr>
        <w:t xml:space="preserve">و مراکز دیگر </w:t>
      </w:r>
      <w:r w:rsidR="003C2BAB">
        <w:rPr>
          <w:rFonts w:ascii="Tahoma" w:hAnsi="Tahoma" w:cs="B Mitra" w:hint="cs"/>
          <w:sz w:val="28"/>
          <w:szCs w:val="28"/>
          <w:rtl/>
          <w:lang w:bidi="fa-IR"/>
        </w:rPr>
        <w:t xml:space="preserve">حضور پیدا کرده و پرسش ها را پاسخ می دادند. </w:t>
      </w:r>
    </w:p>
    <w:p w:rsidR="003C2BAB" w:rsidRDefault="003C2BAB" w:rsidP="003C2BA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5. قدرت و توانایی بالا در مقام اقامه برهان، خطابه و جدال احسن. ایشان در حقیقت به این آیه شریفه جامه عمل پوشیدند که می فرماید: «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ادْعُ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سَبيلِ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بِالْحِكْمَةِ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الْمَوْعِظَةِ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الْحَسَنَةِ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جادِلْهُمْ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بِالَّتي</w:t>
      </w:r>
      <w:proofErr w:type="spellEnd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هِيَ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أَحْسَنُ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رَبَّكَ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أَعْلَمُ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بِمَنْ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ضَلَّ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عَنْ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سَبيلِهِ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أَعْلَمُ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بِالْمُهْتَدين</w:t>
      </w:r>
      <w:proofErr w:type="spellEnd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حكمت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اندرز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نيكو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پروردگارت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دعوت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كن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نيكوترين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شيوه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مجادله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بپرداز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يقيناً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پروردگارت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كسانى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گمراه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شده‏اند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نيز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C2BAB">
        <w:rPr>
          <w:rFonts w:ascii="Tahoma" w:hAnsi="Tahoma" w:cs="B Mitra" w:hint="cs"/>
          <w:sz w:val="28"/>
          <w:szCs w:val="28"/>
          <w:rtl/>
          <w:lang w:bidi="fa-IR"/>
        </w:rPr>
        <w:t>يافتگان</w:t>
      </w:r>
      <w:proofErr w:type="spellEnd"/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داناتر</w:t>
      </w:r>
      <w:r w:rsidRPr="003C2B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C2BAB">
        <w:rPr>
          <w:rFonts w:ascii="Tahoma" w:hAnsi="Tahoma" w:cs="B Mitra" w:hint="cs"/>
          <w:sz w:val="28"/>
          <w:szCs w:val="28"/>
          <w:rtl/>
          <w:lang w:bidi="fa-IR"/>
        </w:rPr>
        <w:t>است‏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3C2BAB" w:rsidRDefault="003C2BAB" w:rsidP="0042746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مناظره های ایشان با دگر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اندیشان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قدرت و روشنگری ایشان </w:t>
      </w:r>
      <w:r w:rsidR="00427464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زمینه ها به خوبی نشان می دهد. </w:t>
      </w:r>
    </w:p>
    <w:p w:rsidR="003C2BAB" w:rsidRDefault="003C2BAB" w:rsidP="003C2BA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6. برخورداری از انضباط و انسجام فکری در تحلیل مسائل فلسفی و علمی و اجتماعی. آثار ایشان یادآور آثار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استادشان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علامه طباطبایی است. </w:t>
      </w:r>
    </w:p>
    <w:p w:rsidR="003C2BAB" w:rsidRDefault="003C2BAB" w:rsidP="0006041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7. تواضع و فروتنی فوق العاده. در جلسه ای که جمعی حضور دا</w:t>
      </w:r>
      <w:r w:rsidR="00060411">
        <w:rPr>
          <w:rFonts w:ascii="Tahoma" w:hAnsi="Tahoma" w:cs="B Mitra" w:hint="cs"/>
          <w:sz w:val="28"/>
          <w:szCs w:val="28"/>
          <w:rtl/>
          <w:lang w:bidi="fa-IR"/>
        </w:rPr>
        <w:t xml:space="preserve">شتند،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خم </w:t>
      </w:r>
      <w:r w:rsidR="00060411">
        <w:rPr>
          <w:rFonts w:ascii="Tahoma" w:hAnsi="Tahoma" w:cs="B Mitra" w:hint="cs"/>
          <w:sz w:val="28"/>
          <w:szCs w:val="28"/>
          <w:rtl/>
          <w:lang w:bidi="fa-IR"/>
        </w:rPr>
        <w:t xml:space="preserve">شده و </w:t>
      </w:r>
      <w:r>
        <w:rPr>
          <w:rFonts w:ascii="Tahoma" w:hAnsi="Tahoma" w:cs="B Mitra" w:hint="cs"/>
          <w:sz w:val="28"/>
          <w:szCs w:val="28"/>
          <w:rtl/>
          <w:lang w:bidi="fa-IR"/>
        </w:rPr>
        <w:t>دست آیت الله زنجانی را بوس</w:t>
      </w:r>
      <w:r w:rsidR="00060411">
        <w:rPr>
          <w:rFonts w:ascii="Tahoma" w:hAnsi="Tahoma" w:cs="B Mitra" w:hint="cs"/>
          <w:sz w:val="28"/>
          <w:szCs w:val="28"/>
          <w:rtl/>
          <w:lang w:bidi="fa-IR"/>
        </w:rPr>
        <w:t>یدند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در فیلم ها و تصاویری که از ایشان منتشر شده است این مساله به وضوح روشن است. </w:t>
      </w:r>
    </w:p>
    <w:p w:rsidR="00055189" w:rsidRDefault="00060411" w:rsidP="0006041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تواضع ایشان به گونه ای بود که در مباحث خویش </w:t>
      </w:r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از شخصیت های معاصر نام برده و تجلیل می کردند. در </w:t>
      </w:r>
      <w:proofErr w:type="spellStart"/>
      <w:r w:rsidR="00055189">
        <w:rPr>
          <w:rFonts w:ascii="Tahoma" w:hAnsi="Tahoma" w:cs="B Mitra" w:hint="cs"/>
          <w:sz w:val="28"/>
          <w:szCs w:val="28"/>
          <w:rtl/>
          <w:lang w:bidi="fa-IR"/>
        </w:rPr>
        <w:t>همایشی</w:t>
      </w:r>
      <w:proofErr w:type="spellEnd"/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 که برای علامه طباطبایی در تبریز برقرار شد</w:t>
      </w:r>
      <w:r>
        <w:rPr>
          <w:rFonts w:ascii="Tahoma" w:hAnsi="Tahoma" w:cs="B Mitra" w:hint="cs"/>
          <w:sz w:val="28"/>
          <w:szCs w:val="28"/>
          <w:rtl/>
          <w:lang w:bidi="fa-IR"/>
        </w:rPr>
        <w:t>ه بود</w:t>
      </w:r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 در خدمت ایشان بودم. دانشجویی سوال کردند و ایشان مطالبی را گفتند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بعد به وی </w:t>
      </w:r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گفتند که 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مطالبی که گفتم </w:t>
      </w:r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از شهید مطهری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باشد. </w:t>
      </w:r>
      <w:r w:rsidR="00055189">
        <w:rPr>
          <w:rFonts w:ascii="Tahoma" w:hAnsi="Tahoma" w:cs="B Mitra" w:hint="cs"/>
          <w:sz w:val="28"/>
          <w:szCs w:val="28"/>
          <w:rtl/>
          <w:lang w:bidi="fa-IR"/>
        </w:rPr>
        <w:t xml:space="preserve">ایشان عنایت داشتند که جوان ها را به آثار شهید مطهری ارجاع دهند. </w:t>
      </w:r>
    </w:p>
    <w:p w:rsidR="00055189" w:rsidRDefault="00055189" w:rsidP="0005518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9. مجاهدت بی دریغ در مقابله با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التقاط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دگراندیشی. </w:t>
      </w:r>
    </w:p>
    <w:p w:rsidR="00055189" w:rsidRDefault="00055189" w:rsidP="001B3B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10. دور اندیشی و جامع نگری در امر مدیریت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 xml:space="preserve"> و پرهیز از شتابزدگی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ایشان در موسسه آموزشی پژوهشی امام خمینی (ره)، مجموعه را با عنوان دایره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المعارف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علوم عقلی درباره منطق، فلسفه، عرفان و کلام تاسیس کردند. در آنجا عنایت داشتند که کارها برای یک زمان محدود و کوتاه نباشد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کاری ماندگار انجام 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 xml:space="preserve">گیرد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دیگر نیازی به تجدید نظر نباشد. </w:t>
      </w:r>
    </w:p>
    <w:p w:rsidR="00055189" w:rsidRDefault="00055189" w:rsidP="001B3B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ویژگی ها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 xml:space="preserve">ی بیان شده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ایشان یک شخصیت برجسته و فاخر ساخته بود. درگذشت ایشان 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 xml:space="preserve">رخنه ای در جامعه علمی ایجاد کرده است؛ همان که در روایت شریف آمده است: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ماتَ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العالِمُ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ثُلِمَ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الإِسلامِ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ثُلمَةٌ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55189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يَسُدُّها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شَي‏ءٌ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يَومِ</w:t>
      </w:r>
      <w:proofErr w:type="spellEnd"/>
      <w:r w:rsidRPr="000551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55189">
        <w:rPr>
          <w:rFonts w:ascii="Tahoma" w:hAnsi="Tahoma" w:cs="B Mitra" w:hint="cs"/>
          <w:sz w:val="28"/>
          <w:szCs w:val="28"/>
          <w:rtl/>
          <w:lang w:bidi="fa-IR"/>
        </w:rPr>
        <w:t>القِيامَةِ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2E4AF8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055189" w:rsidRDefault="002E4AF8" w:rsidP="001B3B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انشاءالله روح ایشان شاد و میهمان سفره و خوان ائمه اطهار (ع)</w:t>
      </w:r>
      <w:r w:rsidR="001B3B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بویژه حضرت فاطمه زهرا (س) قرار بدهد. </w:t>
      </w:r>
    </w:p>
    <w:p w:rsidR="00197D65" w:rsidRPr="00E17500" w:rsidRDefault="00197D65" w:rsidP="006E28A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5C4" w:rsidRDefault="004715C4" w:rsidP="00BC6EBB">
      <w:pPr>
        <w:spacing w:after="0" w:line="240" w:lineRule="auto"/>
      </w:pPr>
      <w:r>
        <w:separator/>
      </w:r>
    </w:p>
  </w:endnote>
  <w:endnote w:type="continuationSeparator" w:id="0">
    <w:p w:rsidR="004715C4" w:rsidRDefault="004715C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5C4" w:rsidRDefault="004715C4" w:rsidP="00BC6EBB">
      <w:pPr>
        <w:spacing w:after="0" w:line="240" w:lineRule="auto"/>
      </w:pPr>
      <w:r>
        <w:separator/>
      </w:r>
    </w:p>
  </w:footnote>
  <w:footnote w:type="continuationSeparator" w:id="0">
    <w:p w:rsidR="004715C4" w:rsidRDefault="004715C4" w:rsidP="00BC6EBB">
      <w:pPr>
        <w:spacing w:after="0" w:line="240" w:lineRule="auto"/>
      </w:pPr>
      <w:r>
        <w:continuationSeparator/>
      </w:r>
    </w:p>
  </w:footnote>
  <w:footnote w:id="1">
    <w:p w:rsidR="003C2BAB" w:rsidRDefault="003C2BA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125</w:t>
      </w:r>
    </w:p>
  </w:footnote>
  <w:footnote w:id="2">
    <w:p w:rsidR="002E4AF8" w:rsidRDefault="002E4AF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مجلسی، ج2، ص 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E1750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E17500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17500">
      <w:rPr>
        <w:rFonts w:ascii="Tahoma" w:hAnsi="Tahoma" w:cs="Traditional Arabic" w:hint="cs"/>
        <w:sz w:val="28"/>
        <w:szCs w:val="28"/>
        <w:rtl/>
        <w:lang w:bidi="fa-IR"/>
      </w:rPr>
      <w:t>15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0411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0994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3B7B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2427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464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15C4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53951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4D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777A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9A1446-273B-47D2-BA00-862F45FD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2021-01-05T18:47:00Z</dcterms:created>
  <dcterms:modified xsi:type="dcterms:W3CDTF">2021-01-05T19:07:00Z</dcterms:modified>
</cp:coreProperties>
</file>