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162B2C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62B2C">
        <w:rPr>
          <w:rFonts w:ascii="Traditional Arabic" w:hAnsi="Traditional Arabic" w:cs="Traditional Arabic" w:hint="cs"/>
          <w:sz w:val="28"/>
          <w:szCs w:val="28"/>
          <w:rtl/>
        </w:rPr>
        <w:t>ملاک حقیقت و صدق</w:t>
      </w:r>
    </w:p>
    <w:p w:rsidR="00875020" w:rsidRPr="00875020" w:rsidRDefault="00A76149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تفسیر علامه طباطبایی درباره نفس الامر</w:t>
      </w:r>
    </w:p>
    <w:p w:rsidR="002E3EFF" w:rsidRDefault="002E3EFF" w:rsidP="002E3EF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2E3EFF">
        <w:rPr>
          <w:rFonts w:ascii="Tahoma" w:hAnsi="Tahoma" w:cs="B Mitra" w:hint="cs"/>
          <w:sz w:val="28"/>
          <w:szCs w:val="28"/>
          <w:rtl/>
          <w:lang w:bidi="fa-IR"/>
        </w:rPr>
        <w:t xml:space="preserve">سخن درباره ملاک حقیقت و صدق بود. گفته شد دیدگاه مورد قبول فلاسفه اسلامی و بلکه اکثر متفکرین و فلاسفه و دانشمندان اعم از مسلمان و غیر مسلمان این است که حقیقت با مطابقت با واقع و نفس </w:t>
      </w:r>
      <w:proofErr w:type="spellStart"/>
      <w:r w:rsidRPr="002E3EFF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Pr="002E3EFF">
        <w:rPr>
          <w:rFonts w:ascii="Tahoma" w:hAnsi="Tahoma" w:cs="B Mitra" w:hint="cs"/>
          <w:sz w:val="28"/>
          <w:szCs w:val="28"/>
          <w:rtl/>
          <w:lang w:bidi="fa-IR"/>
        </w:rPr>
        <w:t xml:space="preserve"> شناخته می شود. </w:t>
      </w:r>
    </w:p>
    <w:p w:rsidR="0040309B" w:rsidRDefault="002E3EFF" w:rsidP="00774C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درباره چیستی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تفسیرهایی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بیان شده که در گفتارهای پیشین 5 مورد آن بیان شد. 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یکی از این تفسیرها از 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علامه طباطبایی 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است. ایشان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نهایه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الحکمه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»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>می فرماید: «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الثبوت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العام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الشامل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لثبوت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الماهیه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المفاهیم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الاعتباریه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الحقیقیه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هو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المسمی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بنفس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40309B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>: آن ثبوت عام و گسترده ای که شامل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ثبوت وجود و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ثبوت 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ماهیت و ثبوت مفاهیم اعتباری عقلی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می شود 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را نفس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می نامند. ایشان </w:t>
      </w:r>
      <w:r w:rsidR="0040309B">
        <w:rPr>
          <w:rFonts w:ascii="Tahoma" w:hAnsi="Tahoma" w:cs="B Mitra" w:hint="cs"/>
          <w:sz w:val="28"/>
          <w:szCs w:val="28"/>
          <w:rtl/>
          <w:lang w:bidi="fa-IR"/>
        </w:rPr>
        <w:t xml:space="preserve">در پاورقی های اسفار نیز این مطلب را بیان کرده </w:t>
      </w:r>
      <w:proofErr w:type="spellStart"/>
      <w:r w:rsidR="0040309B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40309B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40309B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</w:p>
    <w:p w:rsidR="00197D65" w:rsidRDefault="0040309B" w:rsidP="00774C27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 اساس تفسیر مرحوم علامه،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یک نحوه ثبوت عام است که سه مصداق کلی دارد: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یکی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ثبوت وجود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اصل در ثبوت و تحقق است. دوم ثبوت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ماهیات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است.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ماهیات</w:t>
      </w:r>
      <w:proofErr w:type="spellEnd"/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 در حقیقت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ظهورات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قالب های ذهنی وجود می باشد و چون اصالت ندارند ثبوت آنها به ثبوت وجود است. سوم ثبوت مفاهیم اعتباری است. اینها نه از جنس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ماهیات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هستند و نه از جنس واقعیت خارجی که ما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بازاء داشته باشد. این مفاهیم هر چند ما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بازاء خارجی ندارند اما منشا انتزاع دارند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. مفاهیمی چون </w:t>
      </w:r>
      <w:r>
        <w:rPr>
          <w:rFonts w:ascii="Tahoma" w:hAnsi="Tahoma" w:cs="B Mitra" w:hint="cs"/>
          <w:sz w:val="28"/>
          <w:szCs w:val="28"/>
          <w:rtl/>
          <w:lang w:bidi="fa-IR"/>
        </w:rPr>
        <w:t>مفهوم عدم، قوه، فعل، علت، وجوب، امکان و سایر مفاهیم فلسفی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 از این قبیل است.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40309B" w:rsidRPr="002E3EFF" w:rsidRDefault="0040309B" w:rsidP="00774C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حوزه عقل عملی نیز ما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اعتبارهایی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داریم. آیا آن ثبوت شامل حال آنها هم می شود؟ در بیان مرحوم علامه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 در اینجا چیزی نیست اما در جای دیگر می فرماید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این مفاهیم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منشا انتزاع دارند،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مساله ثبوت شامل حال آنها هم می شود. ایشان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المیزان</w:t>
      </w:r>
      <w:proofErr w:type="spellEnd"/>
      <w:r w:rsidR="00774C27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33027">
        <w:rPr>
          <w:rFonts w:ascii="Tahoma" w:hAnsi="Tahoma" w:cs="B Mitra" w:hint="cs"/>
          <w:sz w:val="28"/>
          <w:szCs w:val="28"/>
          <w:rtl/>
          <w:lang w:bidi="fa-IR"/>
        </w:rPr>
        <w:t xml:space="preserve">می فرماید: </w:t>
      </w:r>
      <w:r>
        <w:rPr>
          <w:rFonts w:ascii="Tahoma" w:hAnsi="Tahoma" w:cs="B Mitra" w:hint="cs"/>
          <w:sz w:val="28"/>
          <w:szCs w:val="28"/>
          <w:rtl/>
          <w:lang w:bidi="fa-IR"/>
        </w:rPr>
        <w:t>مصالح و مفاسد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ثبوت واقعی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ظروفی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از تحقق، جدای از تحقق ذهن و خارج دارند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1A62B9">
        <w:rPr>
          <w:rFonts w:ascii="Tahoma" w:hAnsi="Tahoma" w:cs="B Mitra" w:hint="cs"/>
          <w:sz w:val="28"/>
          <w:szCs w:val="28"/>
          <w:rtl/>
          <w:lang w:bidi="fa-IR"/>
        </w:rPr>
        <w:t xml:space="preserve">و به خاطر 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 xml:space="preserve">همین ثبوت، </w:t>
      </w:r>
      <w:r w:rsidR="001A62B9">
        <w:rPr>
          <w:rFonts w:ascii="Tahoma" w:hAnsi="Tahoma" w:cs="B Mitra" w:hint="cs"/>
          <w:sz w:val="28"/>
          <w:szCs w:val="28"/>
          <w:rtl/>
          <w:lang w:bidi="fa-IR"/>
        </w:rPr>
        <w:t xml:space="preserve">بر عالم خارج نیز تاثیر می گذارند. اگر اعمال یا احکام ما با مصالح واقعی و ثابت در نفس </w:t>
      </w:r>
      <w:proofErr w:type="spellStart"/>
      <w:r w:rsidR="001A62B9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1A62B9">
        <w:rPr>
          <w:rFonts w:ascii="Tahoma" w:hAnsi="Tahoma" w:cs="B Mitra" w:hint="cs"/>
          <w:sz w:val="28"/>
          <w:szCs w:val="28"/>
          <w:rtl/>
          <w:lang w:bidi="fa-IR"/>
        </w:rPr>
        <w:t xml:space="preserve"> مطابقت داشته باشد، مصلحت در آنها نمایان می شود و به سعادت انسان منتهی می </w:t>
      </w:r>
      <w:proofErr w:type="spellStart"/>
      <w:r w:rsidR="001A62B9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 w:rsidR="00774C27">
        <w:rPr>
          <w:rFonts w:ascii="Tahoma" w:hAnsi="Tahoma" w:cs="B Mitra" w:hint="cs"/>
          <w:sz w:val="28"/>
          <w:szCs w:val="28"/>
          <w:rtl/>
          <w:lang w:bidi="fa-IR"/>
        </w:rPr>
        <w:t>ف</w:t>
      </w:r>
      <w:proofErr w:type="spellEnd"/>
      <w:r w:rsidR="001A62B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33027">
        <w:rPr>
          <w:rFonts w:ascii="Tahoma" w:hAnsi="Tahoma" w:cs="B Mitra" w:hint="cs"/>
          <w:sz w:val="28"/>
          <w:szCs w:val="28"/>
          <w:rtl/>
          <w:lang w:bidi="fa-IR"/>
        </w:rPr>
        <w:t xml:space="preserve">ولی اگر اعمال یا احکام انسان مخالف مصالح واقعی و نفس </w:t>
      </w:r>
      <w:proofErr w:type="spellStart"/>
      <w:r w:rsidR="00533027">
        <w:rPr>
          <w:rFonts w:ascii="Tahoma" w:hAnsi="Tahoma" w:cs="B Mitra" w:hint="cs"/>
          <w:sz w:val="28"/>
          <w:szCs w:val="28"/>
          <w:rtl/>
          <w:lang w:bidi="fa-IR"/>
        </w:rPr>
        <w:t>الامری</w:t>
      </w:r>
      <w:proofErr w:type="spellEnd"/>
      <w:r w:rsidR="00533027">
        <w:rPr>
          <w:rFonts w:ascii="Tahoma" w:hAnsi="Tahoma" w:cs="B Mitra" w:hint="cs"/>
          <w:sz w:val="28"/>
          <w:szCs w:val="28"/>
          <w:rtl/>
          <w:lang w:bidi="fa-IR"/>
        </w:rPr>
        <w:t xml:space="preserve"> و مطابق با مفاسد واقعی و نفس </w:t>
      </w:r>
      <w:proofErr w:type="spellStart"/>
      <w:r w:rsidR="00533027">
        <w:rPr>
          <w:rFonts w:ascii="Tahoma" w:hAnsi="Tahoma" w:cs="B Mitra" w:hint="cs"/>
          <w:sz w:val="28"/>
          <w:szCs w:val="28"/>
          <w:rtl/>
          <w:lang w:bidi="fa-IR"/>
        </w:rPr>
        <w:t>الامری</w:t>
      </w:r>
      <w:proofErr w:type="spellEnd"/>
      <w:r w:rsidR="00533027">
        <w:rPr>
          <w:rFonts w:ascii="Tahoma" w:hAnsi="Tahoma" w:cs="B Mitra" w:hint="cs"/>
          <w:sz w:val="28"/>
          <w:szCs w:val="28"/>
          <w:rtl/>
          <w:lang w:bidi="fa-IR"/>
        </w:rPr>
        <w:t xml:space="preserve"> باشند، انسان را به سوی زیان و شر سوق می دهد.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212DFC" w:rsidRDefault="00533027" w:rsidP="0086682E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عقل انسان </w:t>
      </w:r>
      <w:r w:rsidR="00ED4C5C">
        <w:rPr>
          <w:rFonts w:ascii="Tahoma" w:hAnsi="Tahoma" w:cs="B Mitra" w:hint="cs"/>
          <w:sz w:val="28"/>
          <w:szCs w:val="28"/>
          <w:rtl/>
          <w:lang w:bidi="fa-IR"/>
        </w:rPr>
        <w:t>توانایی شناخت و درک این مفاهیم را دارد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D4C5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 xml:space="preserve">هر چند </w:t>
      </w:r>
      <w:r>
        <w:rPr>
          <w:rFonts w:ascii="Tahoma" w:hAnsi="Tahoma" w:cs="B Mitra" w:hint="cs"/>
          <w:sz w:val="28"/>
          <w:szCs w:val="28"/>
          <w:rtl/>
          <w:lang w:bidi="fa-IR"/>
        </w:rPr>
        <w:t>مصالح و مفاسد امور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اعتباری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ریشه عقلی دارند (اینها را عقل عملی اعتبار می کند) و آن ریشه عبارت است از اینکه انسان در مسیر زندگی خود جز طالب سعادت و بقاء نیست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از طرفی نیازها و نواقصی دارد که می خواهد با اعمال آگاهانه خود 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 xml:space="preserve">آنها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برطرف کند. انسان در اینجا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نبایدهایی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که او را به آن سعادت و بقا می رساند 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 xml:space="preserve">اعتبار و وضع می کند. </w:t>
      </w:r>
      <w:r>
        <w:rPr>
          <w:rFonts w:ascii="Tahoma" w:hAnsi="Tahoma" w:cs="B Mitra" w:hint="cs"/>
          <w:sz w:val="28"/>
          <w:szCs w:val="28"/>
          <w:rtl/>
          <w:lang w:bidi="fa-IR"/>
        </w:rPr>
        <w:t>وی این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 xml:space="preserve"> دستورالعمل ها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عالم تکوین وام گرفته است. </w:t>
      </w:r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مثلا به لحاظ عالم تکوین، اعضا و جوارح انسان در </w:t>
      </w:r>
      <w:proofErr w:type="spellStart"/>
      <w:r w:rsidR="00212DFC">
        <w:rPr>
          <w:rFonts w:ascii="Tahoma" w:hAnsi="Tahoma" w:cs="B Mitra" w:hint="cs"/>
          <w:sz w:val="28"/>
          <w:szCs w:val="28"/>
          <w:rtl/>
          <w:lang w:bidi="fa-IR"/>
        </w:rPr>
        <w:t>تملک</w:t>
      </w:r>
      <w:proofErr w:type="spellEnd"/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 او قرار دارند. وی با الگو گیری از این مالکیت تکوینی، یک مالکیت اعتباری را وضع </w:t>
      </w:r>
      <w:r w:rsidR="00212DFC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کرده 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 xml:space="preserve">و در مورد دارایی و اموال خود بکار برده است. امور دیگر نیز همین گونه است. </w:t>
      </w:r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بر این اساس همان گونه که گل زیبا است، عدالت را زیبا می داند و همان طور که مردار زشت و نفرت آور است، ظلم را قبیل و نفرت آور </w:t>
      </w:r>
      <w:r w:rsidR="0086682E">
        <w:rPr>
          <w:rFonts w:ascii="Tahoma" w:hAnsi="Tahoma" w:cs="B Mitra" w:hint="cs"/>
          <w:sz w:val="28"/>
          <w:szCs w:val="28"/>
          <w:rtl/>
          <w:lang w:bidi="fa-IR"/>
        </w:rPr>
        <w:t xml:space="preserve">می داند </w:t>
      </w:r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و همان طور که اعضای بدن او در </w:t>
      </w:r>
      <w:proofErr w:type="spellStart"/>
      <w:r w:rsidR="00212DFC">
        <w:rPr>
          <w:rFonts w:ascii="Tahoma" w:hAnsi="Tahoma" w:cs="B Mitra" w:hint="cs"/>
          <w:sz w:val="28"/>
          <w:szCs w:val="28"/>
          <w:rtl/>
          <w:lang w:bidi="fa-IR"/>
        </w:rPr>
        <w:t>تملک</w:t>
      </w:r>
      <w:proofErr w:type="spellEnd"/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212DFC">
        <w:rPr>
          <w:rFonts w:ascii="Tahoma" w:hAnsi="Tahoma" w:cs="B Mitra" w:hint="cs"/>
          <w:sz w:val="28"/>
          <w:szCs w:val="28"/>
          <w:rtl/>
          <w:lang w:bidi="fa-IR"/>
        </w:rPr>
        <w:t>اوست</w:t>
      </w:r>
      <w:proofErr w:type="spellEnd"/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، مال را نیز در </w:t>
      </w:r>
      <w:proofErr w:type="spellStart"/>
      <w:r w:rsidR="00212DFC">
        <w:rPr>
          <w:rFonts w:ascii="Tahoma" w:hAnsi="Tahoma" w:cs="B Mitra" w:hint="cs"/>
          <w:sz w:val="28"/>
          <w:szCs w:val="28"/>
          <w:rtl/>
          <w:lang w:bidi="fa-IR"/>
        </w:rPr>
        <w:t>ملکیت</w:t>
      </w:r>
      <w:proofErr w:type="spellEnd"/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 خود دانسته است. سایر </w:t>
      </w:r>
      <w:proofErr w:type="spellStart"/>
      <w:r w:rsidR="00212DFC">
        <w:rPr>
          <w:rFonts w:ascii="Tahoma" w:hAnsi="Tahoma" w:cs="B Mitra" w:hint="cs"/>
          <w:sz w:val="28"/>
          <w:szCs w:val="28"/>
          <w:rtl/>
          <w:lang w:bidi="fa-IR"/>
        </w:rPr>
        <w:t>اعتباریات</w:t>
      </w:r>
      <w:proofErr w:type="spellEnd"/>
      <w:r w:rsidR="00212DFC">
        <w:rPr>
          <w:rFonts w:ascii="Tahoma" w:hAnsi="Tahoma" w:cs="B Mitra" w:hint="cs"/>
          <w:sz w:val="28"/>
          <w:szCs w:val="28"/>
          <w:rtl/>
          <w:lang w:bidi="fa-IR"/>
        </w:rPr>
        <w:t xml:space="preserve"> نیز همین گونه است. </w:t>
      </w:r>
    </w:p>
    <w:p w:rsidR="00197D65" w:rsidRDefault="00212DFC" w:rsidP="007021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علامه سپس می فرماید از آنجا مقاصد زندگی اجتماعی دو گونه است: برخی همگانی و برخی تابع شرایط مکانی و زمانی خاص می باشند، لذا احکام اجتماعی انسان نیز دو گونه است: یک دسته احکام همگانی است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فرامکانی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فرازمانی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هستند و یک دسته احکام خاص که در شرایط خاص تاثیر گذار هستند.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مرحوم علامه در 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>اصول فلسفه و روش رئالیسم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 xml:space="preserve">اینگونه </w:t>
      </w:r>
      <w:r>
        <w:rPr>
          <w:rFonts w:ascii="Tahoma" w:hAnsi="Tahoma" w:cs="B Mitra" w:hint="cs"/>
          <w:sz w:val="28"/>
          <w:szCs w:val="28"/>
          <w:rtl/>
          <w:lang w:bidi="fa-IR"/>
        </w:rPr>
        <w:t>می فرماید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اعتبارات دو دسته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اعتبارات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الاعم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اعتبارات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الاخص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گونه اول اعتبارات فلسفی هستند و گونه دوم اعتبارات عملی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این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اعتباریات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دلیل اینکه تابع احساسات انسان هستند از جهت ثبات و تغییر و بقاء و زوال تابع آن احساس درونی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احساسات انسان 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دو گونه 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 xml:space="preserve">است: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احساسات عمومی که لازمه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نوعیت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انواع و تابع ساختمان طبیعی نوع هستند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مانند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محبت،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بغض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 xml:space="preserve">. گونه دیگر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احساس خصوصی 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قابل تبدیل و تغییر هستند. مثلا انسان می تواند هر سبک زندگی اجتماعی را که روزی خوب شمرده 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روز دیگر بد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شمارد</w:t>
      </w:r>
      <w:proofErr w:type="spellEnd"/>
      <w:r w:rsidR="007021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ولی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توان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>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درباره اصل اجتماع صرف نظر کند</w:t>
      </w:r>
      <w:r w:rsidR="007021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یا اصل خوبی یا بدی را به کلی نادیده بگیرد. در نتیجه اعتبارات عملی دو گونه هستند : اعتبارات ثابت و اعتبارات متغیر.</w:t>
      </w:r>
    </w:p>
    <w:p w:rsidR="00A76149" w:rsidRDefault="00A76149" w:rsidP="00A76149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حاصل آنچه علامه طباطبایی در تفسیر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بیان کردند چنین است:</w:t>
      </w:r>
      <w:bookmarkStart w:id="0" w:name="_GoBack"/>
      <w:bookmarkEnd w:id="0"/>
    </w:p>
    <w:p w:rsidR="00A76149" w:rsidRDefault="00A76149" w:rsidP="00A76149">
      <w:pPr>
        <w:pStyle w:val="ListParagraph"/>
        <w:numPr>
          <w:ilvl w:val="0"/>
          <w:numId w:val="14"/>
        </w:numPr>
        <w:jc w:val="both"/>
        <w:rPr>
          <w:rFonts w:ascii="Tahoma" w:hAnsi="Tahoma" w:cs="B Mitra" w:hint="cs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ثبوت وجود </w:t>
      </w:r>
    </w:p>
    <w:p w:rsidR="00A76149" w:rsidRDefault="00A76149" w:rsidP="00A76149">
      <w:pPr>
        <w:pStyle w:val="ListParagraph"/>
        <w:numPr>
          <w:ilvl w:val="0"/>
          <w:numId w:val="14"/>
        </w:numPr>
        <w:jc w:val="both"/>
        <w:rPr>
          <w:rFonts w:ascii="Tahoma" w:hAnsi="Tahoma" w:cs="B Mitra" w:hint="cs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ثبوت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ماهیات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. (اینها به واسطه ثبوت وجود دارای ثبوت هستند)</w:t>
      </w:r>
    </w:p>
    <w:p w:rsidR="00A76149" w:rsidRDefault="00A76149" w:rsidP="00A76149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ثبوت مفاهیم اعتباری عقلی </w:t>
      </w:r>
    </w:p>
    <w:p w:rsidR="00A76149" w:rsidRPr="00A76149" w:rsidRDefault="00A76149" w:rsidP="00A76149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ثبوت مربوط به مفاهیم اعتباری در حوزه عقل عملی.</w:t>
      </w:r>
    </w:p>
    <w:p w:rsidR="00197D65" w:rsidRDefault="00197D65" w:rsidP="006E28AB">
      <w:pPr>
        <w:jc w:val="both"/>
        <w:rPr>
          <w:rFonts w:ascii="Tahoma" w:hAnsi="Tahoma" w:cs="Traditional Arabic"/>
          <w:color w:val="008000"/>
          <w:sz w:val="24"/>
          <w:szCs w:val="24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A89" w:rsidRDefault="00831A89" w:rsidP="00BC6EBB">
      <w:pPr>
        <w:spacing w:after="0" w:line="240" w:lineRule="auto"/>
      </w:pPr>
      <w:r>
        <w:separator/>
      </w:r>
    </w:p>
  </w:endnote>
  <w:endnote w:type="continuationSeparator" w:id="0">
    <w:p w:rsidR="00831A89" w:rsidRDefault="00831A89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A89" w:rsidRDefault="00831A89" w:rsidP="00BC6EBB">
      <w:pPr>
        <w:spacing w:after="0" w:line="240" w:lineRule="auto"/>
      </w:pPr>
      <w:r>
        <w:separator/>
      </w:r>
    </w:p>
  </w:footnote>
  <w:footnote w:type="continuationSeparator" w:id="0">
    <w:p w:rsidR="00831A89" w:rsidRDefault="00831A89" w:rsidP="00BC6EBB">
      <w:pPr>
        <w:spacing w:after="0" w:line="240" w:lineRule="auto"/>
      </w:pPr>
      <w:r>
        <w:continuationSeparator/>
      </w:r>
    </w:p>
  </w:footnote>
  <w:footnote w:id="1">
    <w:p w:rsidR="0040309B" w:rsidRDefault="0040309B" w:rsidP="0040309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الحکمه</w:t>
      </w:r>
      <w:proofErr w:type="spellEnd"/>
      <w:r>
        <w:rPr>
          <w:rFonts w:hint="cs"/>
          <w:rtl/>
          <w:lang w:bidi="fa-IR"/>
        </w:rPr>
        <w:t>، مرحله اول، فصل دوم</w:t>
      </w:r>
    </w:p>
  </w:footnote>
  <w:footnote w:id="2">
    <w:p w:rsidR="0040309B" w:rsidRDefault="0040309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اسفار، ج1، ص 215 و ج7، ص 271، پاورقی</w:t>
      </w:r>
    </w:p>
  </w:footnote>
  <w:footnote w:id="3">
    <w:p w:rsidR="00212DFC" w:rsidRDefault="00212DF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 xml:space="preserve">، علامه طباطبایی، ج7، ص 119- 121 ، اصول فلسفه و روش رئالیسم، ج2، ص 385-  386، مقاله </w:t>
      </w:r>
      <w:proofErr w:type="spellStart"/>
      <w:r>
        <w:rPr>
          <w:rFonts w:hint="cs"/>
          <w:rtl/>
          <w:lang w:bidi="fa-IR"/>
        </w:rPr>
        <w:t>اعتباریات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C81CB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C81CB8">
      <w:rPr>
        <w:rFonts w:ascii="Tahoma" w:hAnsi="Tahoma" w:cs="Traditional Arabic" w:hint="cs"/>
        <w:sz w:val="28"/>
        <w:szCs w:val="28"/>
        <w:rtl/>
        <w:lang w:bidi="fa-IR"/>
      </w:rPr>
      <w:t>یک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81CB8">
      <w:rPr>
        <w:rFonts w:ascii="Tahoma" w:hAnsi="Tahoma" w:cs="Traditional Arabic" w:hint="cs"/>
        <w:sz w:val="28"/>
        <w:szCs w:val="28"/>
        <w:rtl/>
        <w:lang w:bidi="fa-IR"/>
      </w:rPr>
      <w:t>14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197D65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366854"/>
    <w:multiLevelType w:val="hybridMultilevel"/>
    <w:tmpl w:val="320EB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2B9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2DFC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3EFF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309B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027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214B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4C27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1A89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6682E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76149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4926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1CB8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D4C5C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11B3E0F-47DB-4E06-AFD4-EE12647A4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2021-01-03T16:37:00Z</dcterms:created>
  <dcterms:modified xsi:type="dcterms:W3CDTF">2021-01-03T17:32:00Z</dcterms:modified>
</cp:coreProperties>
</file>