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22A4" w:rsidRDefault="009022A4" w:rsidP="009022A4">
      <w:pPr>
        <w:rPr>
          <w:rtl/>
        </w:rPr>
      </w:pPr>
    </w:p>
    <w:p w:rsidR="003C5622" w:rsidRPr="00027E84" w:rsidRDefault="003C5622" w:rsidP="003C5622">
      <w:pPr>
        <w:rPr>
          <w:color w:val="FF0000"/>
          <w:rtl/>
        </w:rPr>
      </w:pPr>
      <w:r w:rsidRPr="00027E84">
        <w:rPr>
          <w:rFonts w:hint="cs"/>
          <w:color w:val="FF0000"/>
          <w:rtl/>
        </w:rPr>
        <w:t>تکفین میت کرونایی</w:t>
      </w:r>
    </w:p>
    <w:p w:rsidR="009022A4" w:rsidRDefault="00AC1C91" w:rsidP="009022A4">
      <w:pPr>
        <w:rPr>
          <w:rtl/>
        </w:rPr>
      </w:pPr>
      <w:r>
        <w:rPr>
          <w:rFonts w:hint="cs"/>
          <w:rtl/>
        </w:rPr>
        <w:t xml:space="preserve">سوال- </w:t>
      </w:r>
      <w:r w:rsidR="009022A4">
        <w:rPr>
          <w:rFonts w:hint="cs"/>
          <w:rtl/>
        </w:rPr>
        <w:t xml:space="preserve">هل یجب تکفینه بالاثواب الثلاثه و ما اذا لم تسمح السلطات </w:t>
      </w:r>
      <w:r>
        <w:rPr>
          <w:rFonts w:hint="cs"/>
          <w:rtl/>
        </w:rPr>
        <w:t>بفتح الکیس الذی یغطی به لیکفن بها؟</w:t>
      </w:r>
      <w:r w:rsidR="00B94AF6">
        <w:rPr>
          <w:rFonts w:hint="cs"/>
          <w:rtl/>
        </w:rPr>
        <w:t xml:space="preserve"> آیا بیمار کرونای باید به سه لباس کفن کرد؟ و در صورتی که مسئولان اجازه تکفین میت کرونایی را ندهند تکلیف چیست؟</w:t>
      </w:r>
    </w:p>
    <w:p w:rsidR="00EC066F" w:rsidRDefault="00B94AF6" w:rsidP="00027E84">
      <w:pPr>
        <w:rPr>
          <w:rtl/>
        </w:rPr>
      </w:pPr>
      <w:r>
        <w:rPr>
          <w:rFonts w:hint="cs"/>
          <w:rtl/>
        </w:rPr>
        <w:t>مشهور بین فقهای شیعه وجوب تکفین میت به اثواب ثلاثه است سید یزدی در عروه می فرماید:</w:t>
      </w:r>
      <w:r w:rsidR="00027E84">
        <w:rPr>
          <w:rFonts w:hint="cs"/>
          <w:rtl/>
        </w:rPr>
        <w:t xml:space="preserve"> </w:t>
      </w:r>
      <w:r>
        <w:rPr>
          <w:rFonts w:hint="cs"/>
          <w:rtl/>
        </w:rPr>
        <w:t>و يجب تكفينه بالوجوب الكفائي رجلا كان أو امرأة أو خنثى أو صغيرا بثلاث قطعات- الأولى المئزر و يجب أن يكون من السرة إلى الركبة و الأفضل من الصدر إلى القدم الثانية القميص و يجب أن يكون من المنكبين إلى نصف الساق و الأفضل إلى‌</w:t>
      </w:r>
      <w:r>
        <w:rPr>
          <w:rFonts w:ascii="Noor_Titr" w:hAnsi="Noor_Titr" w:cs="Noor_Titr" w:hint="cs"/>
          <w:color w:val="286564"/>
          <w:sz w:val="38"/>
          <w:szCs w:val="38"/>
          <w:rtl/>
        </w:rPr>
        <w:t xml:space="preserve"> </w:t>
      </w:r>
      <w:r>
        <w:rPr>
          <w:rFonts w:hint="cs"/>
          <w:rtl/>
        </w:rPr>
        <w:t>القدم الثالثة الإزار و يجب أن يغطى تمام البدن</w:t>
      </w:r>
      <w:r w:rsidR="00027E84">
        <w:rPr>
          <w:rStyle w:val="FootnoteReference"/>
          <w:rtl/>
        </w:rPr>
        <w:footnoteReference w:id="1"/>
      </w:r>
    </w:p>
    <w:p w:rsidR="009022A4" w:rsidRPr="00421065" w:rsidRDefault="00EC1F01" w:rsidP="00421065">
      <w:pPr>
        <w:rPr>
          <w:rtl/>
        </w:rPr>
      </w:pPr>
      <w:r>
        <w:rPr>
          <w:rFonts w:hint="cs"/>
          <w:rtl/>
        </w:rPr>
        <w:t xml:space="preserve">تکفین میت مسلمان </w:t>
      </w:r>
      <w:r w:rsidR="00B94AF6">
        <w:rPr>
          <w:rFonts w:hint="cs"/>
          <w:rtl/>
        </w:rPr>
        <w:t>واجب کفایی است</w:t>
      </w:r>
      <w:r>
        <w:rPr>
          <w:rFonts w:hint="cs"/>
          <w:rtl/>
        </w:rPr>
        <w:t>. فرق نمی کند میت مسلمان مرد، یا زن یا، یا خنثی و طفل ضغیر باشد. اخبار در حکم آن مستفیض هستند، یک فقیه در حکم مخالفت نکرده است. معنی وجوب کفایی این است که خداوند می خواهد میت مسلمان کفن بشود و اگر یک نفر اقدام به آن کند از دیگران ساقط می باشد. کفن میت مسلمان باید با سه قطعه باشد قطعه اول مئزر به معنی لنگ است. واجب است لنگ از ناف تا زانو باشد. بهتر است از سینه</w:t>
      </w:r>
      <w:r w:rsidR="00421065">
        <w:rPr>
          <w:rFonts w:hint="cs"/>
          <w:rtl/>
        </w:rPr>
        <w:t xml:space="preserve"> </w:t>
      </w:r>
      <w:r>
        <w:rPr>
          <w:rFonts w:hint="cs"/>
          <w:rtl/>
        </w:rPr>
        <w:t>تا قدم میت باشد. قطعه دوم، پیراهن که از شانه ها تا ساق باشد و مستحب است تا قدم های میت باشد.</w:t>
      </w:r>
      <w:r w:rsidR="00421065">
        <w:rPr>
          <w:rFonts w:hint="cs"/>
          <w:rtl/>
        </w:rPr>
        <w:t xml:space="preserve"> </w:t>
      </w:r>
      <w:r>
        <w:rPr>
          <w:rFonts w:hint="cs"/>
          <w:rtl/>
        </w:rPr>
        <w:t>قطعه سوم ازار است که تمام بدن میت را بپوشاند.</w:t>
      </w:r>
      <w:r w:rsidR="00EC066F">
        <w:rPr>
          <w:rFonts w:hint="cs"/>
          <w:rtl/>
        </w:rPr>
        <w:t xml:space="preserve"> این مقدار از کفن میت مسلمان، معروف ب</w:t>
      </w:r>
      <w:r w:rsidR="00421065">
        <w:rPr>
          <w:rFonts w:hint="cs"/>
          <w:rtl/>
        </w:rPr>
        <w:t>ی</w:t>
      </w:r>
      <w:r w:rsidR="00EC066F">
        <w:rPr>
          <w:rFonts w:hint="cs"/>
          <w:rtl/>
        </w:rPr>
        <w:t>ن فقهای شیعه است. لکن به سلاّر- سالار بن عبد العزیز دیلمی- نسبت داده شده، یک قطعه در تکفین میت کفایت می کند</w:t>
      </w:r>
      <w:r w:rsidR="00421065">
        <w:rPr>
          <w:rFonts w:hint="cs"/>
          <w:rtl/>
        </w:rPr>
        <w:t xml:space="preserve">.  </w:t>
      </w:r>
      <w:r w:rsidR="009022A4">
        <w:rPr>
          <w:rFonts w:hint="cs"/>
          <w:rtl/>
        </w:rPr>
        <w:t>فالواجب: توجيهه إلى القبلة: يجعل باطن قدميه إليها و وجهه تلقاها.</w:t>
      </w:r>
      <w:r w:rsidR="009022A4">
        <w:rPr>
          <w:rFonts w:ascii="Noor_Titr" w:hAnsi="Noor_Titr" w:cs="Noor_Titr" w:hint="cs"/>
          <w:color w:val="286564"/>
          <w:sz w:val="38"/>
          <w:szCs w:val="38"/>
          <w:rtl/>
        </w:rPr>
        <w:t xml:space="preserve"> </w:t>
      </w:r>
      <w:r w:rsidR="009022A4">
        <w:rPr>
          <w:rFonts w:hint="cs"/>
          <w:rtl/>
        </w:rPr>
        <w:t>و تغسيله مرة بم</w:t>
      </w:r>
      <w:r w:rsidR="00EC066F">
        <w:rPr>
          <w:rFonts w:hint="cs"/>
          <w:rtl/>
        </w:rPr>
        <w:t xml:space="preserve">اء القراح، و تكفينه بقطعة واحدة. </w:t>
      </w:r>
      <w:r w:rsidR="00421065">
        <w:rPr>
          <w:rStyle w:val="FootnoteReference"/>
          <w:rFonts w:ascii="Noor_Titr" w:hAnsi="Noor_Titr" w:cs="Noor_Titr"/>
          <w:color w:val="286564"/>
          <w:sz w:val="38"/>
          <w:szCs w:val="38"/>
          <w:rtl/>
        </w:rPr>
        <w:footnoteReference w:id="2"/>
      </w:r>
    </w:p>
    <w:p w:rsidR="009022A4" w:rsidRDefault="009022A4" w:rsidP="009022A4">
      <w:pPr>
        <w:rPr>
          <w:rtl/>
        </w:rPr>
      </w:pPr>
      <w:r>
        <w:rPr>
          <w:rFonts w:hint="cs"/>
          <w:rtl/>
        </w:rPr>
        <w:lastRenderedPageBreak/>
        <w:t xml:space="preserve">دلیل  مشهور بیست </w:t>
      </w:r>
      <w:r w:rsidR="00EC066F">
        <w:rPr>
          <w:rFonts w:hint="cs"/>
          <w:rtl/>
        </w:rPr>
        <w:t xml:space="preserve">ویک </w:t>
      </w:r>
      <w:r>
        <w:rPr>
          <w:rFonts w:hint="cs"/>
          <w:rtl/>
        </w:rPr>
        <w:t>روایت است</w:t>
      </w:r>
      <w:r w:rsidR="00EC066F">
        <w:rPr>
          <w:rFonts w:hint="cs"/>
          <w:rtl/>
        </w:rPr>
        <w:t xml:space="preserve">. در برخی روایات به یک قطعه و در برخی دیگر به دو قطعه تکیه شده است. ولی اینکه باید سه قطعه باشد روایت محمد بن مسلم دلالت بر آن می کند. </w:t>
      </w:r>
    </w:p>
    <w:p w:rsidR="00EC066F" w:rsidRPr="00284FA9" w:rsidRDefault="00EC066F" w:rsidP="00EC066F">
      <w:pPr>
        <w:rPr>
          <w:color w:val="008000"/>
          <w:rtl/>
        </w:rPr>
      </w:pPr>
      <w:r w:rsidRPr="00284FA9">
        <w:rPr>
          <w:rFonts w:hint="cs"/>
          <w:rtl/>
        </w:rPr>
        <w:t>وَ رَوَاهُ الْكُلَيْنِيُّ عَنْ عَلِيِّ بْنِ إِبْرَاهِيمَ عَنْ أَبِيهِ عَنْ حَمَّادِ بْنِ عُثْمَانَ عَنْ حَرِيزٍ عَنْ زُرَارَةَ وَ مُحَمَّدِ بْنِ مُسْلِمٍ مِثْلَهُ إِلَّا أَنَّهُ</w:t>
      </w:r>
      <w:r>
        <w:rPr>
          <w:rFonts w:cs="Noor_Lotus" w:hint="cs"/>
          <w:color w:val="0F005F"/>
          <w:rtl/>
        </w:rPr>
        <w:t xml:space="preserve"> </w:t>
      </w:r>
      <w:r w:rsidRPr="00284FA9">
        <w:rPr>
          <w:rFonts w:hint="cs"/>
          <w:color w:val="008000"/>
          <w:rtl/>
        </w:rPr>
        <w:t>قَالَ إِنَّمَا</w:t>
      </w:r>
      <w:r w:rsidRPr="00284FA9">
        <w:rPr>
          <w:rFonts w:hint="cs"/>
          <w:color w:val="008000"/>
        </w:rPr>
        <w:t>‌</w:t>
      </w:r>
      <w:r w:rsidRPr="00284FA9">
        <w:rPr>
          <w:rFonts w:hint="cs"/>
          <w:color w:val="008000"/>
          <w:rtl/>
        </w:rPr>
        <w:t xml:space="preserve"> الْكَفَنُ الْمَفْرُوضُ ثَلَاثَةُ أَثْوَابٍ وَ ثَوْبٌ تَامٌّ.</w:t>
      </w:r>
      <w:r w:rsidR="00284FA9">
        <w:rPr>
          <w:rStyle w:val="FootnoteReference"/>
          <w:color w:val="008000"/>
          <w:rtl/>
        </w:rPr>
        <w:footnoteReference w:id="3"/>
      </w:r>
    </w:p>
    <w:p w:rsidR="00EC066F" w:rsidRPr="001E130D" w:rsidRDefault="00EC066F" w:rsidP="00EC066F">
      <w:pPr>
        <w:rPr>
          <w:color w:val="008000"/>
          <w:rtl/>
        </w:rPr>
      </w:pPr>
      <w:r w:rsidRPr="00EC066F">
        <w:rPr>
          <w:rFonts w:hint="cs"/>
          <w:rtl/>
        </w:rPr>
        <w:t xml:space="preserve">وَ بِإِسْنَادِهِ عَنْ عَلِيِّ بْنِ إِبْرَاهِيمَ عَنْ أَبِيهِ عَنْ إِسْمَاعِيلَ عَنْ يُونُسَ عَنْ بَعْضِ رِجَالِهِ </w:t>
      </w:r>
      <w:r w:rsidRPr="001E130D">
        <w:rPr>
          <w:rFonts w:hint="cs"/>
          <w:color w:val="008000"/>
          <w:rtl/>
        </w:rPr>
        <w:t>عَنْ أَبِي عَبْدِ اللَّهِ أَوْ أَبِي جَعْفَرٍ ع قَالَ: الْكَفَنُ فَرِيضَةً لِلرِّجَالِ ثَلَاثَةُ أَثْوَابٍ وَ الْعِمَامَةُ وَ الْخِرْقَةُ سُنَّةٌ وَ أَمَّا النِّسَاءُ فَفَرِيضَتُهُ خَمْسَةُ أَثْوَابٍ.</w:t>
      </w:r>
      <w:r w:rsidR="001E130D">
        <w:rPr>
          <w:rStyle w:val="FootnoteReference"/>
          <w:color w:val="008000"/>
          <w:rtl/>
        </w:rPr>
        <w:footnoteReference w:id="4"/>
      </w:r>
    </w:p>
    <w:p w:rsidR="00EC066F" w:rsidRPr="00EC066F" w:rsidRDefault="00EC066F" w:rsidP="00EC066F">
      <w:pPr>
        <w:rPr>
          <w:rFonts w:ascii="Noor_Titr" w:hAnsi="Noor_Titr" w:cs="Noor_Titr"/>
          <w:color w:val="286564"/>
          <w:sz w:val="38"/>
          <w:szCs w:val="38"/>
          <w:rtl/>
        </w:rPr>
      </w:pPr>
      <w:r>
        <w:rPr>
          <w:rFonts w:cs="Noor_Lotus" w:hint="cs"/>
          <w:color w:val="0F005F"/>
          <w:rtl/>
        </w:rPr>
        <w:t>وَ</w:t>
      </w:r>
      <w:r>
        <w:rPr>
          <w:rFonts w:hint="cs"/>
          <w:rtl/>
        </w:rPr>
        <w:t xml:space="preserve"> عَنِ الْحُسَيْنِ بْنِ مُحَمَّدٍ عَنْ عَبْدِ اللَّهِ عَامِرٍ عَنْ عَلِيِّ بْنِ مَهْزِيَارَ عَنْ فَضَالَةَ عَنِ الْقَاسِمِ بْنِ بُرَيْدٍ عَنْ مُحَمَّدِ بْنِ مُسْلِمٍ </w:t>
      </w:r>
      <w:r w:rsidRPr="001E130D">
        <w:rPr>
          <w:rFonts w:hint="cs"/>
          <w:color w:val="008000"/>
          <w:rtl/>
        </w:rPr>
        <w:t>عَنْ أَبِي</w:t>
      </w:r>
      <w:r w:rsidRPr="001E130D">
        <w:rPr>
          <w:rFonts w:cs="Noor_Lotus" w:hint="cs"/>
          <w:color w:val="008000"/>
          <w:sz w:val="41"/>
          <w:szCs w:val="41"/>
        </w:rPr>
        <w:t>‌</w:t>
      </w:r>
      <w:r w:rsidRPr="001E130D">
        <w:rPr>
          <w:rFonts w:ascii="Noor_Titr" w:hAnsi="Noor_Titr" w:cs="Noor_Titr" w:hint="cs"/>
          <w:color w:val="008000"/>
          <w:sz w:val="38"/>
          <w:szCs w:val="38"/>
          <w:rtl/>
        </w:rPr>
        <w:t xml:space="preserve"> </w:t>
      </w:r>
      <w:r w:rsidRPr="001E130D">
        <w:rPr>
          <w:rFonts w:hint="cs"/>
          <w:color w:val="008000"/>
          <w:rtl/>
        </w:rPr>
        <w:t>جَعْفَرٍ ع قَالَ: يُكَفَّنُ ال</w:t>
      </w:r>
      <w:r w:rsidR="001E130D" w:rsidRPr="001E130D">
        <w:rPr>
          <w:rFonts w:hint="cs"/>
          <w:color w:val="008000"/>
          <w:rtl/>
        </w:rPr>
        <w:t>رَّجُلُ فِي ثَلَاثَةِ أَثْوَابٍ</w:t>
      </w:r>
      <w:r w:rsidRPr="001E130D">
        <w:rPr>
          <w:rFonts w:hint="cs"/>
          <w:color w:val="008000"/>
          <w:rtl/>
        </w:rPr>
        <w:t xml:space="preserve"> وَ الْمَرْأَةُ إِذَا كَانَت</w:t>
      </w:r>
      <w:r w:rsidR="001E130D" w:rsidRPr="001E130D">
        <w:rPr>
          <w:rFonts w:hint="cs"/>
          <w:color w:val="008000"/>
          <w:rtl/>
        </w:rPr>
        <w:t>ْ عَظِيمَةً فِي خَمْسَةٍ</w:t>
      </w:r>
      <w:r w:rsidRPr="001E130D">
        <w:rPr>
          <w:rFonts w:hint="cs"/>
          <w:color w:val="008000"/>
          <w:rtl/>
        </w:rPr>
        <w:t xml:space="preserve"> دِرْعٍ وَ مِنْطَقٍ وَ خِمَارٍ وَ لِفَافَتَيْنِ.</w:t>
      </w:r>
      <w:r w:rsidR="001E130D">
        <w:rPr>
          <w:rStyle w:val="FootnoteReference"/>
          <w:color w:val="008000"/>
          <w:rtl/>
        </w:rPr>
        <w:footnoteReference w:id="5"/>
      </w:r>
    </w:p>
    <w:p w:rsidR="00EC066F" w:rsidRPr="001E130D" w:rsidRDefault="00EC066F" w:rsidP="001E130D">
      <w:pPr>
        <w:rPr>
          <w:color w:val="008000"/>
          <w:rtl/>
        </w:rPr>
      </w:pPr>
      <w:r>
        <w:rPr>
          <w:rFonts w:cs="Noor_Lotus" w:hint="cs"/>
          <w:color w:val="0F005F"/>
          <w:rtl/>
        </w:rPr>
        <w:t>وَ</w:t>
      </w:r>
      <w:r>
        <w:rPr>
          <w:rFonts w:hint="cs"/>
          <w:rtl/>
        </w:rPr>
        <w:t xml:space="preserve"> عَنْ عِدَّةٍ مِنْ أَصْحَابِنَا عَنْ سَهْلِ بْنِ زِيَادٍ عَنْ أَحْمَدَ بْنِ مُحَمَّدِ بْنِ أَبِي نَصْرٍ عَنْ </w:t>
      </w:r>
      <w:r w:rsidRPr="001E130D">
        <w:rPr>
          <w:rFonts w:hint="cs"/>
          <w:color w:val="008000"/>
          <w:rtl/>
        </w:rPr>
        <w:t>عَبْدِ اللَّهِ بْنِ سِنَانٍ عَنْ أَبِي عَبْدِ اللَّهِ ع قَالَ: الْمَيِّتُ يُكَفَّنُ ف</w:t>
      </w:r>
      <w:r w:rsidR="001E130D" w:rsidRPr="001E130D">
        <w:rPr>
          <w:rFonts w:hint="cs"/>
          <w:color w:val="008000"/>
          <w:rtl/>
        </w:rPr>
        <w:t>ِي ثَلَاثَةٍ سِوَى الْعِمَامَةِ</w:t>
      </w:r>
      <w:r w:rsidRPr="001E130D">
        <w:rPr>
          <w:rFonts w:hint="cs"/>
          <w:color w:val="008000"/>
          <w:rtl/>
        </w:rPr>
        <w:t xml:space="preserve"> وَ الْخِرْقَةِ يَشُدُّ بِهَا وَرِكَيْهِ لِ</w:t>
      </w:r>
      <w:r w:rsidR="001E130D" w:rsidRPr="001E130D">
        <w:rPr>
          <w:rFonts w:hint="cs"/>
          <w:color w:val="008000"/>
          <w:rtl/>
        </w:rPr>
        <w:t>كَيْلَا يَبْدُوَ مِنْهُ شَيْ‌ءٌ</w:t>
      </w:r>
      <w:r w:rsidRPr="001E130D">
        <w:rPr>
          <w:rFonts w:hint="cs"/>
          <w:color w:val="008000"/>
          <w:rtl/>
        </w:rPr>
        <w:t xml:space="preserve"> وَ الْخِرْقَةُ وَ الْعِمَامَةُ لَا بُدَّ مِنْهُمَا وَ لَيْسَتَا مِنَ الْكَفَنِ.</w:t>
      </w:r>
      <w:r w:rsidR="001E130D">
        <w:rPr>
          <w:rStyle w:val="FootnoteReference"/>
          <w:color w:val="008000"/>
          <w:rtl/>
        </w:rPr>
        <w:footnoteReference w:id="6"/>
      </w:r>
    </w:p>
    <w:p w:rsidR="00375C66" w:rsidRPr="001E130D" w:rsidRDefault="00375C66" w:rsidP="00375C66">
      <w:pPr>
        <w:rPr>
          <w:color w:val="008000"/>
          <w:rtl/>
        </w:rPr>
      </w:pPr>
      <w:r>
        <w:rPr>
          <w:rFonts w:cs="Noor_Lotus" w:hint="cs"/>
          <w:color w:val="0F005F"/>
          <w:rtl/>
        </w:rPr>
        <w:t>وَ</w:t>
      </w:r>
      <w:r>
        <w:rPr>
          <w:rFonts w:hint="cs"/>
          <w:rtl/>
        </w:rPr>
        <w:t xml:space="preserve"> عَنْهُمْ عَنْ سَهْلٍ عَنِ الْحَسَنِ بْنِ مَحْبُوبٍ عَنِ ابْنِ رِئَابٍ </w:t>
      </w:r>
      <w:r w:rsidRPr="001E130D">
        <w:rPr>
          <w:rFonts w:hint="cs"/>
          <w:color w:val="008000"/>
          <w:rtl/>
        </w:rPr>
        <w:t>عَنِ الْحَلَبِيِّ قَالَ: قَالَ أَبُو عَبْدِ اللَّهِ ع فِي حَدِيثٍ إِنَّ أَبِي كَتَبَ فِي وَصِيَّتِهِ أَنْ أُكَفِّنَهُ فِي ثَلَاثَةِ أَثْوَابٍ أَحَدُهَا رِدَاءٌ لَهُ حِبَرَةٌ وَ ثَوْبٌ آخَرُ وَ قَمِيصٌ قُلْتُ وَ لِمَ كَتَبْتَ هَذَا قَالَ مَخَافَةَ قَوْلِ النَّاسِ وَ عَصَّبْنَاهُ بَعْدَ ذَلِكَ بِعِمَامَةٍ.</w:t>
      </w:r>
      <w:r w:rsidR="001E130D">
        <w:rPr>
          <w:rStyle w:val="FootnoteReference"/>
          <w:color w:val="008000"/>
          <w:rtl/>
        </w:rPr>
        <w:footnoteReference w:id="7"/>
      </w:r>
    </w:p>
    <w:p w:rsidR="00375C66" w:rsidRPr="008266A3" w:rsidRDefault="00375C66" w:rsidP="00375C66">
      <w:pPr>
        <w:rPr>
          <w:color w:val="008000"/>
          <w:rtl/>
        </w:rPr>
      </w:pPr>
      <w:r>
        <w:rPr>
          <w:rFonts w:cs="Noor_Lotus" w:hint="cs"/>
          <w:color w:val="0F005F"/>
          <w:rtl/>
        </w:rPr>
        <w:lastRenderedPageBreak/>
        <w:t>وَ</w:t>
      </w:r>
      <w:r>
        <w:rPr>
          <w:rFonts w:hint="cs"/>
          <w:rtl/>
        </w:rPr>
        <w:t xml:space="preserve"> عَنْهُمْ عَنِ الْحُسَيْنِ بْنِ الْحَسَنِ بْنِ يَزِيدَ عَنْ بَدْرٍ عَنْ أَبِيهِ عَنْ سَلَّامٍ أَبِي عَلِيٍّ الْخُرَاسَانِيِّ عَنْ سَلَّامِ بْنِ سَعِيدٍ الْمَخْزُومِيِّ </w:t>
      </w:r>
      <w:r w:rsidRPr="008266A3">
        <w:rPr>
          <w:rFonts w:hint="cs"/>
          <w:color w:val="008000"/>
          <w:rtl/>
        </w:rPr>
        <w:t>عَنْ أَبِي عَبْدِ اللَّهِ ع فِي حَدِيثٍ أَنَّ عَبَّادَ بْنَ كَثِيرٍ قَالَ لَهُ يَا أَبَا عَبْدِ اللَّهِ فِي كَمْ ثَوْبٍ كُفِّنَ رَسُولُ اللَّهِ ص قَالَ فِي ثَلَاثَةِ أَثْوَابٍ ثَوْبَيْنِ صُحَارِيَّيْنِ- وَ ثَوْبٍ حِبَرَةٍ وَ كَانَ فِي الْبُرْدِ قِلَّةٌ</w:t>
      </w:r>
      <w:r w:rsidR="008266A3">
        <w:rPr>
          <w:rStyle w:val="FootnoteReference"/>
          <w:color w:val="008000"/>
          <w:rtl/>
        </w:rPr>
        <w:footnoteReference w:id="8"/>
      </w:r>
      <w:r w:rsidRPr="008266A3">
        <w:rPr>
          <w:rFonts w:hint="cs"/>
          <w:color w:val="008000"/>
          <w:rtl/>
        </w:rPr>
        <w:t>.</w:t>
      </w:r>
    </w:p>
    <w:p w:rsidR="00375C66" w:rsidRDefault="00B309C9" w:rsidP="00375C66">
      <w:pPr>
        <w:rPr>
          <w:rtl/>
        </w:rPr>
      </w:pPr>
      <w:r>
        <w:rPr>
          <w:rFonts w:hint="cs"/>
          <w:rtl/>
        </w:rPr>
        <w:t xml:space="preserve">بنابراین </w:t>
      </w:r>
      <w:r w:rsidR="00375C66">
        <w:rPr>
          <w:rFonts w:hint="cs"/>
          <w:rtl/>
        </w:rPr>
        <w:t>مضمون این چند روایت وج</w:t>
      </w:r>
      <w:r>
        <w:rPr>
          <w:rFonts w:hint="cs"/>
          <w:rtl/>
        </w:rPr>
        <w:t>و</w:t>
      </w:r>
      <w:r w:rsidR="00375C66">
        <w:rPr>
          <w:rFonts w:hint="cs"/>
          <w:rtl/>
        </w:rPr>
        <w:t xml:space="preserve">ب کفن با سه قطعه است و موجب اطمئنان می شود لذا است که مشهور قائل به آن شده اند. اما نسبتی که به سلار در جواهر الکلام جج4 ص159  داده شده، نسبت درستی </w:t>
      </w:r>
      <w:r w:rsidR="00375C66" w:rsidRPr="00B309C9">
        <w:rPr>
          <w:rFonts w:hint="cs"/>
          <w:rtl/>
        </w:rPr>
        <w:t>است.</w:t>
      </w:r>
      <w:r>
        <w:rPr>
          <w:rFonts w:hint="cs"/>
          <w:rtl/>
        </w:rPr>
        <w:t xml:space="preserve"> دلیل سلار بر کفایت یک قطعه روایت زراره که در آن تعبیر به «او» شده و سلار از آن تخییر را فهمیده است.</w:t>
      </w:r>
    </w:p>
    <w:p w:rsidR="00B309C9" w:rsidRPr="008266A3" w:rsidRDefault="00B309C9" w:rsidP="00B309C9">
      <w:pPr>
        <w:rPr>
          <w:rFonts w:ascii="Noor_Titr" w:hAnsi="Noor_Titr" w:cs="Noor_Titr"/>
          <w:color w:val="008000"/>
          <w:sz w:val="38"/>
          <w:szCs w:val="38"/>
          <w:rtl/>
        </w:rPr>
      </w:pPr>
      <w:r>
        <w:rPr>
          <w:rFonts w:hint="cs"/>
          <w:rtl/>
        </w:rPr>
        <w:t xml:space="preserve">مُحَمَّدُ بْنُ الْحَسَنِ عَنِ الْمُفِيدِ عَنْ جَعْفَرِ بْنِ مُحَمَّدٍ عَنْ أَبِيهِ عَنْ سَعْدٍ عَنْ أَحْمَدَ بْنِ مُحَمَّدِ بْنِ عِيسَى عَنْ عَلِيِّ بْنِ حَدِيدٍ وَ ابْنِ أَبِي نَجْرَانَ جَمِيعاً عَنْ حَرِيزٍ </w:t>
      </w:r>
      <w:r w:rsidRPr="008266A3">
        <w:rPr>
          <w:rFonts w:hint="cs"/>
          <w:color w:val="008000"/>
          <w:rtl/>
        </w:rPr>
        <w:t xml:space="preserve">عَنْ زُرَارَةَ قَالَ: قُلْتُ لِأَبِي جَعْفَرٍ ع الْعِمَامَةُ لِلْمَيِّتِ مِنَ الْكَفَنِ هِيَ قَالَ لَا إِنَّمَا الْكَفَنُ الْمَفْرُوضُ ثَلَاثَةُ أَثْوَابٍ أَوْ ثَوْبٌ تَامٌّ لَا أَقَلَّ مِنْهُ يُوَارَى فِيهِ جَسَدُهُ كُلُّهُ فَمَا زَادَ فَهُوَ سُنَّةٌ إِلَى أَنْ يَبْلُغَ خَمْسَةً فَمَا زَادَ فَمُبْتَدَعٌ وَ الْعِمَامَةُ سُنَّةٌ وَ قَالَ أَمَرَ النَّبِيُّ ص بِالْعِمَامَةِ وَ عُمِّمَ النَّبِيُّ (وَ بَعَثَنَا أَبُو عَبْدِ اللَّهِ ع وَ نَحْنُ بِالْمَدِينَةِ وَ مَاتَ أَبُو عُبَيْدَةَ الْحَذَّاءُ وَ بَعَثَ مَعَنَا بِدِينَارٍ فَأَمَرَنَا بِأَنْ نَشْتَرِيَ حَنُوطاً وَ عِمَامَةً فَفَعَلْنَا) </w:t>
      </w:r>
      <w:r w:rsidR="00F873BB">
        <w:rPr>
          <w:rStyle w:val="FootnoteReference"/>
          <w:rFonts w:ascii="Noor_Titr" w:hAnsi="Noor_Titr" w:cs="Noor_Titr"/>
          <w:color w:val="008000"/>
          <w:sz w:val="38"/>
          <w:szCs w:val="38"/>
          <w:rtl/>
        </w:rPr>
        <w:footnoteReference w:id="9"/>
      </w:r>
    </w:p>
    <w:p w:rsidR="00B309C9" w:rsidRPr="00F873BB" w:rsidRDefault="00B309C9" w:rsidP="00375C66">
      <w:pPr>
        <w:rPr>
          <w:color w:val="FF0000"/>
          <w:rtl/>
        </w:rPr>
      </w:pPr>
      <w:r w:rsidRPr="00F873BB">
        <w:rPr>
          <w:rFonts w:hint="cs"/>
          <w:color w:val="FF0000"/>
          <w:rtl/>
        </w:rPr>
        <w:t>سند روایت</w:t>
      </w:r>
    </w:p>
    <w:p w:rsidR="00B309C9" w:rsidRDefault="003B57FE" w:rsidP="00375C66">
      <w:pPr>
        <w:rPr>
          <w:rtl/>
        </w:rPr>
      </w:pPr>
      <w:r>
        <w:rPr>
          <w:rFonts w:hint="cs"/>
          <w:rtl/>
        </w:rPr>
        <w:t>شیخ طوسی از</w:t>
      </w:r>
      <w:r w:rsidR="00F873BB">
        <w:rPr>
          <w:rFonts w:hint="cs"/>
          <w:rtl/>
        </w:rPr>
        <w:t xml:space="preserve"> استاد خود شیخ مفید نقل می کند، او </w:t>
      </w:r>
      <w:r>
        <w:rPr>
          <w:rFonts w:hint="cs"/>
          <w:rtl/>
        </w:rPr>
        <w:t>از جعفر بن محمد بن قولویه، مقبره او در کاظمین کنار شیخ مفید است. سعد بن عبد الله قمی اشعری است.علی بن حدید ضعیف است ولی ابن ابی نجران ثقه است بنابراین روایت صحیحه است.</w:t>
      </w:r>
    </w:p>
    <w:p w:rsidR="003B57FE" w:rsidRPr="00F873BB" w:rsidRDefault="003B57FE" w:rsidP="00375C66">
      <w:pPr>
        <w:rPr>
          <w:color w:val="FF0000"/>
          <w:rtl/>
        </w:rPr>
      </w:pPr>
      <w:r w:rsidRPr="00F873BB">
        <w:rPr>
          <w:rFonts w:hint="cs"/>
          <w:color w:val="FF0000"/>
          <w:rtl/>
        </w:rPr>
        <w:t>دلالت روایت</w:t>
      </w:r>
    </w:p>
    <w:p w:rsidR="006D0EE8" w:rsidRDefault="003B57FE" w:rsidP="00906F27">
      <w:pPr>
        <w:rPr>
          <w:rtl/>
        </w:rPr>
      </w:pPr>
      <w:r>
        <w:rPr>
          <w:rFonts w:hint="cs"/>
          <w:rtl/>
        </w:rPr>
        <w:lastRenderedPageBreak/>
        <w:t>امام علیه السلام فرموده اند: « انما الکفن المفروض ثلاثة اثواب او ثوب تام»، ظاهر روایت تخییر بین اقل و اکثر است. بنابراین معنای روایت اینگونه می شود، واجب در کفن سه قطعه است ک</w:t>
      </w:r>
      <w:r w:rsidR="00F873BB">
        <w:rPr>
          <w:rFonts w:hint="cs"/>
          <w:rtl/>
        </w:rPr>
        <w:t>ه یکی از آنها باید شامل جمیع جس</w:t>
      </w:r>
      <w:r>
        <w:rPr>
          <w:rFonts w:hint="cs"/>
          <w:rtl/>
        </w:rPr>
        <w:t>د باشد یا کف</w:t>
      </w:r>
      <w:r w:rsidR="00F873BB">
        <w:rPr>
          <w:rFonts w:hint="cs"/>
          <w:rtl/>
        </w:rPr>
        <w:t>ن یکی باشد که شامل جمیع جسد است</w:t>
      </w:r>
      <w:r>
        <w:rPr>
          <w:rFonts w:hint="cs"/>
          <w:rtl/>
        </w:rPr>
        <w:t xml:space="preserve">. </w:t>
      </w:r>
      <w:r w:rsidR="00F873BB">
        <w:rPr>
          <w:rFonts w:hint="cs"/>
          <w:rtl/>
        </w:rPr>
        <w:t xml:space="preserve">ولی </w:t>
      </w:r>
      <w:r>
        <w:rPr>
          <w:rFonts w:hint="cs"/>
          <w:rtl/>
        </w:rPr>
        <w:t>تخییر بین اقل و اکثر معقول نیست. شیخ طوسی روایت را با «او»  و مرحوم کلینی با « واو» نقل کرده است</w:t>
      </w:r>
      <w:r w:rsidR="00BA1AE4">
        <w:rPr>
          <w:rFonts w:hint="cs"/>
          <w:rtl/>
        </w:rPr>
        <w:t>. چون ذکر الخاص بعد العام است اشکالی ندارد. مانند فیها</w:t>
      </w:r>
      <w:r w:rsidR="00E660D3">
        <w:rPr>
          <w:rFonts w:hint="cs"/>
          <w:rtl/>
        </w:rPr>
        <w:t xml:space="preserve"> فاکحةٌ و</w:t>
      </w:r>
      <w:r w:rsidR="00BA1AE4">
        <w:rPr>
          <w:rFonts w:hint="cs"/>
          <w:rtl/>
        </w:rPr>
        <w:t xml:space="preserve"> نخل</w:t>
      </w:r>
      <w:r w:rsidR="00E660D3">
        <w:rPr>
          <w:rFonts w:hint="cs"/>
          <w:rtl/>
        </w:rPr>
        <w:t>ٌ</w:t>
      </w:r>
      <w:r w:rsidR="00BA1AE4">
        <w:rPr>
          <w:rFonts w:hint="cs"/>
          <w:rtl/>
        </w:rPr>
        <w:t xml:space="preserve"> و رمان</w:t>
      </w:r>
      <w:r w:rsidR="00E660D3">
        <w:rPr>
          <w:rFonts w:hint="cs"/>
          <w:rtl/>
        </w:rPr>
        <w:t>ٌ که نخل و رمان جزء فاکحه و میوه هستند. بلکه در بعضی نسخ تهذیب «او» است و بالاتر اصلا در برخی نسخ« او ثوب ٌ تامٌ» نیست و فقط « ثلاثة اثواب» است. در اتنساخ هایی که در قدیم می نوشتند او با واو نزدیک بودند بنابراین «او» یا « واو» نقش تعیین کنده ای در حکم ندارد. و اگر اصرار به تفاوت نقل ها شود نقل کلینی امتن است و مقدم بر نقل شیخ طوسی می شود. بنابراین جای شک و شبهه نیست که کفن سه قطعه است. این حکم وجوب کفن با سه قطعه اما در مورد میت کرونایی در جاهایی که</w:t>
      </w:r>
      <w:r w:rsidR="001C7A49">
        <w:rPr>
          <w:rFonts w:hint="cs"/>
          <w:rtl/>
        </w:rPr>
        <w:t xml:space="preserve"> نگران انتشار ویروس هستند و</w:t>
      </w:r>
      <w:r w:rsidR="00E660D3">
        <w:rPr>
          <w:rFonts w:hint="cs"/>
          <w:rtl/>
        </w:rPr>
        <w:t xml:space="preserve"> توجه به مسائل شرعی نمی شود اجازه تکفین داده نمی شود و فقط میت را در کیسه قرار می دهند و دفن می کنند.</w:t>
      </w:r>
      <w:r w:rsidR="001C7A49">
        <w:rPr>
          <w:rFonts w:hint="cs"/>
          <w:rtl/>
        </w:rPr>
        <w:t xml:space="preserve"> در چنین مواردی اگر امکان داشته باشد( اجازه بدهند) از روی کیسه کفن شود باید از روی کیسه کفن کنند اضافه بر آن در روایات وجوب تکفین گفته شده اما اینکه حتما باید بین بدن میت و کفن حائلی مانند کیسه نباشد اشاره ای به آن نشده است. و اگر امکان تکفین با یک قطعه باشد به دلیل قاعده میسور- ما لایدرک کله لا یترک کله- با همان یک قطعه کفن کنند. گر چه فرض عدم امکان تکفین در روایت گفته نشده ولی سید در عروه متعرض آن شده است.</w:t>
      </w:r>
      <w:r w:rsidR="00906F27">
        <w:rPr>
          <w:rFonts w:hint="cs"/>
          <w:rtl/>
        </w:rPr>
        <w:t xml:space="preserve"> </w:t>
      </w:r>
      <w:r w:rsidR="001C7A49" w:rsidRPr="00906F27">
        <w:rPr>
          <w:rFonts w:hint="cs"/>
          <w:color w:val="000080"/>
          <w:rtl/>
        </w:rPr>
        <w:t>و إن لم يتمكن من ثلاث قطعات يكتفى بالمقدور و إن دار الأمر بين واحدة من الثلاث تجعل إزارا و إن لم يمكن فثوبا و إن لم يمكن إلا مقدار ستر العورة تعين و إن دار بين القبل و الدبر يقدم الأول‌</w:t>
      </w:r>
      <w:r w:rsidR="00906F27">
        <w:rPr>
          <w:rStyle w:val="FootnoteReference"/>
          <w:rtl/>
        </w:rPr>
        <w:footnoteReference w:id="10"/>
      </w:r>
      <w:r w:rsidR="001C7A49" w:rsidRPr="001C7A49">
        <w:rPr>
          <w:rFonts w:hint="cs"/>
          <w:rtl/>
        </w:rPr>
        <w:t>.</w:t>
      </w:r>
      <w:r w:rsidR="001C7A49">
        <w:rPr>
          <w:rFonts w:hint="cs"/>
          <w:rtl/>
        </w:rPr>
        <w:t xml:space="preserve"> و سید می فرماید اگر بین سه قطعه فقط امکان کفن با یک قطعه باشد با ازار کفن کند و اگر آن هم ممکن نباشد با ثوب کفن کند و اگر به مقدار ستر عورت ممکن باشد به همان اکفتا کند و اگر فقط </w:t>
      </w:r>
      <w:r w:rsidR="006D0EE8">
        <w:rPr>
          <w:rFonts w:hint="cs"/>
          <w:rtl/>
        </w:rPr>
        <w:t>امکان کفن کردن ق</w:t>
      </w:r>
      <w:r w:rsidR="00906F27">
        <w:rPr>
          <w:rFonts w:hint="cs"/>
          <w:rtl/>
        </w:rPr>
        <w:t>ُ</w:t>
      </w:r>
      <w:r w:rsidR="006D0EE8">
        <w:rPr>
          <w:rFonts w:hint="cs"/>
          <w:rtl/>
        </w:rPr>
        <w:t>ب</w:t>
      </w:r>
      <w:r w:rsidR="00906F27">
        <w:rPr>
          <w:rFonts w:hint="cs"/>
          <w:rtl/>
        </w:rPr>
        <w:t>ُ</w:t>
      </w:r>
      <w:r w:rsidR="006D0EE8">
        <w:rPr>
          <w:rFonts w:hint="cs"/>
          <w:rtl/>
        </w:rPr>
        <w:t xml:space="preserve">ل باشد نیز به آن اکتفا کند. فلسفه کفن در روایت فضل بن شاذان برای این است که عورت او مکشوف نشود لذا جناب سید می فرماید اگر فقط به مقدار عورت یا قبل باشد باید آن را کفن کند. </w:t>
      </w:r>
    </w:p>
    <w:p w:rsidR="006D0EE8" w:rsidRPr="00F873BB" w:rsidRDefault="006D0EE8" w:rsidP="006D0EE8">
      <w:pPr>
        <w:rPr>
          <w:color w:val="008000"/>
          <w:rtl/>
        </w:rPr>
      </w:pPr>
      <w:r>
        <w:rPr>
          <w:rFonts w:hint="cs"/>
          <w:rtl/>
        </w:rPr>
        <w:lastRenderedPageBreak/>
        <w:t xml:space="preserve">مُحَمَّدُ بْنُ عَلِيِّ بْنِ الْحُسَيْنِ فِي الْعِلَلِ وَ فِي عُيُونِ الْأَخْبَارِ بِإِسْنَادِهِ عَنِ الْفَضْلِ بْنِ شَاذَانَ </w:t>
      </w:r>
      <w:r w:rsidRPr="00F873BB">
        <w:rPr>
          <w:rFonts w:hint="cs"/>
          <w:color w:val="008000"/>
          <w:rtl/>
        </w:rPr>
        <w:t xml:space="preserve">عَنِ الرِّضَا ع قَالَ: إِنَّمَا أُمِرَ أَنْ يُكَفَّنَ الْمَيِّتُ- لِيَلْقَى رَبَّهُ عَزَّ وَ جَلَّ طَاهِرَ الْجَسَدِ وَ لِئَلَّا تَبْدُوَ عَوْرَتُهُ لِمَنْ يَحْمِلُهُ أَوْ يَدْفِنُهُ. </w:t>
      </w:r>
      <w:r w:rsidR="00F873BB">
        <w:rPr>
          <w:rStyle w:val="FootnoteReference"/>
          <w:color w:val="008000"/>
          <w:rtl/>
        </w:rPr>
        <w:footnoteReference w:id="11"/>
      </w:r>
    </w:p>
    <w:p w:rsidR="006D0EE8" w:rsidRDefault="006D0EE8" w:rsidP="006D0EE8">
      <w:pPr>
        <w:rPr>
          <w:rtl/>
        </w:rPr>
      </w:pPr>
      <w:r>
        <w:rPr>
          <w:rFonts w:hint="cs"/>
          <w:rtl/>
        </w:rPr>
        <w:t xml:space="preserve">یکی از مراجع تقلید درباره میت کرونایی همین فتوا را داده است« یجب تکفینه بالاثواب الثلاثة و لو من فوق الکیس و لو لم یتیسر تکفینه بها جمیعاً </w:t>
      </w:r>
      <w:r w:rsidR="0054383C">
        <w:rPr>
          <w:rFonts w:hint="cs"/>
          <w:rtl/>
        </w:rPr>
        <w:t>فلیکفن بالمتیسر منها کالازار الذی یغطی تمام البدن»</w:t>
      </w:r>
    </w:p>
    <w:p w:rsidR="0054383C" w:rsidRPr="00906F27" w:rsidRDefault="0054383C" w:rsidP="006D0EE8">
      <w:pPr>
        <w:rPr>
          <w:color w:val="FF0000"/>
          <w:rtl/>
        </w:rPr>
      </w:pPr>
      <w:r w:rsidRPr="00906F27">
        <w:rPr>
          <w:rFonts w:hint="cs"/>
          <w:color w:val="FF0000"/>
          <w:rtl/>
        </w:rPr>
        <w:t>حنوط میت کرونایی</w:t>
      </w:r>
    </w:p>
    <w:p w:rsidR="0054383C" w:rsidRPr="00906F27" w:rsidRDefault="0054383C" w:rsidP="00906F27">
      <w:pPr>
        <w:rPr>
          <w:rtl/>
        </w:rPr>
      </w:pPr>
      <w:r>
        <w:rPr>
          <w:rFonts w:hint="cs"/>
          <w:rtl/>
        </w:rPr>
        <w:t xml:space="preserve">سید یزدی درباره وجوب حنوط می فرماید: </w:t>
      </w:r>
      <w:r w:rsidRPr="00906F27">
        <w:rPr>
          <w:rFonts w:hint="cs"/>
          <w:color w:val="000080"/>
          <w:rtl/>
        </w:rPr>
        <w:t>و هو مسح الكافور على بدن الميت يجب مسحه على المساجد السبعة و هي‌ الجبهة و اليدان و الركبتان و إبهاما الرجلين و يستحب إضافة طرف الأنف إليها أيضا</w:t>
      </w:r>
      <w:r w:rsidR="00906F27">
        <w:rPr>
          <w:rStyle w:val="FootnoteReference"/>
          <w:rtl/>
        </w:rPr>
        <w:footnoteReference w:id="12"/>
      </w:r>
      <w:r w:rsidRPr="0054383C">
        <w:rPr>
          <w:rFonts w:hint="cs"/>
          <w:rtl/>
        </w:rPr>
        <w:t>.</w:t>
      </w:r>
    </w:p>
    <w:p w:rsidR="0054383C" w:rsidRDefault="00DC6FD0" w:rsidP="00DC6FD0">
      <w:pPr>
        <w:rPr>
          <w:rtl/>
        </w:rPr>
      </w:pPr>
      <w:r>
        <w:rPr>
          <w:rFonts w:hint="cs"/>
          <w:rtl/>
        </w:rPr>
        <w:t>مرحوم حک</w:t>
      </w:r>
      <w:r w:rsidR="0054383C">
        <w:rPr>
          <w:rFonts w:hint="cs"/>
          <w:rtl/>
        </w:rPr>
        <w:t>یم می فرماید حنوط عبا</w:t>
      </w:r>
      <w:r w:rsidR="00906F27">
        <w:rPr>
          <w:rFonts w:hint="cs"/>
          <w:rtl/>
        </w:rPr>
        <w:t>رت از کافور است و تحنیط،</w:t>
      </w:r>
      <w:r w:rsidR="0054383C">
        <w:rPr>
          <w:rFonts w:hint="cs"/>
          <w:rtl/>
        </w:rPr>
        <w:t xml:space="preserve"> مسح کافور بر بدن میت است. مسح به معنی مال</w:t>
      </w:r>
      <w:r w:rsidR="001414DE">
        <w:rPr>
          <w:rFonts w:hint="cs"/>
          <w:rtl/>
        </w:rPr>
        <w:t>یدن کافور بر مواضع سبعه است، نه گذاشتن کافور بر بدن</w:t>
      </w:r>
      <w:r w:rsidR="00E642B5">
        <w:rPr>
          <w:rFonts w:hint="cs"/>
          <w:rtl/>
        </w:rPr>
        <w:t xml:space="preserve">. مقداری بر پیشانی و بر کف دو دست او و مقداری بر دو زانو و بر دو انگشت ابهام پا و مستحب است روی بینی و زیر بغل و دیگر مفاصل بدن مانند باطن قدم و هر موضعی که رایحه کریه داشته باشد. زمان حنوط بعد از غسل است آری قبل </w:t>
      </w:r>
      <w:r>
        <w:rPr>
          <w:rFonts w:hint="cs"/>
          <w:rtl/>
        </w:rPr>
        <w:t>تکفین و</w:t>
      </w:r>
      <w:r w:rsidR="001414DE">
        <w:rPr>
          <w:rFonts w:hint="cs"/>
          <w:rtl/>
        </w:rPr>
        <w:t xml:space="preserve"> </w:t>
      </w:r>
      <w:r>
        <w:rPr>
          <w:rFonts w:hint="cs"/>
          <w:rtl/>
        </w:rPr>
        <w:t>بعد از غسل</w:t>
      </w:r>
      <w:r w:rsidR="00E642B5">
        <w:rPr>
          <w:rFonts w:hint="cs"/>
          <w:rtl/>
        </w:rPr>
        <w:t xml:space="preserve"> جایز است.</w:t>
      </w:r>
    </w:p>
    <w:p w:rsidR="00DD4EE9" w:rsidRDefault="001414DE" w:rsidP="00DD4EE9">
      <w:pPr>
        <w:rPr>
          <w:rtl/>
        </w:rPr>
      </w:pPr>
      <w:r>
        <w:rPr>
          <w:rFonts w:hint="cs"/>
          <w:rtl/>
        </w:rPr>
        <w:t>همه  فقهاء در وجوب حنوط متفق القول هستند، فقط مقدس اردبیلی در وجوب آن ت</w:t>
      </w:r>
      <w:r w:rsidR="00E642B5" w:rsidRPr="00DC6FD0">
        <w:rPr>
          <w:rFonts w:hint="cs"/>
          <w:rtl/>
        </w:rPr>
        <w:t>وقف کرده</w:t>
      </w:r>
      <w:r w:rsidR="00DC6FD0">
        <w:rPr>
          <w:rFonts w:hint="cs"/>
          <w:rtl/>
        </w:rPr>
        <w:t xml:space="preserve"> است. محقق خویی می گوید </w:t>
      </w:r>
      <w:r w:rsidR="00DD4EE9">
        <w:rPr>
          <w:rFonts w:hint="cs"/>
          <w:rtl/>
        </w:rPr>
        <w:t xml:space="preserve">کلام مقدس اردبیلی را ندیده. </w:t>
      </w:r>
      <w:r>
        <w:rPr>
          <w:rFonts w:hint="cs"/>
          <w:rtl/>
        </w:rPr>
        <w:t xml:space="preserve">عدم وجوب </w:t>
      </w:r>
      <w:r w:rsidR="00DD4EE9">
        <w:rPr>
          <w:rFonts w:hint="cs"/>
          <w:rtl/>
        </w:rPr>
        <w:t xml:space="preserve">به سلار نسبت داده شده </w:t>
      </w:r>
      <w:r>
        <w:rPr>
          <w:rFonts w:hint="cs"/>
          <w:rtl/>
        </w:rPr>
        <w:t xml:space="preserve"> </w:t>
      </w:r>
      <w:r w:rsidR="00DD4EE9">
        <w:rPr>
          <w:rFonts w:hint="cs"/>
          <w:rtl/>
        </w:rPr>
        <w:t xml:space="preserve">ولی حق این است که سلار نگفته کفن واجب نیست بلکه </w:t>
      </w:r>
      <w:r>
        <w:rPr>
          <w:rFonts w:hint="cs"/>
          <w:rtl/>
        </w:rPr>
        <w:t xml:space="preserve">سلار </w:t>
      </w:r>
      <w:r w:rsidR="00DD4EE9">
        <w:rPr>
          <w:rFonts w:hint="cs"/>
          <w:rtl/>
        </w:rPr>
        <w:t>صور مساله را گفته است. کسی که بعد از دینا آمدن بیمرد- یعنی در رحم نمیرد- بر دو قسم است. یکی، کمتر از شش سال داشته باشد</w:t>
      </w:r>
      <w:r w:rsidR="00AE2A61">
        <w:rPr>
          <w:rFonts w:hint="cs"/>
          <w:rtl/>
        </w:rPr>
        <w:t>. دوم، بیشتر از شش سال داشته باشد. و می فرماید اگر کمتر از شش سال داشته باشد کفن و تحنیط می شود. بنابراین نسبتی که به سلار داده شده درست نیست. دلیل آن روایتی است که وجوب حنوط در آن آمده است.</w:t>
      </w:r>
    </w:p>
    <w:p w:rsidR="00113289" w:rsidRPr="001414DE" w:rsidRDefault="00113289" w:rsidP="00113289">
      <w:pPr>
        <w:rPr>
          <w:color w:val="008000"/>
          <w:rtl/>
        </w:rPr>
      </w:pPr>
      <w:r>
        <w:rPr>
          <w:rFonts w:hint="cs"/>
          <w:rtl/>
        </w:rPr>
        <w:lastRenderedPageBreak/>
        <w:t xml:space="preserve">مُحَمَّدُ بْنُ يَعْقُوبَ عَنْ حُمَيْدِ بْنِ زِيَادٍ عَنِ الْحَسَنِ بْنِ مُحَمَّدٍ الْكِنْدِيِّ عَنْ أَحْمَدَ بْنِ الْحَسَنِ الْمِيثَمِيِّ عَنْ أَبَانِ بْنِ عُثْمَانَ </w:t>
      </w:r>
      <w:r w:rsidRPr="001414DE">
        <w:rPr>
          <w:rFonts w:hint="cs"/>
          <w:color w:val="008000"/>
          <w:rtl/>
        </w:rPr>
        <w:t>عَنْ عَبْدِ الرَّحْمَنِ بْنِ أَبِي عَبْدِ اللَّهِ قَالَ: سَأَلْتُ أَبَا عَبْدِ اللَّهِ ع عَنِ الْحَنُوطِ لِلْمَيِّتِ فَقَالَ اجْعَلْهُ فِي مَسَاجِدِهِ</w:t>
      </w:r>
      <w:r w:rsidR="001414DE" w:rsidRPr="001414DE">
        <w:rPr>
          <w:rStyle w:val="FootnoteReference"/>
          <w:color w:val="008000"/>
          <w:rtl/>
        </w:rPr>
        <w:footnoteReference w:id="13"/>
      </w:r>
      <w:r w:rsidRPr="001414DE">
        <w:rPr>
          <w:rFonts w:hint="cs"/>
          <w:color w:val="008000"/>
          <w:rtl/>
        </w:rPr>
        <w:t>.</w:t>
      </w:r>
    </w:p>
    <w:p w:rsidR="00AE2A61" w:rsidRPr="001414DE" w:rsidRDefault="00113289" w:rsidP="00DD4EE9">
      <w:pPr>
        <w:rPr>
          <w:color w:val="FF0000"/>
          <w:rtl/>
        </w:rPr>
      </w:pPr>
      <w:r w:rsidRPr="001414DE">
        <w:rPr>
          <w:rFonts w:hint="cs"/>
          <w:color w:val="FF0000"/>
          <w:rtl/>
        </w:rPr>
        <w:t>سند روایت</w:t>
      </w:r>
    </w:p>
    <w:p w:rsidR="00113289" w:rsidRDefault="00113289" w:rsidP="00DD4EE9">
      <w:pPr>
        <w:rPr>
          <w:rtl/>
        </w:rPr>
      </w:pPr>
      <w:r>
        <w:rPr>
          <w:rFonts w:hint="cs"/>
          <w:rtl/>
        </w:rPr>
        <w:t>حُمید بن زیاد از مشایخ کلینی است او از عُم</w:t>
      </w:r>
      <w:r w:rsidR="001414DE">
        <w:rPr>
          <w:rFonts w:hint="cs"/>
          <w:rtl/>
        </w:rPr>
        <w:t>َد واقفیه است. حسن بن محمد کندی،</w:t>
      </w:r>
      <w:r>
        <w:rPr>
          <w:rFonts w:hint="cs"/>
          <w:rtl/>
        </w:rPr>
        <w:t xml:space="preserve"> بیست و نه روایت دارد. کشی </w:t>
      </w:r>
      <w:r w:rsidR="001414DE">
        <w:rPr>
          <w:rFonts w:hint="cs"/>
          <w:rtl/>
        </w:rPr>
        <w:t xml:space="preserve">او را </w:t>
      </w:r>
      <w:r>
        <w:rPr>
          <w:rFonts w:hint="cs"/>
          <w:rtl/>
        </w:rPr>
        <w:t>توثیق کرده است. احمد ب</w:t>
      </w:r>
      <w:r w:rsidR="001414DE">
        <w:rPr>
          <w:rFonts w:hint="cs"/>
          <w:rtl/>
        </w:rPr>
        <w:t xml:space="preserve">ن حسن  میثمی، هفتاد روایت دارد، </w:t>
      </w:r>
      <w:r>
        <w:rPr>
          <w:rFonts w:hint="cs"/>
          <w:rtl/>
        </w:rPr>
        <w:t>او احمد بن حسن بن اسماعیل بن شعیب بن میثم تمار است.ثقة صحیح الحدیث معتمد</w:t>
      </w:r>
      <w:r w:rsidR="004D1E1A">
        <w:rPr>
          <w:rFonts w:hint="cs"/>
          <w:rtl/>
        </w:rPr>
        <w:t>ٌ</w:t>
      </w:r>
      <w:r>
        <w:rPr>
          <w:rFonts w:hint="cs"/>
          <w:rtl/>
        </w:rPr>
        <w:t xml:space="preserve"> علیه. ابان بن عثمان از اصحاب اجماع است. درباره او گفته شده« کان من القادیسیة» که علامه حلی « کان من الناووسیة» خوانده است. و گفته از فرقه ناوسیه است لذا به روایتی که تنها او نقل کند اعتماد نمی کند. در حالی که از ناووسیه نیست. به نظر می رسد این خبط نسخه است. عبد الرحمن ب</w:t>
      </w:r>
      <w:r w:rsidR="004D1E1A">
        <w:rPr>
          <w:rFonts w:hint="cs"/>
          <w:rtl/>
        </w:rPr>
        <w:t>ن ابی عبدالله، ثقةٌ هو و ابوه وجده</w:t>
      </w:r>
      <w:r>
        <w:rPr>
          <w:rFonts w:hint="cs"/>
          <w:rtl/>
        </w:rPr>
        <w:t>.</w:t>
      </w:r>
    </w:p>
    <w:p w:rsidR="00113289" w:rsidRPr="001414DE" w:rsidRDefault="00113289" w:rsidP="00DD4EE9">
      <w:pPr>
        <w:rPr>
          <w:color w:val="FF0000"/>
          <w:rtl/>
        </w:rPr>
      </w:pPr>
      <w:r w:rsidRPr="001414DE">
        <w:rPr>
          <w:rFonts w:hint="cs"/>
          <w:color w:val="FF0000"/>
          <w:rtl/>
        </w:rPr>
        <w:t>دلالت روایت</w:t>
      </w:r>
    </w:p>
    <w:p w:rsidR="00113289" w:rsidRDefault="0087181F" w:rsidP="00DD4EE9">
      <w:pPr>
        <w:rPr>
          <w:rtl/>
        </w:rPr>
      </w:pPr>
      <w:r>
        <w:rPr>
          <w:rFonts w:hint="cs"/>
          <w:rtl/>
        </w:rPr>
        <w:t>امام علیه السلام در « اجعله فی مساجده» حکم و جای مسح حنوط را فرموده است</w:t>
      </w:r>
    </w:p>
    <w:p w:rsidR="00DD4EE9" w:rsidRDefault="0087181F" w:rsidP="00DD4EE9">
      <w:pPr>
        <w:rPr>
          <w:rtl/>
        </w:rPr>
      </w:pPr>
      <w:r>
        <w:rPr>
          <w:rFonts w:hint="cs"/>
          <w:rtl/>
        </w:rPr>
        <w:t>سوال ش</w:t>
      </w:r>
      <w:r w:rsidR="004D1E1A">
        <w:rPr>
          <w:rFonts w:hint="cs"/>
          <w:rtl/>
        </w:rPr>
        <w:t>ده است اگر وجوب حنوط ممکن نباشد. بدل دارد؟</w:t>
      </w:r>
    </w:p>
    <w:p w:rsidR="0087181F" w:rsidRDefault="004D1E1A" w:rsidP="00DD4EE9">
      <w:pPr>
        <w:rPr>
          <w:rtl/>
        </w:rPr>
      </w:pPr>
      <w:r>
        <w:rPr>
          <w:rFonts w:hint="cs"/>
          <w:rtl/>
        </w:rPr>
        <w:t xml:space="preserve">س- </w:t>
      </w:r>
      <w:r w:rsidR="0087181F">
        <w:rPr>
          <w:rFonts w:hint="cs"/>
          <w:rtl/>
        </w:rPr>
        <w:t>اذا لم یتیسر تحنطیه بامساس مساجده السبعة بالکافور فهل له بدیل یعمل به؟</w:t>
      </w:r>
    </w:p>
    <w:p w:rsidR="00DD4EE9" w:rsidRDefault="004D1E1A" w:rsidP="00DD4EE9">
      <w:pPr>
        <w:rPr>
          <w:rtl/>
        </w:rPr>
      </w:pPr>
      <w:r>
        <w:rPr>
          <w:rFonts w:hint="cs"/>
          <w:rtl/>
        </w:rPr>
        <w:t>جواب- در روایات بدیلی برای کافور در صورتی که</w:t>
      </w:r>
      <w:r w:rsidR="001414DE">
        <w:rPr>
          <w:rFonts w:hint="cs"/>
          <w:rtl/>
        </w:rPr>
        <w:t xml:space="preserve"> تحنیط ممکن نباشد ذکر نشده است. </w:t>
      </w:r>
      <w:r>
        <w:rPr>
          <w:rFonts w:hint="cs"/>
          <w:rtl/>
        </w:rPr>
        <w:t>در این صورت تکلیف دیگری بر عهده نیست.</w:t>
      </w:r>
    </w:p>
    <w:p w:rsidR="004D1E1A" w:rsidRPr="001414DE" w:rsidRDefault="004D1E1A" w:rsidP="00DD4EE9">
      <w:pPr>
        <w:rPr>
          <w:color w:val="FF0000"/>
          <w:rtl/>
        </w:rPr>
      </w:pPr>
      <w:r w:rsidRPr="001414DE">
        <w:rPr>
          <w:rFonts w:hint="cs"/>
          <w:color w:val="FF0000"/>
          <w:rtl/>
        </w:rPr>
        <w:t>سوزاندن میت کرونایی</w:t>
      </w:r>
    </w:p>
    <w:p w:rsidR="004D1E1A" w:rsidRDefault="004D1E1A" w:rsidP="00DD4EE9">
      <w:pPr>
        <w:rPr>
          <w:rtl/>
        </w:rPr>
      </w:pPr>
      <w:r>
        <w:rPr>
          <w:rFonts w:hint="cs"/>
          <w:rtl/>
        </w:rPr>
        <w:lastRenderedPageBreak/>
        <w:t xml:space="preserve">س- در برخی بلاد غیر اسلامی برای جلوگیری از انتشار ویروس جنازه میت کرونایی را می سوزانند. اگر از اولیای میت مسلمان جازه خواستند برای جلوگیری </w:t>
      </w:r>
      <w:r w:rsidR="001414DE">
        <w:rPr>
          <w:rFonts w:hint="cs"/>
          <w:rtl/>
        </w:rPr>
        <w:t>از انتشار ویروس میت کرونایی آن</w:t>
      </w:r>
      <w:r>
        <w:rPr>
          <w:rFonts w:hint="cs"/>
          <w:rtl/>
        </w:rPr>
        <w:t xml:space="preserve"> را بسوزانند آیا جایز است اجازه بده</w:t>
      </w:r>
      <w:r w:rsidR="001414DE">
        <w:rPr>
          <w:rFonts w:hint="cs"/>
          <w:rtl/>
        </w:rPr>
        <w:t>ن</w:t>
      </w:r>
      <w:r>
        <w:rPr>
          <w:rFonts w:hint="cs"/>
          <w:rtl/>
        </w:rPr>
        <w:t xml:space="preserve">د؟ و اگر بتوانند مانع سوزاندن بشوند </w:t>
      </w:r>
      <w:r w:rsidR="001414DE">
        <w:rPr>
          <w:rFonts w:hint="cs"/>
          <w:rtl/>
        </w:rPr>
        <w:t>آ</w:t>
      </w:r>
      <w:bookmarkStart w:id="0" w:name="_GoBack"/>
      <w:bookmarkEnd w:id="0"/>
      <w:r>
        <w:rPr>
          <w:rFonts w:hint="cs"/>
          <w:rtl/>
        </w:rPr>
        <w:t>یا ممانعت لازم نیست؟</w:t>
      </w:r>
    </w:p>
    <w:p w:rsidR="0054383C" w:rsidRDefault="004D1E1A" w:rsidP="0003011B">
      <w:pPr>
        <w:rPr>
          <w:rtl/>
        </w:rPr>
      </w:pPr>
      <w:r>
        <w:rPr>
          <w:rFonts w:hint="cs"/>
          <w:rtl/>
        </w:rPr>
        <w:t>جواب- حرق و</w:t>
      </w:r>
      <w:r w:rsidR="001414DE">
        <w:rPr>
          <w:rFonts w:hint="cs"/>
          <w:rtl/>
        </w:rPr>
        <w:t xml:space="preserve"> </w:t>
      </w:r>
      <w:r>
        <w:rPr>
          <w:rFonts w:hint="cs"/>
          <w:rtl/>
        </w:rPr>
        <w:t xml:space="preserve">سوزاندن میت ملسمان بی حرمتی به آن است. باید ممانعت کنند و نگذارند میت مسلمان را بسوزانند و اگر نتوانستند ممانعت کنند تکلیفی بر عهده آنها نخواهد بود. خداوند می فرماید: لایکلف الله نفساً </w:t>
      </w:r>
      <w:r w:rsidR="00A33C0E">
        <w:rPr>
          <w:rFonts w:hint="cs"/>
          <w:rtl/>
        </w:rPr>
        <w:t>الا وسعها. قدرت شرط عمومی تکفین است.</w:t>
      </w:r>
      <w:r w:rsidR="00892296">
        <w:rPr>
          <w:rFonts w:hint="cs"/>
          <w:rtl/>
        </w:rPr>
        <w:t xml:space="preserve"> بنابراین در تجهیز میت مسلمان ضوابط شرعی رعایت بشود.</w:t>
      </w:r>
      <w:r w:rsidR="0003011B">
        <w:rPr>
          <w:rFonts w:hint="cs"/>
          <w:rtl/>
        </w:rPr>
        <w:t xml:space="preserve"> </w:t>
      </w:r>
    </w:p>
    <w:p w:rsidR="006D0EE8" w:rsidRPr="001C7A49" w:rsidRDefault="006D0EE8" w:rsidP="006D0EE8">
      <w:pPr>
        <w:rPr>
          <w:rtl/>
        </w:rPr>
      </w:pPr>
    </w:p>
    <w:p w:rsidR="001C7A49" w:rsidRDefault="001C7A49" w:rsidP="00E660D3">
      <w:pPr>
        <w:rPr>
          <w:rtl/>
        </w:rPr>
      </w:pPr>
    </w:p>
    <w:p w:rsidR="00E660D3" w:rsidRPr="00375C66" w:rsidRDefault="00E660D3" w:rsidP="00E660D3">
      <w:pPr>
        <w:rPr>
          <w:rtl/>
        </w:rPr>
      </w:pPr>
    </w:p>
    <w:p w:rsidR="00375C66" w:rsidRDefault="00375C66" w:rsidP="009022A4">
      <w:pPr>
        <w:rPr>
          <w:rtl/>
        </w:rPr>
      </w:pPr>
    </w:p>
    <w:p w:rsidR="00375C66" w:rsidRDefault="00375C66" w:rsidP="009022A4">
      <w:pPr>
        <w:rPr>
          <w:rtl/>
        </w:rPr>
      </w:pPr>
    </w:p>
    <w:p w:rsidR="00375C66" w:rsidRDefault="00375C66" w:rsidP="009022A4">
      <w:pPr>
        <w:rPr>
          <w:rtl/>
        </w:rPr>
      </w:pPr>
    </w:p>
    <w:p w:rsidR="008027AD" w:rsidRDefault="008027AD"/>
    <w:sectPr w:rsidR="008027AD" w:rsidSect="000E4C02">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7E84" w:rsidRDefault="00027E84" w:rsidP="00027E84">
      <w:pPr>
        <w:spacing w:after="0" w:line="240" w:lineRule="auto"/>
      </w:pPr>
      <w:r>
        <w:separator/>
      </w:r>
    </w:p>
  </w:endnote>
  <w:endnote w:type="continuationSeparator" w:id="0">
    <w:p w:rsidR="00027E84" w:rsidRDefault="00027E84" w:rsidP="00027E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aditional Arabic">
    <w:panose1 w:val="0201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B Titr">
    <w:altName w:val="Arial"/>
    <w:panose1 w:val="00000700000000000000"/>
    <w:charset w:val="B2"/>
    <w:family w:val="auto"/>
    <w:pitch w:val="variable"/>
    <w:sig w:usb0="00002001" w:usb1="80000000" w:usb2="00000008" w:usb3="00000000" w:csb0="00000040" w:csb1="00000000"/>
  </w:font>
  <w:font w:name="Noor_Titr">
    <w:panose1 w:val="02000700000000000000"/>
    <w:charset w:val="00"/>
    <w:family w:val="auto"/>
    <w:pitch w:val="variable"/>
    <w:sig w:usb0="80002007" w:usb1="80002000" w:usb2="00000008" w:usb3="00000000" w:csb0="00000043" w:csb1="00000000"/>
  </w:font>
  <w:font w:name="Noor_Lotus">
    <w:panose1 w:val="02000400000000000000"/>
    <w:charset w:val="00"/>
    <w:family w:val="auto"/>
    <w:pitch w:val="variable"/>
    <w:sig w:usb0="80002007" w:usb1="80002000" w:usb2="00000008" w:usb3="00000000" w:csb0="00000043"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7E84" w:rsidRDefault="00027E84" w:rsidP="00027E84">
      <w:pPr>
        <w:spacing w:after="0" w:line="240" w:lineRule="auto"/>
      </w:pPr>
      <w:r>
        <w:separator/>
      </w:r>
    </w:p>
  </w:footnote>
  <w:footnote w:type="continuationSeparator" w:id="0">
    <w:p w:rsidR="00027E84" w:rsidRDefault="00027E84" w:rsidP="00027E84">
      <w:pPr>
        <w:spacing w:after="0" w:line="240" w:lineRule="auto"/>
      </w:pPr>
      <w:r>
        <w:continuationSeparator/>
      </w:r>
    </w:p>
  </w:footnote>
  <w:footnote w:id="1">
    <w:p w:rsidR="00027E84" w:rsidRPr="00027E84" w:rsidRDefault="00027E84" w:rsidP="00027E84">
      <w:pPr>
        <w:pStyle w:val="FootnoteText"/>
        <w:rPr>
          <w:rtl/>
        </w:rPr>
      </w:pPr>
      <w:r w:rsidRPr="00027E84">
        <w:footnoteRef/>
      </w:r>
      <w:r w:rsidRPr="00027E84">
        <w:rPr>
          <w:rtl/>
        </w:rPr>
        <w:t xml:space="preserve"> </w:t>
      </w:r>
      <w:hyperlink r:id="rId1" w:history="1">
        <w:r w:rsidRPr="00027E84">
          <w:rPr>
            <w:rStyle w:val="Hyperlink"/>
            <w:rtl/>
          </w:rPr>
          <w:t>العروة الوثقى - جماعة المدرس</w:t>
        </w:r>
        <w:r w:rsidRPr="00027E84">
          <w:rPr>
            <w:rStyle w:val="Hyperlink"/>
            <w:rFonts w:hint="cs"/>
            <w:rtl/>
          </w:rPr>
          <w:t>ین،</w:t>
        </w:r>
        <w:r w:rsidRPr="00027E84">
          <w:rPr>
            <w:rStyle w:val="Hyperlink"/>
            <w:rtl/>
          </w:rPr>
          <w:t xml:space="preserve"> الطباطبائي اليزدي، السيد محمد كاظم، ج2، ص62</w:t>
        </w:r>
        <w:r>
          <w:rPr>
            <w:rStyle w:val="Hyperlink"/>
            <w:rFonts w:hint="cs"/>
            <w:rtl/>
          </w:rPr>
          <w:t>-63</w:t>
        </w:r>
        <w:r w:rsidRPr="00027E84">
          <w:rPr>
            <w:rStyle w:val="Hyperlink"/>
            <w:rtl/>
          </w:rPr>
          <w:t>.</w:t>
        </w:r>
      </w:hyperlink>
    </w:p>
  </w:footnote>
  <w:footnote w:id="2">
    <w:p w:rsidR="00421065" w:rsidRPr="00421065" w:rsidRDefault="00421065" w:rsidP="00421065">
      <w:pPr>
        <w:pStyle w:val="FootnoteText"/>
        <w:rPr>
          <w:rtl/>
        </w:rPr>
      </w:pPr>
      <w:r w:rsidRPr="00421065">
        <w:footnoteRef/>
      </w:r>
      <w:r w:rsidRPr="00421065">
        <w:rPr>
          <w:rtl/>
        </w:rPr>
        <w:t xml:space="preserve"> </w:t>
      </w:r>
      <w:hyperlink r:id="rId2" w:history="1">
        <w:r w:rsidRPr="00421065">
          <w:rPr>
            <w:rStyle w:val="Hyperlink"/>
            <w:rtl/>
          </w:rPr>
          <w:t>المراسم العلوية في النبوية، الديلمي، الشيخ ابى يعلي، ج1، ص47.</w:t>
        </w:r>
      </w:hyperlink>
    </w:p>
  </w:footnote>
  <w:footnote w:id="3">
    <w:p w:rsidR="00284FA9" w:rsidRPr="00284FA9" w:rsidRDefault="00284FA9" w:rsidP="00284FA9">
      <w:pPr>
        <w:pStyle w:val="FootnoteText"/>
        <w:rPr>
          <w:rtl/>
        </w:rPr>
      </w:pPr>
      <w:r w:rsidRPr="00284FA9">
        <w:footnoteRef/>
      </w:r>
      <w:r w:rsidRPr="00284FA9">
        <w:rPr>
          <w:rtl/>
        </w:rPr>
        <w:t xml:space="preserve"> </w:t>
      </w:r>
      <w:hyperlink r:id="rId3" w:history="1">
        <w:r w:rsidRPr="00284FA9">
          <w:rPr>
            <w:rStyle w:val="Hyperlink"/>
            <w:rtl/>
          </w:rPr>
          <w:t>وسائل الشيعة، الشيخ الحر العاملي، ج3، ص6، أبواب التکف</w:t>
        </w:r>
        <w:r w:rsidRPr="00284FA9">
          <w:rPr>
            <w:rStyle w:val="Hyperlink"/>
            <w:rFonts w:hint="cs"/>
            <w:rtl/>
          </w:rPr>
          <w:t>ین،</w:t>
        </w:r>
        <w:r w:rsidRPr="00284FA9">
          <w:rPr>
            <w:rStyle w:val="Hyperlink"/>
            <w:rtl/>
          </w:rPr>
          <w:t xml:space="preserve"> باب2، ح2، ط آل البيت.</w:t>
        </w:r>
      </w:hyperlink>
    </w:p>
  </w:footnote>
  <w:footnote w:id="4">
    <w:p w:rsidR="001E130D" w:rsidRPr="001E130D" w:rsidRDefault="001E130D" w:rsidP="001E130D">
      <w:pPr>
        <w:pStyle w:val="FootnoteText"/>
      </w:pPr>
      <w:r w:rsidRPr="001E130D">
        <w:footnoteRef/>
      </w:r>
      <w:r w:rsidRPr="001E130D">
        <w:rPr>
          <w:rtl/>
        </w:rPr>
        <w:t xml:space="preserve"> </w:t>
      </w:r>
      <w:hyperlink r:id="rId4" w:history="1">
        <w:r w:rsidRPr="001E130D">
          <w:rPr>
            <w:rStyle w:val="Hyperlink"/>
            <w:rtl/>
          </w:rPr>
          <w:t>وسائل الشيعة، الشيخ الحر العاملي، ج3، ص8، أبواب التکف</w:t>
        </w:r>
        <w:r w:rsidRPr="001E130D">
          <w:rPr>
            <w:rStyle w:val="Hyperlink"/>
            <w:rFonts w:hint="cs"/>
            <w:rtl/>
          </w:rPr>
          <w:t>ین،</w:t>
        </w:r>
        <w:r w:rsidRPr="001E130D">
          <w:rPr>
            <w:rStyle w:val="Hyperlink"/>
            <w:rtl/>
          </w:rPr>
          <w:t xml:space="preserve"> باب2، ح7، ط آل البيت.</w:t>
        </w:r>
      </w:hyperlink>
    </w:p>
  </w:footnote>
  <w:footnote w:id="5">
    <w:p w:rsidR="001E130D" w:rsidRPr="001E130D" w:rsidRDefault="001E130D" w:rsidP="001E130D">
      <w:pPr>
        <w:pStyle w:val="FootnoteText"/>
      </w:pPr>
      <w:r w:rsidRPr="001E130D">
        <w:footnoteRef/>
      </w:r>
      <w:r w:rsidRPr="001E130D">
        <w:rPr>
          <w:rtl/>
        </w:rPr>
        <w:t xml:space="preserve"> </w:t>
      </w:r>
      <w:hyperlink r:id="rId5" w:history="1">
        <w:r w:rsidRPr="001E130D">
          <w:rPr>
            <w:rStyle w:val="Hyperlink"/>
            <w:rFonts w:hint="cs"/>
            <w:rtl/>
          </w:rPr>
          <w:t>وسائل</w:t>
        </w:r>
        <w:r w:rsidRPr="001E130D">
          <w:rPr>
            <w:rStyle w:val="Hyperlink"/>
            <w:rtl/>
          </w:rPr>
          <w:t xml:space="preserve"> الشيعة، الشيخ الحر العاملي، ج3، ص8، أبواب التکف</w:t>
        </w:r>
        <w:r w:rsidRPr="001E130D">
          <w:rPr>
            <w:rStyle w:val="Hyperlink"/>
            <w:rFonts w:hint="cs"/>
            <w:rtl/>
          </w:rPr>
          <w:t>ین،</w:t>
        </w:r>
        <w:r w:rsidRPr="001E130D">
          <w:rPr>
            <w:rStyle w:val="Hyperlink"/>
            <w:rtl/>
          </w:rPr>
          <w:t xml:space="preserve"> باب2، ح</w:t>
        </w:r>
        <w:r>
          <w:rPr>
            <w:rStyle w:val="Hyperlink"/>
            <w:rFonts w:hint="cs"/>
            <w:rtl/>
          </w:rPr>
          <w:t>10-</w:t>
        </w:r>
        <w:r w:rsidRPr="001E130D">
          <w:rPr>
            <w:rStyle w:val="Hyperlink"/>
            <w:rtl/>
          </w:rPr>
          <w:t>9، ط آل البيت.</w:t>
        </w:r>
      </w:hyperlink>
    </w:p>
  </w:footnote>
  <w:footnote w:id="6">
    <w:p w:rsidR="001E130D" w:rsidRPr="001E130D" w:rsidRDefault="001E130D" w:rsidP="001E130D">
      <w:pPr>
        <w:pStyle w:val="FootnoteText"/>
        <w:rPr>
          <w:rtl/>
        </w:rPr>
      </w:pPr>
      <w:r w:rsidRPr="001E130D">
        <w:footnoteRef/>
      </w:r>
      <w:r w:rsidRPr="001E130D">
        <w:rPr>
          <w:rtl/>
        </w:rPr>
        <w:t xml:space="preserve"> </w:t>
      </w:r>
      <w:hyperlink r:id="rId6" w:history="1">
        <w:r w:rsidRPr="001E130D">
          <w:rPr>
            <w:rStyle w:val="Hyperlink"/>
            <w:rtl/>
          </w:rPr>
          <w:t>وسائل الشيعة، الشيخ الحر العاملي، ج3، ص9، أبواب التکف</w:t>
        </w:r>
        <w:r w:rsidRPr="001E130D">
          <w:rPr>
            <w:rStyle w:val="Hyperlink"/>
            <w:rFonts w:hint="cs"/>
            <w:rtl/>
          </w:rPr>
          <w:t>ین،</w:t>
        </w:r>
        <w:r w:rsidRPr="001E130D">
          <w:rPr>
            <w:rStyle w:val="Hyperlink"/>
            <w:rtl/>
          </w:rPr>
          <w:t xml:space="preserve"> باب2، ح12، ط آل البيت.</w:t>
        </w:r>
      </w:hyperlink>
    </w:p>
  </w:footnote>
  <w:footnote w:id="7">
    <w:p w:rsidR="001E130D" w:rsidRPr="001E130D" w:rsidRDefault="001E130D" w:rsidP="001E130D">
      <w:pPr>
        <w:pStyle w:val="FootnoteText"/>
        <w:rPr>
          <w:rtl/>
        </w:rPr>
      </w:pPr>
      <w:r w:rsidRPr="001E130D">
        <w:footnoteRef/>
      </w:r>
      <w:r w:rsidRPr="001E130D">
        <w:rPr>
          <w:rtl/>
        </w:rPr>
        <w:t xml:space="preserve"> </w:t>
      </w:r>
      <w:hyperlink r:id="rId7" w:history="1">
        <w:r w:rsidRPr="001E130D">
          <w:rPr>
            <w:rStyle w:val="Hyperlink"/>
            <w:rtl/>
          </w:rPr>
          <w:t>وسائل الشيعة، الشيخ الحر العاملي، ج3، ص10، أبواب التکف</w:t>
        </w:r>
        <w:r w:rsidRPr="001E130D">
          <w:rPr>
            <w:rStyle w:val="Hyperlink"/>
            <w:rFonts w:hint="cs"/>
            <w:rtl/>
          </w:rPr>
          <w:t>ین،</w:t>
        </w:r>
        <w:r w:rsidRPr="001E130D">
          <w:rPr>
            <w:rStyle w:val="Hyperlink"/>
            <w:rtl/>
          </w:rPr>
          <w:t xml:space="preserve"> باب2، ح13، ط آل البيت.</w:t>
        </w:r>
      </w:hyperlink>
    </w:p>
  </w:footnote>
  <w:footnote w:id="8">
    <w:p w:rsidR="008266A3" w:rsidRPr="008266A3" w:rsidRDefault="008266A3" w:rsidP="008266A3">
      <w:pPr>
        <w:pStyle w:val="FootnoteText"/>
        <w:rPr>
          <w:rtl/>
        </w:rPr>
      </w:pPr>
      <w:r w:rsidRPr="008266A3">
        <w:footnoteRef/>
      </w:r>
      <w:r w:rsidRPr="008266A3">
        <w:rPr>
          <w:rtl/>
        </w:rPr>
        <w:t xml:space="preserve"> </w:t>
      </w:r>
      <w:hyperlink r:id="rId8" w:history="1">
        <w:r w:rsidRPr="008266A3">
          <w:rPr>
            <w:rStyle w:val="Hyperlink"/>
            <w:rtl/>
          </w:rPr>
          <w:t>وسائل الشيعة، الشيخ الحر العاملي، ج3، ص11، أبواب التکف</w:t>
        </w:r>
        <w:r w:rsidRPr="008266A3">
          <w:rPr>
            <w:rStyle w:val="Hyperlink"/>
            <w:rFonts w:hint="cs"/>
            <w:rtl/>
          </w:rPr>
          <w:t>ین،</w:t>
        </w:r>
        <w:r w:rsidRPr="008266A3">
          <w:rPr>
            <w:rStyle w:val="Hyperlink"/>
            <w:rtl/>
          </w:rPr>
          <w:t xml:space="preserve"> باب2، ح17، ط آل البيت.</w:t>
        </w:r>
      </w:hyperlink>
    </w:p>
  </w:footnote>
  <w:footnote w:id="9">
    <w:p w:rsidR="00F873BB" w:rsidRPr="00F873BB" w:rsidRDefault="00F873BB" w:rsidP="00F873BB">
      <w:pPr>
        <w:pStyle w:val="FootnoteText"/>
        <w:rPr>
          <w:rtl/>
        </w:rPr>
      </w:pPr>
      <w:r w:rsidRPr="00F873BB">
        <w:footnoteRef/>
      </w:r>
      <w:r w:rsidRPr="00F873BB">
        <w:rPr>
          <w:rtl/>
        </w:rPr>
        <w:t xml:space="preserve"> </w:t>
      </w:r>
      <w:hyperlink r:id="rId9" w:history="1">
        <w:r w:rsidRPr="00F873BB">
          <w:rPr>
            <w:rStyle w:val="Hyperlink"/>
            <w:rtl/>
          </w:rPr>
          <w:t>وسائل الشيعة، الشيخ الحر العاملي، ج3، ص6، أبواب التکف</w:t>
        </w:r>
        <w:r w:rsidRPr="00F873BB">
          <w:rPr>
            <w:rStyle w:val="Hyperlink"/>
            <w:rFonts w:hint="cs"/>
            <w:rtl/>
          </w:rPr>
          <w:t>ین،</w:t>
        </w:r>
        <w:r w:rsidRPr="00F873BB">
          <w:rPr>
            <w:rStyle w:val="Hyperlink"/>
            <w:rtl/>
          </w:rPr>
          <w:t xml:space="preserve"> باب2، ح1، ط آل البيت.</w:t>
        </w:r>
      </w:hyperlink>
    </w:p>
  </w:footnote>
  <w:footnote w:id="10">
    <w:p w:rsidR="00906F27" w:rsidRPr="00906F27" w:rsidRDefault="00906F27" w:rsidP="00906F27">
      <w:pPr>
        <w:pStyle w:val="FootnoteText"/>
        <w:rPr>
          <w:rFonts w:hint="cs"/>
          <w:rtl/>
        </w:rPr>
      </w:pPr>
      <w:r w:rsidRPr="00906F27">
        <w:footnoteRef/>
      </w:r>
      <w:r w:rsidRPr="00906F27">
        <w:rPr>
          <w:rtl/>
        </w:rPr>
        <w:t xml:space="preserve"> </w:t>
      </w:r>
      <w:hyperlink r:id="rId10" w:history="1">
        <w:r w:rsidRPr="00906F27">
          <w:rPr>
            <w:rStyle w:val="Hyperlink"/>
            <w:rtl/>
          </w:rPr>
          <w:t>العروة الوثقى - جماعة المدرس</w:t>
        </w:r>
        <w:r w:rsidRPr="00906F27">
          <w:rPr>
            <w:rStyle w:val="Hyperlink"/>
            <w:rFonts w:hint="cs"/>
            <w:rtl/>
          </w:rPr>
          <w:t>ین،</w:t>
        </w:r>
        <w:r w:rsidRPr="00906F27">
          <w:rPr>
            <w:rStyle w:val="Hyperlink"/>
            <w:rtl/>
          </w:rPr>
          <w:t xml:space="preserve"> الطباطبائي اليزدي، السيد محمد كاظم، ج2، ص63</w:t>
        </w:r>
        <w:r>
          <w:rPr>
            <w:rStyle w:val="Hyperlink"/>
            <w:rFonts w:hint="cs"/>
            <w:rtl/>
          </w:rPr>
          <w:t>-64</w:t>
        </w:r>
        <w:r w:rsidRPr="00906F27">
          <w:rPr>
            <w:rStyle w:val="Hyperlink"/>
            <w:rtl/>
          </w:rPr>
          <w:t>.</w:t>
        </w:r>
      </w:hyperlink>
    </w:p>
  </w:footnote>
  <w:footnote w:id="11">
    <w:p w:rsidR="00F873BB" w:rsidRPr="00F873BB" w:rsidRDefault="00F873BB" w:rsidP="00F873BB">
      <w:pPr>
        <w:pStyle w:val="FootnoteText"/>
        <w:rPr>
          <w:rtl/>
        </w:rPr>
      </w:pPr>
      <w:r w:rsidRPr="00F873BB">
        <w:footnoteRef/>
      </w:r>
      <w:r w:rsidRPr="00F873BB">
        <w:rPr>
          <w:rtl/>
        </w:rPr>
        <w:t xml:space="preserve"> </w:t>
      </w:r>
      <w:hyperlink r:id="rId11" w:history="1">
        <w:r w:rsidRPr="00F873BB">
          <w:rPr>
            <w:rStyle w:val="Hyperlink"/>
            <w:rtl/>
          </w:rPr>
          <w:t>وسائل الشيعة، الشيخ الحر العاملي، ج3، ص5، أبواب التکف</w:t>
        </w:r>
        <w:r w:rsidRPr="00F873BB">
          <w:rPr>
            <w:rStyle w:val="Hyperlink"/>
            <w:rFonts w:hint="cs"/>
            <w:rtl/>
          </w:rPr>
          <w:t>ین،</w:t>
        </w:r>
        <w:r w:rsidRPr="00F873BB">
          <w:rPr>
            <w:rStyle w:val="Hyperlink"/>
            <w:rtl/>
          </w:rPr>
          <w:t xml:space="preserve"> باب1، ح1، ط آل البيت.</w:t>
        </w:r>
      </w:hyperlink>
    </w:p>
  </w:footnote>
  <w:footnote w:id="12">
    <w:p w:rsidR="00906F27" w:rsidRPr="00906F27" w:rsidRDefault="00906F27" w:rsidP="00906F27">
      <w:pPr>
        <w:pStyle w:val="FootnoteText"/>
        <w:rPr>
          <w:rFonts w:hint="cs"/>
          <w:rtl/>
        </w:rPr>
      </w:pPr>
      <w:r w:rsidRPr="00906F27">
        <w:footnoteRef/>
      </w:r>
      <w:r w:rsidRPr="00906F27">
        <w:rPr>
          <w:rtl/>
        </w:rPr>
        <w:t xml:space="preserve"> </w:t>
      </w:r>
      <w:hyperlink r:id="rId12" w:history="1">
        <w:r w:rsidRPr="00906F27">
          <w:rPr>
            <w:rStyle w:val="Hyperlink"/>
            <w:rtl/>
          </w:rPr>
          <w:t>العروة الوثقى - جماعة المدرس</w:t>
        </w:r>
        <w:r w:rsidRPr="00906F27">
          <w:rPr>
            <w:rStyle w:val="Hyperlink"/>
            <w:rFonts w:hint="cs"/>
            <w:rtl/>
          </w:rPr>
          <w:t>ین،</w:t>
        </w:r>
        <w:r w:rsidRPr="00906F27">
          <w:rPr>
            <w:rStyle w:val="Hyperlink"/>
            <w:rtl/>
          </w:rPr>
          <w:t xml:space="preserve"> الطباطبائي اليزدي، السيد محمد كاظم، ج2، ص79.</w:t>
        </w:r>
      </w:hyperlink>
    </w:p>
  </w:footnote>
  <w:footnote w:id="13">
    <w:p w:rsidR="001414DE" w:rsidRPr="001414DE" w:rsidRDefault="001414DE" w:rsidP="001414DE">
      <w:pPr>
        <w:pStyle w:val="FootnoteText"/>
        <w:rPr>
          <w:rFonts w:hint="cs"/>
        </w:rPr>
      </w:pPr>
      <w:r w:rsidRPr="001414DE">
        <w:footnoteRef/>
      </w:r>
      <w:r w:rsidRPr="001414DE">
        <w:rPr>
          <w:rtl/>
        </w:rPr>
        <w:t xml:space="preserve"> </w:t>
      </w:r>
      <w:hyperlink r:id="rId13" w:history="1">
        <w:r w:rsidRPr="001414DE">
          <w:rPr>
            <w:rStyle w:val="Hyperlink"/>
            <w:rtl/>
          </w:rPr>
          <w:t>وسائل الشيعة، الشيخ الحر العاملي، ج3، ص36، أبواب التکف</w:t>
        </w:r>
        <w:r w:rsidRPr="001414DE">
          <w:rPr>
            <w:rStyle w:val="Hyperlink"/>
            <w:rFonts w:hint="cs"/>
            <w:rtl/>
          </w:rPr>
          <w:t>ین،</w:t>
        </w:r>
        <w:r w:rsidRPr="001414DE">
          <w:rPr>
            <w:rStyle w:val="Hyperlink"/>
            <w:rtl/>
          </w:rPr>
          <w:t xml:space="preserve"> باب16، ح1، ط آل البيت.</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27E84" w:rsidRDefault="00027E84" w:rsidP="00027E84">
    <w:pPr>
      <w:pStyle w:val="Header"/>
      <w:jc w:val="center"/>
      <w:rPr>
        <w:rtl/>
      </w:rPr>
    </w:pPr>
    <w:r>
      <w:rPr>
        <w:rFonts w:hint="cs"/>
        <w:rtl/>
      </w:rPr>
      <w:t>درس خارج فقه مسائل کرونا ویروس</w:t>
    </w:r>
  </w:p>
  <w:p w:rsidR="00027E84" w:rsidRDefault="00027E84" w:rsidP="00027E84">
    <w:pPr>
      <w:pStyle w:val="Header"/>
      <w:jc w:val="center"/>
      <w:rPr>
        <w:rtl/>
      </w:rPr>
    </w:pPr>
    <w:r>
      <w:rPr>
        <w:rFonts w:hint="cs"/>
        <w:rtl/>
      </w:rPr>
      <w:t>استاد سید احمد خاتمی</w:t>
    </w:r>
  </w:p>
  <w:p w:rsidR="00027E84" w:rsidRDefault="00027E84" w:rsidP="00027E84">
    <w:pPr>
      <w:pStyle w:val="Header"/>
      <w:jc w:val="center"/>
    </w:pPr>
    <w:r>
      <w:rPr>
        <w:rFonts w:hint="cs"/>
        <w:rtl/>
      </w:rPr>
      <w:t>25/1/99</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2A4"/>
    <w:rsid w:val="00027E84"/>
    <w:rsid w:val="0003011B"/>
    <w:rsid w:val="000739A7"/>
    <w:rsid w:val="0008308E"/>
    <w:rsid w:val="000E4C02"/>
    <w:rsid w:val="00113289"/>
    <w:rsid w:val="001414DE"/>
    <w:rsid w:val="00152670"/>
    <w:rsid w:val="001C7A49"/>
    <w:rsid w:val="001E130D"/>
    <w:rsid w:val="0028337A"/>
    <w:rsid w:val="00284FA9"/>
    <w:rsid w:val="00375C66"/>
    <w:rsid w:val="003B57FE"/>
    <w:rsid w:val="003C5622"/>
    <w:rsid w:val="00421065"/>
    <w:rsid w:val="004D1E1A"/>
    <w:rsid w:val="0054383C"/>
    <w:rsid w:val="005A6F16"/>
    <w:rsid w:val="005C369A"/>
    <w:rsid w:val="00621D10"/>
    <w:rsid w:val="006D0EE8"/>
    <w:rsid w:val="006E7BEB"/>
    <w:rsid w:val="008027AD"/>
    <w:rsid w:val="00807BE3"/>
    <w:rsid w:val="008266A3"/>
    <w:rsid w:val="0087181F"/>
    <w:rsid w:val="00892296"/>
    <w:rsid w:val="0089488C"/>
    <w:rsid w:val="009022A4"/>
    <w:rsid w:val="00906F27"/>
    <w:rsid w:val="0091764E"/>
    <w:rsid w:val="00A33C0E"/>
    <w:rsid w:val="00A84BAB"/>
    <w:rsid w:val="00AC1C91"/>
    <w:rsid w:val="00AE2A61"/>
    <w:rsid w:val="00B309C9"/>
    <w:rsid w:val="00B54D2E"/>
    <w:rsid w:val="00B94AF6"/>
    <w:rsid w:val="00BA1AE4"/>
    <w:rsid w:val="00BB7F09"/>
    <w:rsid w:val="00C12DD7"/>
    <w:rsid w:val="00C26F21"/>
    <w:rsid w:val="00C518B3"/>
    <w:rsid w:val="00D9044F"/>
    <w:rsid w:val="00DB1526"/>
    <w:rsid w:val="00DC6FD0"/>
    <w:rsid w:val="00DD4EE9"/>
    <w:rsid w:val="00E642B5"/>
    <w:rsid w:val="00E660D3"/>
    <w:rsid w:val="00E673C6"/>
    <w:rsid w:val="00EC0531"/>
    <w:rsid w:val="00EC066F"/>
    <w:rsid w:val="00EC1F01"/>
    <w:rsid w:val="00F873BB"/>
  </w:rsids>
  <m:mathPr>
    <m:mathFont m:val="Cambria Math"/>
    <m:brkBin m:val="before"/>
    <m:brkBinSub m:val="--"/>
    <m:smallFrac m:val="0"/>
    <m:dispDef/>
    <m:lMargin m:val="0"/>
    <m:rMargin m:val="0"/>
    <m:defJc m:val="centerGroup"/>
    <m:wrapIndent m:val="1440"/>
    <m:intLim m:val="subSup"/>
    <m:naryLim m:val="undOvr"/>
  </m:mathPr>
  <w:themeFontLang w:val="en-US" w:eastAsia="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8632E4D-C17B-4550-80B6-85028DB601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raditional Arabic" w:eastAsiaTheme="minorHAnsi" w:hAnsi="Traditional Arabic" w:cs="Traditional Arabic"/>
        <w:b/>
        <w:bCs/>
        <w:sz w:val="28"/>
        <w:szCs w:val="28"/>
        <w:lang w:val="en-US" w:eastAsia="en-US" w:bidi="fa-IR"/>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022A4"/>
    <w:rPr>
      <w:rFonts w:cs="B Badr"/>
      <w:b w:val="0"/>
      <w:bCs w:val="0"/>
    </w:rPr>
  </w:style>
  <w:style w:type="paragraph" w:styleId="Heading1">
    <w:name w:val="heading 1"/>
    <w:basedOn w:val="Normal"/>
    <w:next w:val="Normal"/>
    <w:link w:val="Heading1Char"/>
    <w:uiPriority w:val="9"/>
    <w:qFormat/>
    <w:rsid w:val="005A6F16"/>
    <w:pPr>
      <w:keepNext/>
      <w:spacing w:before="120" w:after="0" w:line="276" w:lineRule="auto"/>
      <w:outlineLvl w:val="0"/>
    </w:pPr>
    <w:rPr>
      <w:rFonts w:ascii="Cambria" w:eastAsia="Times New Roman" w:hAnsi="Cambria" w:cs="B Titr"/>
      <w:bCs/>
      <w:color w:val="0100FF"/>
      <w:kern w:val="32"/>
      <w:sz w:val="32"/>
      <w:szCs w:val="32"/>
    </w:rPr>
  </w:style>
  <w:style w:type="paragraph" w:styleId="Heading2">
    <w:name w:val="heading 2"/>
    <w:basedOn w:val="Normal"/>
    <w:next w:val="Normal"/>
    <w:link w:val="Heading2Char"/>
    <w:uiPriority w:val="9"/>
    <w:unhideWhenUsed/>
    <w:qFormat/>
    <w:rsid w:val="005A6F16"/>
    <w:pPr>
      <w:keepNext/>
      <w:spacing w:before="240" w:after="60" w:line="276" w:lineRule="auto"/>
      <w:outlineLvl w:val="1"/>
    </w:pPr>
    <w:rPr>
      <w:rFonts w:ascii="Cambria" w:eastAsia="Times New Roman" w:hAnsi="Cambria" w:cs="B Titr"/>
      <w:bCs/>
      <w:i/>
      <w:color w:val="0000FE"/>
      <w:szCs w:val="32"/>
    </w:rPr>
  </w:style>
  <w:style w:type="paragraph" w:styleId="Heading3">
    <w:name w:val="heading 3"/>
    <w:basedOn w:val="Normal"/>
    <w:next w:val="Normal"/>
    <w:link w:val="Heading3Char"/>
    <w:uiPriority w:val="9"/>
    <w:unhideWhenUsed/>
    <w:qFormat/>
    <w:rsid w:val="005A6F16"/>
    <w:pPr>
      <w:keepNext/>
      <w:spacing w:before="240" w:after="60" w:line="276" w:lineRule="auto"/>
      <w:outlineLvl w:val="2"/>
    </w:pPr>
    <w:rPr>
      <w:rFonts w:ascii="Cambria" w:eastAsia="Times New Roman" w:hAnsi="Cambria" w:cs="B Titr"/>
      <w:bCs/>
      <w:color w:val="0000FD"/>
      <w:sz w:val="26"/>
    </w:rPr>
  </w:style>
  <w:style w:type="paragraph" w:styleId="Heading4">
    <w:name w:val="heading 4"/>
    <w:basedOn w:val="Normal"/>
    <w:next w:val="Normal"/>
    <w:link w:val="Heading4Char"/>
    <w:uiPriority w:val="9"/>
    <w:unhideWhenUsed/>
    <w:qFormat/>
    <w:rsid w:val="005A6F16"/>
    <w:pPr>
      <w:keepNext/>
      <w:spacing w:before="240" w:after="60" w:line="276" w:lineRule="auto"/>
      <w:outlineLvl w:val="3"/>
    </w:pPr>
    <w:rPr>
      <w:rFonts w:eastAsia="Times New Roman" w:cs="B Titr"/>
      <w:bCs/>
      <w:color w:val="0000FC"/>
      <w:szCs w:val="24"/>
    </w:rPr>
  </w:style>
  <w:style w:type="paragraph" w:styleId="Heading5">
    <w:name w:val="heading 5"/>
    <w:basedOn w:val="Normal"/>
    <w:next w:val="Normal"/>
    <w:link w:val="Heading5Char"/>
    <w:uiPriority w:val="9"/>
    <w:unhideWhenUsed/>
    <w:qFormat/>
    <w:rsid w:val="005A6F16"/>
    <w:pPr>
      <w:spacing w:before="240" w:after="60" w:line="276" w:lineRule="auto"/>
      <w:outlineLvl w:val="4"/>
    </w:pPr>
    <w:rPr>
      <w:rFonts w:eastAsia="Times New Roman" w:cs="B Titr"/>
      <w:bCs/>
      <w:i/>
      <w:color w:val="0000FB"/>
      <w:sz w:val="26"/>
      <w:szCs w:val="24"/>
    </w:rPr>
  </w:style>
  <w:style w:type="paragraph" w:styleId="Heading6">
    <w:name w:val="heading 6"/>
    <w:basedOn w:val="Normal"/>
    <w:next w:val="Normal"/>
    <w:link w:val="Heading6Char"/>
    <w:uiPriority w:val="9"/>
    <w:unhideWhenUsed/>
    <w:qFormat/>
    <w:rsid w:val="005A6F16"/>
    <w:pPr>
      <w:spacing w:before="240" w:after="60" w:line="276" w:lineRule="auto"/>
      <w:outlineLvl w:val="5"/>
    </w:pPr>
    <w:rPr>
      <w:rFonts w:eastAsia="Times New Roman" w:cs="B Titr"/>
      <w:bCs/>
      <w:color w:val="0000FA"/>
      <w:szCs w:val="24"/>
    </w:rPr>
  </w:style>
  <w:style w:type="paragraph" w:styleId="Heading7">
    <w:name w:val="heading 7"/>
    <w:basedOn w:val="Normal"/>
    <w:next w:val="Normal"/>
    <w:link w:val="Heading7Char"/>
    <w:uiPriority w:val="9"/>
    <w:unhideWhenUsed/>
    <w:qFormat/>
    <w:rsid w:val="005A6F16"/>
    <w:pPr>
      <w:spacing w:before="240" w:after="60" w:line="276" w:lineRule="auto"/>
      <w:outlineLvl w:val="6"/>
    </w:pPr>
    <w:rPr>
      <w:rFonts w:eastAsia="Times New Roman" w:cs="B Titr"/>
      <w:b/>
      <w:bCs/>
      <w:color w:val="0000F9"/>
      <w:sz w:val="24"/>
      <w:szCs w:val="24"/>
    </w:rPr>
  </w:style>
  <w:style w:type="paragraph" w:styleId="Heading8">
    <w:name w:val="heading 8"/>
    <w:basedOn w:val="Normal"/>
    <w:next w:val="Normal"/>
    <w:link w:val="Heading8Char"/>
    <w:uiPriority w:val="9"/>
    <w:unhideWhenUsed/>
    <w:qFormat/>
    <w:rsid w:val="005A6F16"/>
    <w:pPr>
      <w:spacing w:before="240" w:after="60" w:line="240" w:lineRule="auto"/>
      <w:outlineLvl w:val="7"/>
    </w:pPr>
    <w:rPr>
      <w:rFonts w:eastAsia="Times New Roman" w:cs="B Titr"/>
      <w:b/>
      <w:bCs/>
      <w:i/>
      <w:color w:val="0000F8"/>
      <w:sz w:val="24"/>
      <w:szCs w:val="24"/>
    </w:rPr>
  </w:style>
  <w:style w:type="paragraph" w:styleId="Heading9">
    <w:name w:val="heading 9"/>
    <w:basedOn w:val="Normal"/>
    <w:next w:val="Normal"/>
    <w:link w:val="Heading9Char"/>
    <w:uiPriority w:val="9"/>
    <w:unhideWhenUsed/>
    <w:qFormat/>
    <w:rsid w:val="005A6F16"/>
    <w:pPr>
      <w:spacing w:before="240" w:after="60" w:line="276" w:lineRule="auto"/>
      <w:outlineLvl w:val="8"/>
    </w:pPr>
    <w:rPr>
      <w:rFonts w:ascii="Cambria" w:eastAsia="Times New Roman" w:hAnsi="Cambria" w:cs="B Titr"/>
      <w:b/>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A6F16"/>
    <w:rPr>
      <w:rFonts w:ascii="Cambria" w:eastAsia="Times New Roman" w:hAnsi="Cambria" w:cs="B Titr"/>
      <w:b w:val="0"/>
      <w:color w:val="0100FF"/>
      <w:kern w:val="32"/>
      <w:sz w:val="32"/>
      <w:szCs w:val="32"/>
    </w:rPr>
  </w:style>
  <w:style w:type="character" w:customStyle="1" w:styleId="Heading2Char">
    <w:name w:val="Heading 2 Char"/>
    <w:link w:val="Heading2"/>
    <w:uiPriority w:val="9"/>
    <w:rsid w:val="005A6F16"/>
    <w:rPr>
      <w:rFonts w:ascii="Cambria" w:eastAsia="Times New Roman" w:hAnsi="Cambria" w:cs="B Titr"/>
      <w:b w:val="0"/>
      <w:i/>
      <w:color w:val="0000FE"/>
      <w:szCs w:val="32"/>
    </w:rPr>
  </w:style>
  <w:style w:type="character" w:customStyle="1" w:styleId="Heading3Char">
    <w:name w:val="Heading 3 Char"/>
    <w:link w:val="Heading3"/>
    <w:uiPriority w:val="9"/>
    <w:rsid w:val="005A6F16"/>
    <w:rPr>
      <w:rFonts w:ascii="Cambria" w:eastAsia="Times New Roman" w:hAnsi="Cambria" w:cs="B Titr"/>
      <w:b w:val="0"/>
      <w:color w:val="0000FD"/>
      <w:sz w:val="26"/>
    </w:rPr>
  </w:style>
  <w:style w:type="character" w:customStyle="1" w:styleId="Heading4Char">
    <w:name w:val="Heading 4 Char"/>
    <w:link w:val="Heading4"/>
    <w:uiPriority w:val="9"/>
    <w:rsid w:val="005A6F16"/>
    <w:rPr>
      <w:rFonts w:eastAsia="Times New Roman" w:cs="B Titr"/>
      <w:b w:val="0"/>
      <w:color w:val="0000FC"/>
      <w:szCs w:val="24"/>
    </w:rPr>
  </w:style>
  <w:style w:type="character" w:customStyle="1" w:styleId="Heading6Char">
    <w:name w:val="Heading 6 Char"/>
    <w:link w:val="Heading6"/>
    <w:uiPriority w:val="9"/>
    <w:rsid w:val="005A6F16"/>
    <w:rPr>
      <w:rFonts w:eastAsia="Times New Roman" w:cs="B Titr"/>
      <w:b w:val="0"/>
      <w:color w:val="0000FA"/>
      <w:szCs w:val="24"/>
    </w:rPr>
  </w:style>
  <w:style w:type="character" w:customStyle="1" w:styleId="Heading7Char">
    <w:name w:val="Heading 7 Char"/>
    <w:link w:val="Heading7"/>
    <w:uiPriority w:val="9"/>
    <w:rsid w:val="005A6F16"/>
    <w:rPr>
      <w:rFonts w:eastAsia="Times New Roman" w:cs="B Titr"/>
      <w:color w:val="0000F9"/>
      <w:sz w:val="24"/>
      <w:szCs w:val="24"/>
    </w:rPr>
  </w:style>
  <w:style w:type="character" w:customStyle="1" w:styleId="Heading8Char">
    <w:name w:val="Heading 8 Char"/>
    <w:link w:val="Heading8"/>
    <w:uiPriority w:val="9"/>
    <w:rsid w:val="005A6F16"/>
    <w:rPr>
      <w:rFonts w:eastAsia="Times New Roman" w:cs="B Titr"/>
      <w:i/>
      <w:color w:val="0000F8"/>
      <w:sz w:val="24"/>
      <w:szCs w:val="24"/>
    </w:rPr>
  </w:style>
  <w:style w:type="character" w:customStyle="1" w:styleId="Heading9Char">
    <w:name w:val="Heading 9 Char"/>
    <w:link w:val="Heading9"/>
    <w:uiPriority w:val="9"/>
    <w:rsid w:val="005A6F16"/>
    <w:rPr>
      <w:rFonts w:ascii="Cambria" w:eastAsia="Times New Roman" w:hAnsi="Cambria" w:cs="B Titr"/>
      <w:color w:val="0000F7"/>
      <w:szCs w:val="24"/>
    </w:rPr>
  </w:style>
  <w:style w:type="character" w:customStyle="1" w:styleId="Heading5Char">
    <w:name w:val="Heading 5 Char"/>
    <w:link w:val="Heading5"/>
    <w:uiPriority w:val="9"/>
    <w:rsid w:val="005A6F16"/>
    <w:rPr>
      <w:rFonts w:eastAsia="Times New Roman" w:cs="B Titr"/>
      <w:b w:val="0"/>
      <w:i/>
      <w:color w:val="0000FB"/>
      <w:sz w:val="26"/>
      <w:szCs w:val="24"/>
    </w:rPr>
  </w:style>
  <w:style w:type="paragraph" w:customStyle="1" w:styleId="Heading10">
    <w:name w:val="Heading 10"/>
    <w:basedOn w:val="Normal"/>
    <w:link w:val="Heading10Char"/>
    <w:qFormat/>
    <w:rsid w:val="00D9044F"/>
    <w:pPr>
      <w:spacing w:after="0" w:line="276" w:lineRule="auto"/>
    </w:pPr>
    <w:rPr>
      <w:rFonts w:cs="Traditional Arabic"/>
      <w:b/>
      <w:bCs/>
      <w:color w:val="FF0000"/>
    </w:rPr>
  </w:style>
  <w:style w:type="character" w:customStyle="1" w:styleId="Heading10Char">
    <w:name w:val="Heading 10 Char"/>
    <w:basedOn w:val="DefaultParagraphFont"/>
    <w:link w:val="Heading10"/>
    <w:rsid w:val="00D9044F"/>
    <w:rPr>
      <w:color w:val="FF0000"/>
    </w:rPr>
  </w:style>
  <w:style w:type="paragraph" w:styleId="NormalWeb">
    <w:name w:val="Normal (Web)"/>
    <w:basedOn w:val="Normal"/>
    <w:uiPriority w:val="99"/>
    <w:unhideWhenUsed/>
    <w:rsid w:val="00B94AF6"/>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027E84"/>
    <w:pPr>
      <w:tabs>
        <w:tab w:val="center" w:pos="4513"/>
        <w:tab w:val="right" w:pos="9026"/>
      </w:tabs>
      <w:spacing w:after="0" w:line="240" w:lineRule="auto"/>
    </w:pPr>
  </w:style>
  <w:style w:type="character" w:customStyle="1" w:styleId="HeaderChar">
    <w:name w:val="Header Char"/>
    <w:basedOn w:val="DefaultParagraphFont"/>
    <w:link w:val="Header"/>
    <w:uiPriority w:val="99"/>
    <w:rsid w:val="00027E84"/>
    <w:rPr>
      <w:rFonts w:cs="B Badr"/>
      <w:b w:val="0"/>
      <w:bCs w:val="0"/>
    </w:rPr>
  </w:style>
  <w:style w:type="paragraph" w:styleId="Footer">
    <w:name w:val="footer"/>
    <w:basedOn w:val="Normal"/>
    <w:link w:val="FooterChar"/>
    <w:uiPriority w:val="99"/>
    <w:unhideWhenUsed/>
    <w:rsid w:val="00027E84"/>
    <w:pPr>
      <w:tabs>
        <w:tab w:val="center" w:pos="4513"/>
        <w:tab w:val="right" w:pos="9026"/>
      </w:tabs>
      <w:spacing w:after="0" w:line="240" w:lineRule="auto"/>
    </w:pPr>
  </w:style>
  <w:style w:type="character" w:customStyle="1" w:styleId="FooterChar">
    <w:name w:val="Footer Char"/>
    <w:basedOn w:val="DefaultParagraphFont"/>
    <w:link w:val="Footer"/>
    <w:uiPriority w:val="99"/>
    <w:rsid w:val="00027E84"/>
    <w:rPr>
      <w:rFonts w:cs="B Badr"/>
      <w:b w:val="0"/>
      <w:bCs w:val="0"/>
    </w:rPr>
  </w:style>
  <w:style w:type="paragraph" w:styleId="FootnoteText">
    <w:name w:val="footnote text"/>
    <w:basedOn w:val="Normal"/>
    <w:link w:val="FootnoteTextChar"/>
    <w:uiPriority w:val="99"/>
    <w:unhideWhenUsed/>
    <w:rsid w:val="00027E84"/>
    <w:pPr>
      <w:spacing w:after="0" w:line="240" w:lineRule="auto"/>
    </w:pPr>
    <w:rPr>
      <w:sz w:val="20"/>
      <w:szCs w:val="20"/>
    </w:rPr>
  </w:style>
  <w:style w:type="character" w:customStyle="1" w:styleId="FootnoteTextChar">
    <w:name w:val="Footnote Text Char"/>
    <w:basedOn w:val="DefaultParagraphFont"/>
    <w:link w:val="FootnoteText"/>
    <w:uiPriority w:val="99"/>
    <w:rsid w:val="00027E84"/>
    <w:rPr>
      <w:rFonts w:cs="B Badr"/>
      <w:b w:val="0"/>
      <w:bCs w:val="0"/>
      <w:sz w:val="20"/>
      <w:szCs w:val="20"/>
    </w:rPr>
  </w:style>
  <w:style w:type="character" w:styleId="FootnoteReference">
    <w:name w:val="footnote reference"/>
    <w:basedOn w:val="DefaultParagraphFont"/>
    <w:uiPriority w:val="99"/>
    <w:semiHidden/>
    <w:unhideWhenUsed/>
    <w:rsid w:val="00027E84"/>
    <w:rPr>
      <w:vertAlign w:val="superscript"/>
    </w:rPr>
  </w:style>
  <w:style w:type="character" w:styleId="Hyperlink">
    <w:name w:val="Hyperlink"/>
    <w:basedOn w:val="DefaultParagraphFont"/>
    <w:uiPriority w:val="99"/>
    <w:unhideWhenUsed/>
    <w:rsid w:val="00027E84"/>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099105">
      <w:bodyDiv w:val="1"/>
      <w:marLeft w:val="0"/>
      <w:marRight w:val="0"/>
      <w:marTop w:val="0"/>
      <w:marBottom w:val="0"/>
      <w:divBdr>
        <w:top w:val="none" w:sz="0" w:space="0" w:color="auto"/>
        <w:left w:val="none" w:sz="0" w:space="0" w:color="auto"/>
        <w:bottom w:val="none" w:sz="0" w:space="0" w:color="auto"/>
        <w:right w:val="none" w:sz="0" w:space="0" w:color="auto"/>
      </w:divBdr>
    </w:div>
    <w:div w:id="86779142">
      <w:bodyDiv w:val="1"/>
      <w:marLeft w:val="0"/>
      <w:marRight w:val="0"/>
      <w:marTop w:val="0"/>
      <w:marBottom w:val="0"/>
      <w:divBdr>
        <w:top w:val="none" w:sz="0" w:space="0" w:color="auto"/>
        <w:left w:val="none" w:sz="0" w:space="0" w:color="auto"/>
        <w:bottom w:val="none" w:sz="0" w:space="0" w:color="auto"/>
        <w:right w:val="none" w:sz="0" w:space="0" w:color="auto"/>
      </w:divBdr>
    </w:div>
    <w:div w:id="468131867">
      <w:bodyDiv w:val="1"/>
      <w:marLeft w:val="0"/>
      <w:marRight w:val="0"/>
      <w:marTop w:val="0"/>
      <w:marBottom w:val="0"/>
      <w:divBdr>
        <w:top w:val="none" w:sz="0" w:space="0" w:color="auto"/>
        <w:left w:val="none" w:sz="0" w:space="0" w:color="auto"/>
        <w:bottom w:val="none" w:sz="0" w:space="0" w:color="auto"/>
        <w:right w:val="none" w:sz="0" w:space="0" w:color="auto"/>
      </w:divBdr>
    </w:div>
    <w:div w:id="590045974">
      <w:bodyDiv w:val="1"/>
      <w:marLeft w:val="0"/>
      <w:marRight w:val="0"/>
      <w:marTop w:val="0"/>
      <w:marBottom w:val="0"/>
      <w:divBdr>
        <w:top w:val="none" w:sz="0" w:space="0" w:color="auto"/>
        <w:left w:val="none" w:sz="0" w:space="0" w:color="auto"/>
        <w:bottom w:val="none" w:sz="0" w:space="0" w:color="auto"/>
        <w:right w:val="none" w:sz="0" w:space="0" w:color="auto"/>
      </w:divBdr>
    </w:div>
    <w:div w:id="719940663">
      <w:bodyDiv w:val="1"/>
      <w:marLeft w:val="0"/>
      <w:marRight w:val="0"/>
      <w:marTop w:val="0"/>
      <w:marBottom w:val="0"/>
      <w:divBdr>
        <w:top w:val="none" w:sz="0" w:space="0" w:color="auto"/>
        <w:left w:val="none" w:sz="0" w:space="0" w:color="auto"/>
        <w:bottom w:val="none" w:sz="0" w:space="0" w:color="auto"/>
        <w:right w:val="none" w:sz="0" w:space="0" w:color="auto"/>
      </w:divBdr>
    </w:div>
    <w:div w:id="824129594">
      <w:bodyDiv w:val="1"/>
      <w:marLeft w:val="0"/>
      <w:marRight w:val="0"/>
      <w:marTop w:val="0"/>
      <w:marBottom w:val="0"/>
      <w:divBdr>
        <w:top w:val="none" w:sz="0" w:space="0" w:color="auto"/>
        <w:left w:val="none" w:sz="0" w:space="0" w:color="auto"/>
        <w:bottom w:val="none" w:sz="0" w:space="0" w:color="auto"/>
        <w:right w:val="none" w:sz="0" w:space="0" w:color="auto"/>
      </w:divBdr>
    </w:div>
    <w:div w:id="945426882">
      <w:bodyDiv w:val="1"/>
      <w:marLeft w:val="0"/>
      <w:marRight w:val="0"/>
      <w:marTop w:val="0"/>
      <w:marBottom w:val="0"/>
      <w:divBdr>
        <w:top w:val="none" w:sz="0" w:space="0" w:color="auto"/>
        <w:left w:val="none" w:sz="0" w:space="0" w:color="auto"/>
        <w:bottom w:val="none" w:sz="0" w:space="0" w:color="auto"/>
        <w:right w:val="none" w:sz="0" w:space="0" w:color="auto"/>
      </w:divBdr>
    </w:div>
    <w:div w:id="1011837761">
      <w:bodyDiv w:val="1"/>
      <w:marLeft w:val="0"/>
      <w:marRight w:val="0"/>
      <w:marTop w:val="0"/>
      <w:marBottom w:val="0"/>
      <w:divBdr>
        <w:top w:val="none" w:sz="0" w:space="0" w:color="auto"/>
        <w:left w:val="none" w:sz="0" w:space="0" w:color="auto"/>
        <w:bottom w:val="none" w:sz="0" w:space="0" w:color="auto"/>
        <w:right w:val="none" w:sz="0" w:space="0" w:color="auto"/>
      </w:divBdr>
    </w:div>
    <w:div w:id="1183740143">
      <w:bodyDiv w:val="1"/>
      <w:marLeft w:val="0"/>
      <w:marRight w:val="0"/>
      <w:marTop w:val="0"/>
      <w:marBottom w:val="0"/>
      <w:divBdr>
        <w:top w:val="none" w:sz="0" w:space="0" w:color="auto"/>
        <w:left w:val="none" w:sz="0" w:space="0" w:color="auto"/>
        <w:bottom w:val="none" w:sz="0" w:space="0" w:color="auto"/>
        <w:right w:val="none" w:sz="0" w:space="0" w:color="auto"/>
      </w:divBdr>
    </w:div>
    <w:div w:id="1218979001">
      <w:bodyDiv w:val="1"/>
      <w:marLeft w:val="0"/>
      <w:marRight w:val="0"/>
      <w:marTop w:val="0"/>
      <w:marBottom w:val="0"/>
      <w:divBdr>
        <w:top w:val="none" w:sz="0" w:space="0" w:color="auto"/>
        <w:left w:val="none" w:sz="0" w:space="0" w:color="auto"/>
        <w:bottom w:val="none" w:sz="0" w:space="0" w:color="auto"/>
        <w:right w:val="none" w:sz="0" w:space="0" w:color="auto"/>
      </w:divBdr>
    </w:div>
    <w:div w:id="1285427979">
      <w:bodyDiv w:val="1"/>
      <w:marLeft w:val="0"/>
      <w:marRight w:val="0"/>
      <w:marTop w:val="0"/>
      <w:marBottom w:val="0"/>
      <w:divBdr>
        <w:top w:val="none" w:sz="0" w:space="0" w:color="auto"/>
        <w:left w:val="none" w:sz="0" w:space="0" w:color="auto"/>
        <w:bottom w:val="none" w:sz="0" w:space="0" w:color="auto"/>
        <w:right w:val="none" w:sz="0" w:space="0" w:color="auto"/>
      </w:divBdr>
    </w:div>
    <w:div w:id="1822767301">
      <w:bodyDiv w:val="1"/>
      <w:marLeft w:val="0"/>
      <w:marRight w:val="0"/>
      <w:marTop w:val="0"/>
      <w:marBottom w:val="0"/>
      <w:divBdr>
        <w:top w:val="none" w:sz="0" w:space="0" w:color="auto"/>
        <w:left w:val="none" w:sz="0" w:space="0" w:color="auto"/>
        <w:bottom w:val="none" w:sz="0" w:space="0" w:color="auto"/>
        <w:right w:val="none" w:sz="0" w:space="0" w:color="auto"/>
      </w:divBdr>
    </w:div>
    <w:div w:id="1908607892">
      <w:bodyDiv w:val="1"/>
      <w:marLeft w:val="0"/>
      <w:marRight w:val="0"/>
      <w:marTop w:val="0"/>
      <w:marBottom w:val="0"/>
      <w:divBdr>
        <w:top w:val="none" w:sz="0" w:space="0" w:color="auto"/>
        <w:left w:val="none" w:sz="0" w:space="0" w:color="auto"/>
        <w:bottom w:val="none" w:sz="0" w:space="0" w:color="auto"/>
        <w:right w:val="none" w:sz="0" w:space="0" w:color="auto"/>
      </w:divBdr>
    </w:div>
    <w:div w:id="19807221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footnotes.xml.rels><?xml version="1.0" encoding="UTF-8" standalone="yes"?>
<Relationships xmlns="http://schemas.openxmlformats.org/package/2006/relationships"><Relationship Id="rId8" Type="http://schemas.openxmlformats.org/officeDocument/2006/relationships/hyperlink" Target="http://lib.eshia.ir/11025/3/11/&#1581;&#1576;&#1585;&#1577;" TargetMode="External"/><Relationship Id="rId13" Type="http://schemas.openxmlformats.org/officeDocument/2006/relationships/hyperlink" Target="http://lib.eshia.ir/11025/3/36/&#1605;&#1587;&#1575;&#1580;&#1583;&#1607;" TargetMode="External"/><Relationship Id="rId3" Type="http://schemas.openxmlformats.org/officeDocument/2006/relationships/hyperlink" Target="http://lib.eshia.ir/11025/3/6/&#1575;&#1604;&#1605;&#1601;&#1585;&#1608;&#1590;" TargetMode="External"/><Relationship Id="rId7" Type="http://schemas.openxmlformats.org/officeDocument/2006/relationships/hyperlink" Target="http://lib.eshia.ir/11025/3/10/&#1576;&#1593;&#1605;&#1575;&#1605;&#1577;" TargetMode="External"/><Relationship Id="rId12" Type="http://schemas.openxmlformats.org/officeDocument/2006/relationships/hyperlink" Target="http://lib.eshia.ir/10027/2/79/&#1575;&#1604;&#1585;&#1580;&#1604;&#1740;&#1606;" TargetMode="External"/><Relationship Id="rId2" Type="http://schemas.openxmlformats.org/officeDocument/2006/relationships/hyperlink" Target="http://lib.eshia.ir/15105/1/47/&#1578;&#1608;&#1580;&#1740;&#1607;&#1607;" TargetMode="External"/><Relationship Id="rId1" Type="http://schemas.openxmlformats.org/officeDocument/2006/relationships/hyperlink" Target="http://lib.eshia.ir/10027/2/62/&#1602;&#1591;&#1593;&#1575;&#1578;" TargetMode="External"/><Relationship Id="rId6" Type="http://schemas.openxmlformats.org/officeDocument/2006/relationships/hyperlink" Target="http://lib.eshia.ir/11025/3/9/&#1575;&#1604;&#1593;&#1605;&#1575;&#1605;&#1577;" TargetMode="External"/><Relationship Id="rId11" Type="http://schemas.openxmlformats.org/officeDocument/2006/relationships/hyperlink" Target="http://lib.eshia.ir/11025/3/5/&#1604;&#1740;&#1604;&#1602;&#1740;" TargetMode="External"/><Relationship Id="rId5" Type="http://schemas.openxmlformats.org/officeDocument/2006/relationships/hyperlink" Target="http://lib.eshia.ir/11025/3/8/&#1740;&#1705;&#1601;&#1606;" TargetMode="External"/><Relationship Id="rId10" Type="http://schemas.openxmlformats.org/officeDocument/2006/relationships/hyperlink" Target="http://lib.eshia.ir/10027/2/63/&#1602;&#1591;&#1593;&#1575;&#1578;" TargetMode="External"/><Relationship Id="rId4" Type="http://schemas.openxmlformats.org/officeDocument/2006/relationships/hyperlink" Target="http://lib.eshia.ir/11025/3/8/&#1582;&#1605;&#1587;&#1577;" TargetMode="External"/><Relationship Id="rId9" Type="http://schemas.openxmlformats.org/officeDocument/2006/relationships/hyperlink" Target="http://lib.eshia.ir/11025/3/6/&#1740;&#1608;&#1575;&#1585;&#17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507</TotalTime>
  <Pages>7</Pages>
  <Words>1540</Words>
  <Characters>8780</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10300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drlaptop</dc:creator>
  <cp:keywords/>
  <dc:description/>
  <cp:lastModifiedBy>drlaptop</cp:lastModifiedBy>
  <cp:revision>17</cp:revision>
  <dcterms:created xsi:type="dcterms:W3CDTF">2020-04-15T18:57:00Z</dcterms:created>
  <dcterms:modified xsi:type="dcterms:W3CDTF">2020-04-24T07:17:00Z</dcterms:modified>
</cp:coreProperties>
</file>