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1283" w:rsidRDefault="00DE1283" w:rsidP="00DE1283">
      <w:pPr>
        <w:pStyle w:val="a3"/>
        <w:bidi/>
        <w:jc w:val="center"/>
        <w:rPr>
          <w:rFonts w:ascii="Al Nile" w:eastAsia="Al Nile" w:hAnsi="Al Nile" w:cs="Al Nile"/>
          <w:sz w:val="36"/>
          <w:szCs w:val="36"/>
          <w:lang w:val="ar-SA" w:bidi="ar-SA"/>
          <w14:textOutline w14:w="12700" w14:cap="flat" w14:cmpd="sng" w14:algn="ctr">
            <w14:noFill/>
            <w14:prstDash w14:val="solid"/>
            <w14:miter w14:lim="100000"/>
          </w14:textOutline>
        </w:rPr>
      </w:pPr>
      <w:r>
        <w:rPr>
          <w:rFonts w:ascii="Arial Unicode MS" w:hAnsi="Arial Unicode MS" w:hint="eastAsia"/>
          <w:sz w:val="36"/>
          <w:szCs w:val="36"/>
          <w:rtl/>
          <w:lang w:val="ar-SA" w:bidi="ar-SA"/>
          <w14:textOutline w14:w="12700" w14:cap="flat" w14:cmpd="sng" w14:algn="ctr">
            <w14:noFill/>
            <w14:prstDash w14:val="solid"/>
            <w14:miter w14:lim="100000"/>
          </w14:textOutline>
        </w:rPr>
        <w:t>بس</w:t>
      </w:r>
      <w:bookmarkStart w:id="0" w:name="_GoBack"/>
      <w:bookmarkEnd w:id="0"/>
      <w:r>
        <w:rPr>
          <w:rFonts w:ascii="Arial Unicode MS" w:hAnsi="Arial Unicode MS" w:hint="eastAsia"/>
          <w:sz w:val="36"/>
          <w:szCs w:val="36"/>
          <w:rtl/>
          <w:lang w:val="ar-SA" w:bidi="ar-SA"/>
          <w14:textOutline w14:w="12700" w14:cap="flat" w14:cmpd="sng" w14:algn="ctr">
            <w14:noFill/>
            <w14:prstDash w14:val="solid"/>
            <w14:miter w14:lim="100000"/>
          </w14:textOutline>
        </w:rPr>
        <w:t>م الله الرحمن الرحيم</w:t>
      </w:r>
    </w:p>
    <w:p w:rsidR="00DE1283" w:rsidRDefault="00DE1283" w:rsidP="00DE1283">
      <w:pPr>
        <w:pStyle w:val="a3"/>
        <w:bidi/>
        <w:jc w:val="center"/>
        <w:rPr>
          <w:rFonts w:ascii="Al Nile" w:eastAsia="Al Nile" w:hAnsi="Al Nile" w:cs="Al Nile"/>
          <w:sz w:val="36"/>
          <w:szCs w:val="36"/>
          <w:rtl/>
          <w:lang w:val="ar-SA" w:bidi="ar-SA"/>
          <w14:textOutline w14:w="12700" w14:cap="flat" w14:cmpd="sng" w14:algn="ctr">
            <w14:noFill/>
            <w14:prstDash w14:val="solid"/>
            <w14:miter w14:lim="100000"/>
          </w14:textOutline>
        </w:rPr>
      </w:pPr>
      <w:r>
        <w:rPr>
          <w:rFonts w:ascii="Arial Unicode MS" w:hAnsi="Arial Unicode MS" w:hint="eastAsia"/>
          <w:sz w:val="36"/>
          <w:szCs w:val="36"/>
          <w:rtl/>
          <w:lang w:val="ar-SA" w:bidi="ar-SA"/>
          <w14:textOutline w14:w="12700" w14:cap="flat" w14:cmpd="sng" w14:algn="ctr">
            <w14:noFill/>
            <w14:prstDash w14:val="solid"/>
            <w14:miter w14:lim="100000"/>
          </w14:textOutline>
        </w:rPr>
        <w:t xml:space="preserve">درس الأصول </w:t>
      </w:r>
      <w:r>
        <w:rPr>
          <w:rFonts w:ascii="Al Nile" w:hAnsi="Al Nile" w:hint="eastAsia"/>
          <w:sz w:val="36"/>
          <w:szCs w:val="36"/>
          <w:rtl/>
          <w:lang w:val="ar-SA" w:bidi="ar-SA"/>
          <w14:textOutline w14:w="12700" w14:cap="flat" w14:cmpd="sng" w14:algn="ctr">
            <w14:noFill/>
            <w14:prstDash w14:val="solid"/>
            <w14:miter w14:lim="100000"/>
          </w14:textOutline>
        </w:rPr>
        <w:t xml:space="preserve">- </w:t>
      </w:r>
      <w:r>
        <w:rPr>
          <w:rFonts w:ascii="Arial Unicode MS" w:hAnsi="Arial Unicode MS" w:hint="eastAsia"/>
          <w:sz w:val="36"/>
          <w:szCs w:val="36"/>
          <w:rtl/>
          <w:lang w:val="ar-SA" w:bidi="ar-SA"/>
          <w14:textOutline w14:w="12700" w14:cap="flat" w14:cmpd="sng" w14:algn="ctr">
            <w14:noFill/>
            <w14:prstDash w14:val="solid"/>
            <w14:miter w14:lim="100000"/>
          </w14:textOutline>
        </w:rPr>
        <w:t>بحث الاجتهاد والتقليد</w:t>
      </w:r>
    </w:p>
    <w:p w:rsidR="00DE1283" w:rsidRDefault="00DE1283" w:rsidP="00DE1283">
      <w:pPr>
        <w:pStyle w:val="a3"/>
        <w:bidi/>
        <w:jc w:val="center"/>
        <w:rPr>
          <w:rFonts w:ascii="Al Nile" w:eastAsia="Al Nile" w:hAnsi="Al Nile" w:cs="Al Nile"/>
          <w:sz w:val="36"/>
          <w:szCs w:val="36"/>
          <w:rtl/>
          <w:lang w:val="ar-SA" w:bidi="ar-SA"/>
          <w14:textOutline w14:w="12700" w14:cap="flat" w14:cmpd="sng" w14:algn="ctr">
            <w14:noFill/>
            <w14:prstDash w14:val="solid"/>
            <w14:miter w14:lim="100000"/>
          </w14:textOutline>
        </w:rPr>
      </w:pPr>
      <w:r>
        <w:rPr>
          <w:rFonts w:ascii="Arial Unicode MS" w:hAnsi="Arial Unicode MS" w:hint="eastAsia"/>
          <w:sz w:val="36"/>
          <w:szCs w:val="36"/>
          <w:rtl/>
          <w:lang w:val="ar-SA" w:bidi="ar-SA"/>
          <w14:textOutline w14:w="12700" w14:cap="flat" w14:cmpd="sng" w14:algn="ctr">
            <w14:noFill/>
            <w14:prstDash w14:val="solid"/>
            <w14:miter w14:lim="100000"/>
          </w14:textOutline>
        </w:rPr>
        <w:t>الدرس ١٠</w:t>
      </w:r>
      <w:r>
        <w:rPr>
          <w:rFonts w:ascii="Al Nile" w:hAnsi="Al Nile" w:hint="eastAsia"/>
          <w:sz w:val="36"/>
          <w:szCs w:val="36"/>
          <w:rtl/>
          <w:lang w:val="ar-SA" w:bidi="ar-SA"/>
          <w14:textOutline w14:w="12700" w14:cap="flat" w14:cmpd="sng" w14:algn="ctr">
            <w14:noFill/>
            <w14:prstDash w14:val="solid"/>
            <w14:miter w14:lim="100000"/>
          </w14:textOutline>
        </w:rPr>
        <w:t xml:space="preserve"> - </w:t>
      </w:r>
      <w:r>
        <w:rPr>
          <w:rFonts w:ascii="Arial Unicode MS" w:hAnsi="Arial Unicode MS" w:hint="eastAsia"/>
          <w:sz w:val="36"/>
          <w:szCs w:val="36"/>
          <w:rtl/>
          <w:lang w:val="ar-SA" w:bidi="ar-SA"/>
          <w14:textOutline w14:w="12700" w14:cap="flat" w14:cmpd="sng" w14:algn="ctr">
            <w14:noFill/>
            <w14:prstDash w14:val="solid"/>
            <w14:miter w14:lim="100000"/>
          </w14:textOutline>
        </w:rPr>
        <w:t>تاريخ ١٣٩٩</w:t>
      </w:r>
      <w:r>
        <w:rPr>
          <w:rFonts w:ascii="Al Nile" w:hAnsi="Al Nile" w:hint="eastAsia"/>
          <w:sz w:val="36"/>
          <w:szCs w:val="36"/>
          <w:rtl/>
          <w:lang w:val="ar-SA" w:bidi="ar-SA"/>
          <w14:textOutline w14:w="12700" w14:cap="flat" w14:cmpd="sng" w14:algn="ctr">
            <w14:noFill/>
            <w14:prstDash w14:val="solid"/>
            <w14:miter w14:lim="100000"/>
          </w14:textOutline>
        </w:rPr>
        <w:t>/</w:t>
      </w:r>
      <w:r>
        <w:rPr>
          <w:rFonts w:ascii="Arial Unicode MS" w:hAnsi="Arial Unicode MS" w:hint="eastAsia"/>
          <w:sz w:val="36"/>
          <w:szCs w:val="36"/>
          <w:rtl/>
          <w:lang w:val="ar-SA" w:bidi="ar-SA"/>
          <w14:textOutline w14:w="12700" w14:cap="flat" w14:cmpd="sng" w14:algn="ctr">
            <w14:noFill/>
            <w14:prstDash w14:val="solid"/>
            <w14:miter w14:lim="100000"/>
          </w14:textOutline>
        </w:rPr>
        <w:t>٦</w:t>
      </w:r>
      <w:r>
        <w:rPr>
          <w:rFonts w:ascii="Al Nile" w:hAnsi="Al Nile" w:hint="eastAsia"/>
          <w:sz w:val="36"/>
          <w:szCs w:val="36"/>
          <w:rtl/>
          <w:lang w:val="ar-SA" w:bidi="ar-SA"/>
          <w14:textOutline w14:w="12700" w14:cap="flat" w14:cmpd="sng" w14:algn="ctr">
            <w14:noFill/>
            <w14:prstDash w14:val="solid"/>
            <w14:miter w14:lim="100000"/>
          </w14:textOutline>
        </w:rPr>
        <w:t>/</w:t>
      </w:r>
      <w:r>
        <w:rPr>
          <w:rFonts w:ascii="Arial Unicode MS" w:hAnsi="Arial Unicode MS" w:hint="eastAsia"/>
          <w:sz w:val="36"/>
          <w:szCs w:val="36"/>
          <w:rtl/>
          <w:lang w:val="ar-SA" w:bidi="ar-SA"/>
          <w14:textOutline w14:w="12700" w14:cap="flat" w14:cmpd="sng" w14:algn="ctr">
            <w14:noFill/>
            <w14:prstDash w14:val="solid"/>
            <w14:miter w14:lim="100000"/>
          </w14:textOutline>
        </w:rPr>
        <w:t>٣٠</w:t>
      </w:r>
    </w:p>
    <w:p w:rsidR="00DE1283" w:rsidRDefault="00DE1283" w:rsidP="00DE1283">
      <w:pPr>
        <w:pStyle w:val="a3"/>
        <w:bidi/>
        <w:jc w:val="both"/>
        <w:rPr>
          <w:rFonts w:ascii="Al Nile" w:eastAsia="Al Nile" w:hAnsi="Al Nile" w:cs="Al Nile"/>
          <w:sz w:val="36"/>
          <w:szCs w:val="36"/>
          <w:rtl/>
          <w:lang w:val="ar-SA" w:bidi="ar-SA"/>
          <w14:textOutline w14:w="12700" w14:cap="flat" w14:cmpd="sng" w14:algn="ctr">
            <w14:noFill/>
            <w14:prstDash w14:val="solid"/>
            <w14:miter w14:lim="100000"/>
          </w14:textOutline>
        </w:rPr>
      </w:pPr>
      <w:r>
        <w:rPr>
          <w:rFonts w:ascii="Arial Unicode MS" w:hAnsi="Arial Unicode MS" w:hint="eastAsia"/>
          <w:sz w:val="36"/>
          <w:szCs w:val="36"/>
          <w:rtl/>
          <w:lang w:val="ar-SA" w:bidi="ar-SA"/>
          <w14:textOutline w14:w="12700" w14:cap="flat" w14:cmpd="sng" w14:algn="ctr">
            <w14:noFill/>
            <w14:prstDash w14:val="solid"/>
            <w14:miter w14:lim="100000"/>
          </w14:textOutline>
        </w:rPr>
        <w:t>بسم الله الرحمن الرحيم الحمد لله رب العالمين وصلّى الله على محمد وآله الطاهرين ولعنة الله على أعدائهم أجمعين</w:t>
      </w:r>
      <w:r>
        <w:rPr>
          <w:rFonts w:ascii="Al Nile" w:hAnsi="Al Nile" w:hint="eastAsia"/>
          <w:sz w:val="36"/>
          <w:szCs w:val="36"/>
          <w:rtl/>
          <w:lang w:val="ar-SA" w:bidi="ar-SA"/>
          <w14:textOutline w14:w="12700" w14:cap="flat" w14:cmpd="sng" w14:algn="ctr">
            <w14:noFill/>
            <w14:prstDash w14:val="solid"/>
            <w14:miter w14:lim="100000"/>
          </w14:textOutline>
        </w:rPr>
        <w:t>.</w:t>
      </w:r>
    </w:p>
    <w:p w:rsidR="00DE1283" w:rsidRDefault="00DE1283" w:rsidP="00DE1283">
      <w:pPr>
        <w:pStyle w:val="a3"/>
        <w:bidi/>
        <w:jc w:val="both"/>
        <w:rPr>
          <w:rFonts w:ascii="Al Nile" w:eastAsia="Al Nile" w:hAnsi="Al Nile" w:cs="Al Nile"/>
          <w:sz w:val="36"/>
          <w:szCs w:val="36"/>
          <w:rtl/>
          <w:lang w:val="ar-SA" w:bidi="ar-SA"/>
          <w14:textOutline w14:w="12700" w14:cap="flat" w14:cmpd="sng" w14:algn="ctr">
            <w14:noFill/>
            <w14:prstDash w14:val="solid"/>
            <w14:miter w14:lim="100000"/>
          </w14:textOutline>
        </w:rPr>
      </w:pPr>
      <w:r>
        <w:rPr>
          <w:rFonts w:ascii="Arial Unicode MS" w:hAnsi="Arial Unicode MS" w:hint="eastAsia"/>
          <w:sz w:val="36"/>
          <w:szCs w:val="36"/>
          <w:rtl/>
          <w:lang w:val="ar-SA" w:bidi="ar-SA"/>
          <w14:textOutline w14:w="12700" w14:cap="flat" w14:cmpd="sng" w14:algn="ctr">
            <w14:noFill/>
            <w14:prstDash w14:val="solid"/>
            <w14:miter w14:lim="100000"/>
          </w14:textOutline>
        </w:rPr>
        <w:t>المقام الثالث</w:t>
      </w:r>
      <w:r>
        <w:rPr>
          <w:rFonts w:ascii="Al Nile" w:hAnsi="Al Nile" w:hint="eastAsia"/>
          <w:sz w:val="36"/>
          <w:szCs w:val="36"/>
          <w:rtl/>
          <w:lang w:val="ar-SA" w:bidi="ar-SA"/>
          <w14:textOutline w14:w="12700" w14:cap="flat" w14:cmpd="sng" w14:algn="ctr">
            <w14:noFill/>
            <w14:prstDash w14:val="solid"/>
            <w14:miter w14:lim="100000"/>
          </w14:textOutline>
        </w:rPr>
        <w:t xml:space="preserve">: </w:t>
      </w:r>
      <w:r>
        <w:rPr>
          <w:rFonts w:ascii="Arial Unicode MS" w:hAnsi="Arial Unicode MS" w:hint="eastAsia"/>
          <w:sz w:val="36"/>
          <w:szCs w:val="36"/>
          <w:rtl/>
          <w:lang w:val="ar-SA" w:bidi="ar-SA"/>
          <w14:textOutline w14:w="12700" w14:cap="flat" w14:cmpd="sng" w14:algn="ctr">
            <w14:noFill/>
            <w14:prstDash w14:val="solid"/>
            <w14:miter w14:lim="100000"/>
          </w14:textOutline>
        </w:rPr>
        <w:t>في جواز تقليد العامي للمجتهد الانسدادي هل يجوز تقليد المجتهد القائل بانسداد باب العلم والعلمي بالأحكام الشرعية كما يجوز تقليد المجتهد الانفتاحي أو لا يجوز تقليده ولو كان أعلم العلماء</w:t>
      </w:r>
      <w:r>
        <w:rPr>
          <w:rFonts w:ascii="Al Nile" w:hAnsi="Al Nile" w:hint="eastAsia"/>
          <w:sz w:val="36"/>
          <w:szCs w:val="36"/>
          <w:rtl/>
          <w:lang w:val="ar-SA" w:bidi="ar-SA"/>
          <w14:textOutline w14:w="12700" w14:cap="flat" w14:cmpd="sng" w14:algn="ctr">
            <w14:noFill/>
            <w14:prstDash w14:val="solid"/>
            <w14:miter w14:lim="100000"/>
          </w14:textOutline>
        </w:rPr>
        <w:t>.</w:t>
      </w:r>
    </w:p>
    <w:p w:rsidR="00DE1283" w:rsidRDefault="00DE1283" w:rsidP="00DE1283">
      <w:pPr>
        <w:pStyle w:val="a3"/>
        <w:bidi/>
        <w:jc w:val="both"/>
        <w:rPr>
          <w:rFonts w:ascii="Al Nile" w:eastAsia="Al Nile" w:hAnsi="Al Nile" w:cs="Al Nile"/>
          <w:sz w:val="36"/>
          <w:szCs w:val="36"/>
          <w:rtl/>
          <w:lang w:val="ar-SA" w:bidi="ar-SA"/>
          <w14:textOutline w14:w="12700" w14:cap="flat" w14:cmpd="sng" w14:algn="ctr">
            <w14:noFill/>
            <w14:prstDash w14:val="solid"/>
            <w14:miter w14:lim="100000"/>
          </w14:textOutline>
        </w:rPr>
      </w:pPr>
      <w:r>
        <w:rPr>
          <w:rFonts w:ascii="Arial Unicode MS" w:hAnsi="Arial Unicode MS" w:hint="eastAsia"/>
          <w:sz w:val="36"/>
          <w:szCs w:val="36"/>
          <w:rtl/>
          <w:lang w:val="ar-SA" w:bidi="ar-SA"/>
          <w14:textOutline w14:w="12700" w14:cap="flat" w14:cmpd="sng" w14:algn="ctr">
            <w14:noFill/>
            <w14:prstDash w14:val="solid"/>
            <w14:miter w14:lim="100000"/>
          </w14:textOutline>
        </w:rPr>
        <w:t>اختلف الأعلام والمحققون في هذا البحث فذهب كثير منهم إلى عدم جواز الرجوع إلى المجتهد الانسدادي مطلقاً كالمحقق الآخوند قدس سره والسيد الخوئي قدس سره حسبما في بحوثه الأصولية والميرزا التبريزي قدس سره وغيرهم</w:t>
      </w:r>
      <w:r>
        <w:rPr>
          <w:rFonts w:ascii="Al Nile" w:hAnsi="Al Nile" w:hint="eastAsia"/>
          <w:sz w:val="36"/>
          <w:szCs w:val="36"/>
          <w:rtl/>
          <w:lang w:val="ar-SA" w:bidi="ar-SA"/>
          <w14:textOutline w14:w="12700" w14:cap="flat" w14:cmpd="sng" w14:algn="ctr">
            <w14:noFill/>
            <w14:prstDash w14:val="solid"/>
            <w14:miter w14:lim="100000"/>
          </w14:textOutline>
        </w:rPr>
        <w:t>.</w:t>
      </w:r>
    </w:p>
    <w:p w:rsidR="00DE1283" w:rsidRDefault="00DE1283" w:rsidP="00DE1283">
      <w:pPr>
        <w:pStyle w:val="a3"/>
        <w:bidi/>
        <w:jc w:val="both"/>
        <w:rPr>
          <w:rFonts w:ascii="Al Nile" w:eastAsia="Al Nile" w:hAnsi="Al Nile" w:cs="Al Nile"/>
          <w:sz w:val="36"/>
          <w:szCs w:val="36"/>
          <w:rtl/>
          <w:lang w:val="ar-SA" w:bidi="ar-SA"/>
          <w14:textOutline w14:w="12700" w14:cap="flat" w14:cmpd="sng" w14:algn="ctr">
            <w14:noFill/>
            <w14:prstDash w14:val="solid"/>
            <w14:miter w14:lim="100000"/>
          </w14:textOutline>
        </w:rPr>
      </w:pPr>
      <w:r>
        <w:rPr>
          <w:rFonts w:ascii="Arial Unicode MS" w:hAnsi="Arial Unicode MS" w:hint="eastAsia"/>
          <w:sz w:val="36"/>
          <w:szCs w:val="36"/>
          <w:rtl/>
          <w:lang w:val="ar-SA" w:bidi="ar-SA"/>
          <w14:textOutline w14:w="12700" w14:cap="flat" w14:cmpd="sng" w14:algn="ctr">
            <w14:noFill/>
            <w14:prstDash w14:val="solid"/>
            <w14:miter w14:lim="100000"/>
          </w14:textOutline>
        </w:rPr>
        <w:t>وفي المقابل ذهب جمع إلى جواز الرجوع مطلقاً كالمحقق الحائري قدس سره في درر الفوائد والسيد الداماد قدس سره وبعض الأعلام في رسالة الاجتهاد والتقليد وبعض الأعلام في المحكم</w:t>
      </w:r>
      <w:r>
        <w:rPr>
          <w:rFonts w:ascii="Al Nile" w:hAnsi="Al Nile" w:hint="eastAsia"/>
          <w:sz w:val="36"/>
          <w:szCs w:val="36"/>
          <w:rtl/>
          <w:lang w:val="ar-SA" w:bidi="ar-SA"/>
          <w14:textOutline w14:w="12700" w14:cap="flat" w14:cmpd="sng" w14:algn="ctr">
            <w14:noFill/>
            <w14:prstDash w14:val="solid"/>
            <w14:miter w14:lim="100000"/>
          </w14:textOutline>
        </w:rPr>
        <w:t xml:space="preserve">. </w:t>
      </w:r>
    </w:p>
    <w:p w:rsidR="00DE1283" w:rsidRDefault="00DE1283" w:rsidP="00DE1283">
      <w:pPr>
        <w:pStyle w:val="a3"/>
        <w:bidi/>
        <w:jc w:val="both"/>
        <w:rPr>
          <w:rFonts w:ascii="Al Nile" w:eastAsia="Al Nile" w:hAnsi="Al Nile" w:cs="Al Nile"/>
          <w:sz w:val="36"/>
          <w:szCs w:val="36"/>
          <w:rtl/>
          <w:lang w:val="ar-SA" w:bidi="ar-SA"/>
          <w14:textOutline w14:w="12700" w14:cap="flat" w14:cmpd="sng" w14:algn="ctr">
            <w14:noFill/>
            <w14:prstDash w14:val="solid"/>
            <w14:miter w14:lim="100000"/>
          </w14:textOutline>
        </w:rPr>
      </w:pPr>
      <w:r>
        <w:rPr>
          <w:rFonts w:ascii="Arial Unicode MS" w:hAnsi="Arial Unicode MS" w:hint="eastAsia"/>
          <w:sz w:val="36"/>
          <w:szCs w:val="36"/>
          <w:rtl/>
          <w:lang w:val="ar-SA" w:bidi="ar-SA"/>
          <w14:textOutline w14:w="12700" w14:cap="flat" w14:cmpd="sng" w14:algn="ctr">
            <w14:noFill/>
            <w14:prstDash w14:val="solid"/>
            <w14:miter w14:lim="100000"/>
          </w14:textOutline>
        </w:rPr>
        <w:t>وذهب جمع إلى التفصيل كالمحقق الأصفهاني قدس سره حيث فصّل بين المجتهد القائل بالانسداد من باب الحكومة فلا يجوز تقليده والمجتهد القائل بالانسداد من باب الكشف فيجوز تقليده</w:t>
      </w:r>
      <w:r>
        <w:rPr>
          <w:rFonts w:ascii="Al Nile" w:hAnsi="Al Nile" w:hint="eastAsia"/>
          <w:sz w:val="36"/>
          <w:szCs w:val="36"/>
          <w:rtl/>
          <w:lang w:val="ar-SA" w:bidi="ar-SA"/>
          <w14:textOutline w14:w="12700" w14:cap="flat" w14:cmpd="sng" w14:algn="ctr">
            <w14:noFill/>
            <w14:prstDash w14:val="solid"/>
            <w14:miter w14:lim="100000"/>
          </w14:textOutline>
        </w:rPr>
        <w:t>.</w:t>
      </w:r>
    </w:p>
    <w:p w:rsidR="00DE1283" w:rsidRDefault="00DE1283" w:rsidP="00DE1283">
      <w:pPr>
        <w:pStyle w:val="a3"/>
        <w:bidi/>
        <w:jc w:val="both"/>
        <w:rPr>
          <w:rFonts w:ascii="Al Nile" w:eastAsia="Al Nile" w:hAnsi="Al Nile" w:cs="Al Nile"/>
          <w:sz w:val="36"/>
          <w:szCs w:val="36"/>
          <w:rtl/>
          <w:lang w:val="ar-SA" w:bidi="ar-SA"/>
          <w14:textOutline w14:w="12700" w14:cap="flat" w14:cmpd="sng" w14:algn="ctr">
            <w14:noFill/>
            <w14:prstDash w14:val="solid"/>
            <w14:miter w14:lim="100000"/>
          </w14:textOutline>
        </w:rPr>
      </w:pPr>
      <w:r>
        <w:rPr>
          <w:rFonts w:ascii="Arial Unicode MS" w:hAnsi="Arial Unicode MS" w:hint="eastAsia"/>
          <w:sz w:val="36"/>
          <w:szCs w:val="36"/>
          <w:rtl/>
          <w:lang w:val="ar-SA" w:bidi="ar-SA"/>
          <w14:textOutline w14:w="12700" w14:cap="flat" w14:cmpd="sng" w14:algn="ctr">
            <w14:noFill/>
            <w14:prstDash w14:val="solid"/>
            <w14:miter w14:lim="100000"/>
          </w14:textOutline>
        </w:rPr>
        <w:t xml:space="preserve">والدليل الذي ذكره المحقق الآخوند قدس سره لعدم الجواز أن المجتهد إن كان قائلاً بالانسداد من باب الحكومة فعدم جواز تقليده واضح إذ تقليد العامي للمجتهد من باب رجوع الجاهل إلى العالم، والقائل بالانسداد من باب الحكومة يقول بحجية الظن بالأحكام الشرعية بحكم العقل </w:t>
      </w:r>
      <w:r>
        <w:rPr>
          <w:rFonts w:ascii="Al Nile" w:hAnsi="Al Nile" w:hint="eastAsia"/>
          <w:sz w:val="36"/>
          <w:szCs w:val="36"/>
          <w:rtl/>
          <w:lang w:val="ar-SA" w:bidi="ar-SA"/>
          <w14:textOutline w14:w="12700" w14:cap="flat" w14:cmpd="sng" w14:algn="ctr">
            <w14:noFill/>
            <w14:prstDash w14:val="solid"/>
            <w14:miter w14:lim="100000"/>
          </w14:textOutline>
        </w:rPr>
        <w:t xml:space="preserve">- </w:t>
      </w:r>
      <w:r>
        <w:rPr>
          <w:rFonts w:ascii="Arial Unicode MS" w:hAnsi="Arial Unicode MS" w:hint="eastAsia"/>
          <w:sz w:val="36"/>
          <w:szCs w:val="36"/>
          <w:rtl/>
          <w:lang w:val="ar-SA" w:bidi="ar-SA"/>
          <w14:textOutline w14:w="12700" w14:cap="flat" w14:cmpd="sng" w14:algn="ctr">
            <w14:noFill/>
            <w14:prstDash w14:val="solid"/>
            <w14:miter w14:lim="100000"/>
          </w14:textOutline>
        </w:rPr>
        <w:t xml:space="preserve">بعد تمامية مقدمات الانسداد </w:t>
      </w:r>
      <w:r>
        <w:rPr>
          <w:rFonts w:ascii="Al Nile" w:hAnsi="Al Nile" w:hint="eastAsia"/>
          <w:sz w:val="36"/>
          <w:szCs w:val="36"/>
          <w:rtl/>
          <w:lang w:val="ar-SA" w:bidi="ar-SA"/>
          <w14:textOutline w14:w="12700" w14:cap="flat" w14:cmpd="sng" w14:algn="ctr">
            <w14:noFill/>
            <w14:prstDash w14:val="solid"/>
            <w14:miter w14:lim="100000"/>
          </w14:textOutline>
        </w:rPr>
        <w:t xml:space="preserve">- </w:t>
      </w:r>
      <w:r>
        <w:rPr>
          <w:rFonts w:ascii="Arial Unicode MS" w:hAnsi="Arial Unicode MS" w:hint="eastAsia"/>
          <w:sz w:val="36"/>
          <w:szCs w:val="36"/>
          <w:rtl/>
          <w:lang w:val="ar-SA" w:bidi="ar-SA"/>
          <w14:textOutline w14:w="12700" w14:cap="flat" w14:cmpd="sng" w14:algn="ctr">
            <w14:noFill/>
            <w14:prstDash w14:val="solid"/>
            <w14:miter w14:lim="100000"/>
          </w14:textOutline>
        </w:rPr>
        <w:t>بلزوم رعاية التكاليف في دائرة المظنونات فليس عالماً بالأحكام فكيف يرجع إليه العامي فلا يجوز الرجوع إليه من باب التقليد ورجوع الجاهل إلى العالم</w:t>
      </w:r>
      <w:r>
        <w:rPr>
          <w:rFonts w:ascii="Al Nile" w:hAnsi="Al Nile" w:hint="eastAsia"/>
          <w:sz w:val="36"/>
          <w:szCs w:val="36"/>
          <w:rtl/>
          <w:lang w:val="ar-SA" w:bidi="ar-SA"/>
          <w14:textOutline w14:w="12700" w14:cap="flat" w14:cmpd="sng" w14:algn="ctr">
            <w14:noFill/>
            <w14:prstDash w14:val="solid"/>
            <w14:miter w14:lim="100000"/>
          </w14:textOutline>
        </w:rPr>
        <w:t xml:space="preserve">. </w:t>
      </w:r>
      <w:r>
        <w:rPr>
          <w:rFonts w:ascii="Arial Unicode MS" w:hAnsi="Arial Unicode MS" w:hint="eastAsia"/>
          <w:sz w:val="36"/>
          <w:szCs w:val="36"/>
          <w:rtl/>
          <w:lang w:val="ar-SA" w:bidi="ar-SA"/>
          <w14:textOutline w14:w="12700" w14:cap="flat" w14:cmpd="sng" w14:algn="ctr">
            <w14:noFill/>
            <w14:prstDash w14:val="solid"/>
            <w14:miter w14:lim="100000"/>
          </w14:textOutline>
        </w:rPr>
        <w:t xml:space="preserve">ولا يمكن أيضاً الحکم بجواز رجوعه إليه بدعوى تمامية مقدمات الانسداد عند العامي نفسه لانه لا تجري مقدمات الانسداد </w:t>
      </w:r>
      <w:r>
        <w:rPr>
          <w:rFonts w:ascii="Arial Unicode MS" w:hAnsi="Arial Unicode MS" w:hint="eastAsia"/>
          <w:sz w:val="36"/>
          <w:szCs w:val="36"/>
          <w:rtl/>
          <w:lang w:val="ar-SA" w:bidi="ar-SA"/>
          <w14:textOutline w14:w="12700" w14:cap="flat" w14:cmpd="sng" w14:algn="ctr">
            <w14:noFill/>
            <w14:prstDash w14:val="solid"/>
            <w14:miter w14:lim="100000"/>
          </w14:textOutline>
        </w:rPr>
        <w:lastRenderedPageBreak/>
        <w:t>في حق العامي فان منها انسداد باب العلم والعلمي بالنسبة إلى الأحكام الشرعية ومع وجود المجتهد الانفتاحي وعدم انحصار المجتهدين في القائلين بالانسداد يكون باب العلم والعلمي للعامي مفتوحاً فلا تجري مقدمات الانسداد في حق العامي ليعمل بظن المجتهد الانسدادي</w:t>
      </w:r>
      <w:r>
        <w:rPr>
          <w:rFonts w:ascii="Al Nile" w:hAnsi="Al Nile" w:hint="eastAsia"/>
          <w:sz w:val="36"/>
          <w:szCs w:val="36"/>
          <w:rtl/>
          <w:lang w:val="ar-SA" w:bidi="ar-SA"/>
          <w14:textOutline w14:w="12700" w14:cap="flat" w14:cmpd="sng" w14:algn="ctr">
            <w14:noFill/>
            <w14:prstDash w14:val="solid"/>
            <w14:miter w14:lim="100000"/>
          </w14:textOutline>
        </w:rPr>
        <w:t xml:space="preserve">. </w:t>
      </w:r>
      <w:r>
        <w:rPr>
          <w:rFonts w:ascii="Arial Unicode MS" w:hAnsi="Arial Unicode MS" w:hint="eastAsia"/>
          <w:sz w:val="36"/>
          <w:szCs w:val="36"/>
          <w:rtl/>
          <w:lang w:val="ar-SA" w:bidi="ar-SA"/>
          <w14:textOutline w14:w="12700" w14:cap="flat" w14:cmpd="sng" w14:algn="ctr">
            <w14:noFill/>
            <w14:prstDash w14:val="solid"/>
            <w14:miter w14:lim="100000"/>
          </w14:textOutline>
        </w:rPr>
        <w:t>ولو فرض انحصار المجتهدين في القائلين بالانسداد في زمان فلا تتم مقدمة أخرى من مقدمات الانسداد وهي عدم إمكان الاحتياط واستلزامه للمحذور العقلي</w:t>
      </w:r>
      <w:r>
        <w:rPr>
          <w:rFonts w:ascii="Al Nile" w:hAnsi="Al Nile" w:hint="eastAsia"/>
          <w:sz w:val="36"/>
          <w:szCs w:val="36"/>
          <w:rtl/>
          <w:lang w:val="ar-SA" w:bidi="ar-SA"/>
          <w14:textOutline w14:w="12700" w14:cap="flat" w14:cmpd="sng" w14:algn="ctr">
            <w14:noFill/>
            <w14:prstDash w14:val="solid"/>
            <w14:miter w14:lim="100000"/>
          </w14:textOutline>
        </w:rPr>
        <w:t xml:space="preserve">. </w:t>
      </w:r>
      <w:r>
        <w:rPr>
          <w:rFonts w:ascii="Arial Unicode MS" w:hAnsi="Arial Unicode MS" w:hint="eastAsia"/>
          <w:sz w:val="36"/>
          <w:szCs w:val="36"/>
          <w:rtl/>
          <w:lang w:val="ar-SA" w:bidi="ar-SA"/>
          <w14:textOutline w14:w="12700" w14:cap="flat" w14:cmpd="sng" w14:algn="ctr">
            <w14:noFill/>
            <w14:prstDash w14:val="solid"/>
            <w14:miter w14:lim="100000"/>
          </w14:textOutline>
        </w:rPr>
        <w:t>نعم، يمكن أن يقال أن العمل بالاحتياط وإن لم يكن متعذراً ولكنه متعسر ومستلزم للحرج ولكن لابد أن يثبت العامي كون الاحتياط كذلك غير واجب حتى يمكنه تركه ولا طريق للعامي الذي لم يطلع على أدلة نفي العسر والحرج إلى إثبات ذلك</w:t>
      </w:r>
      <w:r>
        <w:rPr>
          <w:rFonts w:ascii="Al Nile" w:hAnsi="Al Nile" w:hint="eastAsia"/>
          <w:sz w:val="36"/>
          <w:szCs w:val="36"/>
          <w:rtl/>
          <w:lang w:val="ar-SA" w:bidi="ar-SA"/>
          <w14:textOutline w14:w="12700" w14:cap="flat" w14:cmpd="sng" w14:algn="ctr">
            <w14:noFill/>
            <w14:prstDash w14:val="solid"/>
            <w14:miter w14:lim="100000"/>
          </w14:textOutline>
        </w:rPr>
        <w:t xml:space="preserve">. </w:t>
      </w:r>
    </w:p>
    <w:p w:rsidR="00DE1283" w:rsidRDefault="00DE1283" w:rsidP="00DE1283">
      <w:pPr>
        <w:pStyle w:val="a3"/>
        <w:bidi/>
        <w:jc w:val="both"/>
        <w:rPr>
          <w:rFonts w:ascii="Al Nile" w:eastAsia="Al Nile" w:hAnsi="Al Nile" w:cs="Al Nile"/>
          <w:sz w:val="36"/>
          <w:szCs w:val="36"/>
          <w:rtl/>
          <w:lang w:val="ar-SA" w:bidi="ar-SA"/>
          <w14:textOutline w14:w="12700" w14:cap="flat" w14:cmpd="sng" w14:algn="ctr">
            <w14:noFill/>
            <w14:prstDash w14:val="solid"/>
            <w14:miter w14:lim="100000"/>
          </w14:textOutline>
        </w:rPr>
      </w:pPr>
      <w:r>
        <w:rPr>
          <w:rFonts w:ascii="Arial Unicode MS" w:hAnsi="Arial Unicode MS" w:hint="eastAsia"/>
          <w:sz w:val="36"/>
          <w:szCs w:val="36"/>
          <w:rtl/>
          <w:lang w:val="ar-SA" w:bidi="ar-SA"/>
          <w14:textOutline w14:w="12700" w14:cap="flat" w14:cmpd="sng" w14:algn="ctr">
            <w14:noFill/>
            <w14:prstDash w14:val="solid"/>
            <w14:miter w14:lim="100000"/>
          </w14:textOutline>
        </w:rPr>
        <w:t>وإن كان المجتهد قائلاً بالانسداد من باب الكشف فجواز تقليده في غاية الإشكال إذ حجية الظن التي تكشف عنها مقدمات الانسداد خاصة بالمجتهد الذي جرت في حقه تلك المقدمات وليست الحجية للأعم منه ومن غيره ليستند إليها العامي</w:t>
      </w:r>
      <w:r>
        <w:rPr>
          <w:rFonts w:ascii="Al Nile" w:hAnsi="Al Nile" w:hint="eastAsia"/>
          <w:sz w:val="36"/>
          <w:szCs w:val="36"/>
          <w:rtl/>
          <w:lang w:val="ar-SA" w:bidi="ar-SA"/>
          <w14:textOutline w14:w="12700" w14:cap="flat" w14:cmpd="sng" w14:algn="ctr">
            <w14:noFill/>
            <w14:prstDash w14:val="solid"/>
            <w14:miter w14:lim="100000"/>
          </w14:textOutline>
        </w:rPr>
        <w:t>.</w:t>
      </w:r>
    </w:p>
    <w:p w:rsidR="00DE1283" w:rsidRDefault="00DE1283" w:rsidP="00DE1283">
      <w:pPr>
        <w:pStyle w:val="a3"/>
        <w:bidi/>
        <w:jc w:val="both"/>
        <w:rPr>
          <w:rFonts w:ascii="Al Nile" w:eastAsia="Al Nile" w:hAnsi="Al Nile" w:cs="Al Nile"/>
          <w:sz w:val="36"/>
          <w:szCs w:val="36"/>
          <w:rtl/>
          <w:lang w:val="ar-SA" w:bidi="ar-SA"/>
          <w14:textOutline w14:w="12700" w14:cap="flat" w14:cmpd="sng" w14:algn="ctr">
            <w14:noFill/>
            <w14:prstDash w14:val="solid"/>
            <w14:miter w14:lim="100000"/>
          </w14:textOutline>
        </w:rPr>
      </w:pPr>
      <w:r>
        <w:rPr>
          <w:rFonts w:ascii="Arial Unicode MS" w:hAnsi="Arial Unicode MS" w:hint="eastAsia"/>
          <w:sz w:val="36"/>
          <w:szCs w:val="36"/>
          <w:rtl/>
          <w:lang w:val="ar-SA" w:bidi="ar-SA"/>
          <w14:textOutline w14:w="12700" w14:cap="flat" w14:cmpd="sng" w14:algn="ctr">
            <w14:noFill/>
            <w14:prstDash w14:val="solid"/>
            <w14:miter w14:lim="100000"/>
          </w14:textOutline>
        </w:rPr>
        <w:t>هنا ذكر المحقق الآخوند قدس سره الإشكال الذي أشرنا إليه في الدرس السابق من أن المجتهد ولو كان انفتاحياً ليست الحجية بمعنى أنه عالم بالأحكام بل معنى الحجية هي المنجزية والمعذرية بالنسبة إلى التكاليف فكيف تقولون في المجتهد الانفتاحي في غير موارد حصول العلم الوجداني بجواز الرجوع إليه لقيام الحجة عنده؟ ما هو الفرق بينه وبين المجتهد الانسدادي الذي يقول بمقتضى مقدمات الانسداد بحجية الظن المطلق؟</w:t>
      </w:r>
    </w:p>
    <w:p w:rsidR="00DE1283" w:rsidRDefault="00DE1283" w:rsidP="00DE1283">
      <w:pPr>
        <w:pStyle w:val="a3"/>
        <w:bidi/>
        <w:jc w:val="both"/>
        <w:rPr>
          <w:rFonts w:ascii="Al Nile" w:eastAsia="Al Nile" w:hAnsi="Al Nile" w:cs="Al Nile"/>
          <w:sz w:val="36"/>
          <w:szCs w:val="36"/>
          <w:rtl/>
          <w:lang w:val="ar-SA" w:bidi="ar-SA"/>
          <w14:textOutline w14:w="12700" w14:cap="flat" w14:cmpd="sng" w14:algn="ctr">
            <w14:noFill/>
            <w14:prstDash w14:val="solid"/>
            <w14:miter w14:lim="100000"/>
          </w14:textOutline>
        </w:rPr>
      </w:pPr>
      <w:r>
        <w:rPr>
          <w:rFonts w:ascii="Arial Unicode MS" w:hAnsi="Arial Unicode MS" w:hint="eastAsia"/>
          <w:sz w:val="36"/>
          <w:szCs w:val="36"/>
          <w:rtl/>
          <w:lang w:val="ar-SA" w:bidi="ar-SA"/>
          <w14:textOutline w14:w="12700" w14:cap="flat" w14:cmpd="sng" w14:algn="ctr">
            <w14:noFill/>
            <w14:prstDash w14:val="solid"/>
            <w14:miter w14:lim="100000"/>
          </w14:textOutline>
        </w:rPr>
        <w:t>فأجاب قدس سره بأن رجوع العامي إلى المجتهد الانفتاحي في موارد قيام الأمارات في تشخيص مورد الأمارة مثل قيام خبر الثقة على حرمة العصير العنبي إذ العامي جاهل بموارد قيام الأمارات وعاجز عن تشخيصها فيرجع إلى المجتهد العالم بها</w:t>
      </w:r>
      <w:r>
        <w:rPr>
          <w:rFonts w:ascii="Al Nile" w:hAnsi="Al Nile" w:hint="eastAsia"/>
          <w:sz w:val="36"/>
          <w:szCs w:val="36"/>
          <w:rtl/>
          <w:lang w:val="ar-SA" w:bidi="ar-SA"/>
          <w14:textOutline w14:w="12700" w14:cap="flat" w14:cmpd="sng" w14:algn="ctr">
            <w14:noFill/>
            <w14:prstDash w14:val="solid"/>
            <w14:miter w14:lim="100000"/>
          </w14:textOutline>
        </w:rPr>
        <w:t xml:space="preserve">. </w:t>
      </w:r>
      <w:r>
        <w:rPr>
          <w:rFonts w:ascii="Arial Unicode MS" w:hAnsi="Arial Unicode MS" w:hint="eastAsia"/>
          <w:sz w:val="36"/>
          <w:szCs w:val="36"/>
          <w:rtl/>
          <w:lang w:val="ar-SA" w:bidi="ar-SA"/>
          <w14:textOutline w14:w="12700" w14:cap="flat" w14:cmpd="sng" w14:algn="ctr">
            <w14:noFill/>
            <w14:prstDash w14:val="solid"/>
            <w14:miter w14:lim="100000"/>
          </w14:textOutline>
        </w:rPr>
        <w:t xml:space="preserve">والرجوع إليه في موارد الاستناد إلى الأصول العقلية مع فقد الأمارة لأجل اطلاع المجتهد على عدم الامارة فيها والعامي عاجز عن الاطلاع على </w:t>
      </w:r>
      <w:r>
        <w:rPr>
          <w:rFonts w:ascii="Arial Unicode MS" w:hAnsi="Arial Unicode MS" w:hint="eastAsia"/>
          <w:sz w:val="36"/>
          <w:szCs w:val="36"/>
          <w:rtl/>
          <w:lang w:val="ar-SA" w:bidi="ar-SA"/>
          <w14:textOutline w14:w="12700" w14:cap="flat" w14:cmpd="sng" w14:algn="ctr">
            <w14:noFill/>
            <w14:prstDash w14:val="solid"/>
            <w14:miter w14:lim="100000"/>
          </w14:textOutline>
        </w:rPr>
        <w:lastRenderedPageBreak/>
        <w:t>ذلك</w:t>
      </w:r>
      <w:r>
        <w:rPr>
          <w:rFonts w:ascii="Al Nile" w:hAnsi="Al Nile" w:hint="eastAsia"/>
          <w:sz w:val="36"/>
          <w:szCs w:val="36"/>
          <w:rtl/>
          <w:lang w:val="ar-SA" w:bidi="ar-SA"/>
          <w14:textOutline w14:w="12700" w14:cap="flat" w14:cmpd="sng" w14:algn="ctr">
            <w14:noFill/>
            <w14:prstDash w14:val="solid"/>
            <w14:miter w14:lim="100000"/>
          </w14:textOutline>
        </w:rPr>
        <w:t xml:space="preserve">. </w:t>
      </w:r>
      <w:r>
        <w:rPr>
          <w:rFonts w:ascii="Arial Unicode MS" w:hAnsi="Arial Unicode MS" w:hint="eastAsia"/>
          <w:sz w:val="36"/>
          <w:szCs w:val="36"/>
          <w:rtl/>
          <w:lang w:val="ar-SA" w:bidi="ar-SA"/>
          <w14:textOutline w14:w="12700" w14:cap="flat" w14:cmpd="sng" w14:algn="ctr">
            <w14:noFill/>
            <w14:prstDash w14:val="solid"/>
            <w14:miter w14:lim="100000"/>
          </w14:textOutline>
        </w:rPr>
        <w:t>وأما تشخيص ما هو حكم العقل وإن كان ظاهر صدر كلامه أن العامي يرجع فيه أيضاً إلى المجتهد لكن صريح ذيل الكلام أن المتبع عقل العامي ولو على خلاف ما ذهب إليه المجتهد</w:t>
      </w:r>
      <w:r>
        <w:rPr>
          <w:rFonts w:ascii="Al Nile" w:hAnsi="Al Nile" w:hint="eastAsia"/>
          <w:sz w:val="36"/>
          <w:szCs w:val="36"/>
          <w:rtl/>
          <w:lang w:val="ar-SA" w:bidi="ar-SA"/>
          <w14:textOutline w14:w="12700" w14:cap="flat" w14:cmpd="sng" w14:algn="ctr">
            <w14:noFill/>
            <w14:prstDash w14:val="solid"/>
            <w14:miter w14:lim="100000"/>
          </w14:textOutline>
        </w:rPr>
        <w:t>.</w:t>
      </w:r>
    </w:p>
    <w:p w:rsidR="00DE1283" w:rsidRDefault="00DE1283" w:rsidP="00DE1283">
      <w:pPr>
        <w:pStyle w:val="a3"/>
        <w:bidi/>
        <w:jc w:val="both"/>
        <w:rPr>
          <w:rStyle w:val="a5"/>
          <w:b/>
          <w:bCs/>
          <w:rtl/>
        </w:rPr>
      </w:pPr>
      <w:r>
        <w:rPr>
          <w:rFonts w:ascii="Arial Unicode MS" w:hAnsi="Arial Unicode MS" w:hint="eastAsia"/>
          <w:sz w:val="36"/>
          <w:szCs w:val="36"/>
          <w:rtl/>
          <w:lang w:val="ar-SA" w:bidi="ar-SA"/>
          <w14:textOutline w14:w="12700" w14:cap="flat" w14:cmpd="sng" w14:algn="ctr">
            <w14:noFill/>
            <w14:prstDash w14:val="solid"/>
            <w14:miter w14:lim="100000"/>
          </w14:textOutline>
        </w:rPr>
        <w:t>قال قدس سره</w:t>
      </w:r>
      <w:r>
        <w:rPr>
          <w:rFonts w:ascii="Al Nile" w:hAnsi="Al Nile" w:hint="eastAsia"/>
          <w:sz w:val="36"/>
          <w:szCs w:val="36"/>
          <w:rtl/>
          <w:lang w:val="ar-SA" w:bidi="ar-SA"/>
          <w14:textOutline w14:w="12700" w14:cap="flat" w14:cmpd="sng" w14:algn="ctr">
            <w14:noFill/>
            <w14:prstDash w14:val="solid"/>
            <w14:miter w14:lim="100000"/>
          </w14:textOutline>
        </w:rPr>
        <w:t xml:space="preserve">: </w:t>
      </w:r>
      <w:r>
        <w:rPr>
          <w:rStyle w:val="a5"/>
          <w:rFonts w:ascii="Al Nile" w:hAnsi="Al Nile" w:hint="eastAsia"/>
          <w:b/>
          <w:bCs/>
          <w:sz w:val="36"/>
          <w:szCs w:val="36"/>
          <w:rtl/>
          <w14:textOutline w14:w="12700" w14:cap="flat" w14:cmpd="sng" w14:algn="ctr">
            <w14:noFill/>
            <w14:prstDash w14:val="solid"/>
            <w14:miter w14:lim="100000"/>
          </w14:textOutline>
        </w:rPr>
        <w:t>(</w:t>
      </w:r>
      <w:r>
        <w:rPr>
          <w:rStyle w:val="a5"/>
          <w:rFonts w:ascii="Arial Unicode MS" w:hAnsi="Arial Unicode MS" w:hint="eastAsia"/>
          <w:b/>
          <w:bCs/>
          <w:sz w:val="36"/>
          <w:szCs w:val="36"/>
          <w:rtl/>
          <w14:textOutline w14:w="12700" w14:cap="flat" w14:cmpd="sng" w14:algn="ctr">
            <w14:noFill/>
            <w14:prstDash w14:val="solid"/>
            <w14:miter w14:lim="100000"/>
          </w14:textOutline>
        </w:rPr>
        <w:t>إن قلت</w:t>
      </w:r>
      <w:r>
        <w:rPr>
          <w:rStyle w:val="a5"/>
          <w:rFonts w:ascii="Al Nile" w:hAnsi="Al Nile" w:hint="eastAsia"/>
          <w:b/>
          <w:bCs/>
          <w:sz w:val="36"/>
          <w:szCs w:val="36"/>
          <w:rtl/>
          <w14:textOutline w14:w="12700" w14:cap="flat" w14:cmpd="sng" w14:algn="ctr">
            <w14:noFill/>
            <w14:prstDash w14:val="solid"/>
            <w14:miter w14:lim="100000"/>
          </w14:textOutline>
        </w:rPr>
        <w:t xml:space="preserve">: </w:t>
      </w:r>
      <w:r>
        <w:rPr>
          <w:rStyle w:val="a5"/>
          <w:rFonts w:ascii="Arial Unicode MS" w:hAnsi="Arial Unicode MS" w:hint="eastAsia"/>
          <w:b/>
          <w:bCs/>
          <w:sz w:val="36"/>
          <w:szCs w:val="36"/>
          <w:rtl/>
          <w14:textOutline w14:w="12700" w14:cap="flat" w14:cmpd="sng" w14:algn="ctr">
            <w14:noFill/>
            <w14:prstDash w14:val="solid"/>
            <w14:miter w14:lim="100000"/>
          </w14:textOutline>
        </w:rPr>
        <w:t>رجوعه إليه في موارد فقد الأمارة المعتبرة عنده التي يكون المرجع فيها الأصول العقلية ليس إلا الرجوع إلى الجاهل</w:t>
      </w:r>
      <w:r>
        <w:rPr>
          <w:rStyle w:val="a5"/>
          <w:rFonts w:ascii="Al Nile" w:hAnsi="Al Nile" w:hint="eastAsia"/>
          <w:b/>
          <w:bCs/>
          <w:sz w:val="36"/>
          <w:szCs w:val="36"/>
          <w:rtl/>
          <w14:textOutline w14:w="12700" w14:cap="flat" w14:cmpd="sng" w14:algn="ctr">
            <w14:noFill/>
            <w14:prstDash w14:val="solid"/>
            <w14:miter w14:lim="100000"/>
          </w14:textOutline>
        </w:rPr>
        <w:t>.</w:t>
      </w:r>
    </w:p>
    <w:p w:rsidR="00DE1283" w:rsidRDefault="00DE1283" w:rsidP="00DE1283">
      <w:pPr>
        <w:pStyle w:val="a3"/>
        <w:bidi/>
        <w:jc w:val="both"/>
        <w:rPr>
          <w:rtl/>
        </w:rPr>
      </w:pPr>
      <w:r>
        <w:rPr>
          <w:rFonts w:ascii="Arial Unicode MS" w:hAnsi="Arial Unicode MS" w:hint="eastAsia"/>
          <w:b/>
          <w:bCs/>
          <w:sz w:val="36"/>
          <w:szCs w:val="36"/>
          <w:rtl/>
          <w:lang w:val="ar-SA" w:bidi="ar-SA"/>
          <w14:textOutline w14:w="12700" w14:cap="flat" w14:cmpd="sng" w14:algn="ctr">
            <w14:noFill/>
            <w14:prstDash w14:val="solid"/>
            <w14:miter w14:lim="100000"/>
          </w14:textOutline>
        </w:rPr>
        <w:t>قلت</w:t>
      </w:r>
      <w:r>
        <w:rPr>
          <w:rFonts w:ascii="Al Nile" w:hAnsi="Al Nile" w:hint="eastAsia"/>
          <w:b/>
          <w:bCs/>
          <w:sz w:val="36"/>
          <w:szCs w:val="36"/>
          <w:rtl/>
          <w:lang w:val="ar-SA" w:bidi="ar-SA"/>
          <w14:textOutline w14:w="12700" w14:cap="flat" w14:cmpd="sng" w14:algn="ctr">
            <w14:noFill/>
            <w14:prstDash w14:val="solid"/>
            <w14:miter w14:lim="100000"/>
          </w14:textOutline>
        </w:rPr>
        <w:t xml:space="preserve">: </w:t>
      </w:r>
      <w:r>
        <w:rPr>
          <w:rFonts w:ascii="Arial Unicode MS" w:hAnsi="Arial Unicode MS" w:hint="eastAsia"/>
          <w:b/>
          <w:bCs/>
          <w:sz w:val="36"/>
          <w:szCs w:val="36"/>
          <w:rtl/>
          <w:lang w:val="ar-SA" w:bidi="ar-SA"/>
          <w14:textOutline w14:w="12700" w14:cap="flat" w14:cmpd="sng" w14:algn="ctr">
            <w14:noFill/>
            <w14:prstDash w14:val="solid"/>
            <w14:miter w14:lim="100000"/>
          </w14:textOutline>
        </w:rPr>
        <w:t>رجوعه إليه فيها إنما هو لاجل اطلاعه على عدم الامارة الشرعية فيها</w:t>
      </w:r>
      <w:r>
        <w:rPr>
          <w:rFonts w:ascii="Al Nile" w:hAnsi="Al Nile" w:hint="eastAsia"/>
          <w:b/>
          <w:bCs/>
          <w:sz w:val="36"/>
          <w:szCs w:val="36"/>
          <w:rtl/>
          <w:lang w:val="ar-SA" w:bidi="ar-SA"/>
          <w14:textOutline w14:w="12700" w14:cap="flat" w14:cmpd="sng" w14:algn="ctr">
            <w14:noFill/>
            <w14:prstDash w14:val="solid"/>
            <w14:miter w14:lim="100000"/>
          </w14:textOutline>
        </w:rPr>
        <w:t xml:space="preserve"> </w:t>
      </w:r>
      <w:r>
        <w:rPr>
          <w:rFonts w:ascii="Arial Unicode MS" w:hAnsi="Arial Unicode MS" w:hint="eastAsia"/>
          <w:b/>
          <w:bCs/>
          <w:sz w:val="36"/>
          <w:szCs w:val="36"/>
          <w:rtl/>
          <w:lang w:val="ar-SA" w:bidi="ar-SA"/>
          <w14:textOutline w14:w="12700" w14:cap="flat" w14:cmpd="sng" w14:algn="ctr">
            <w14:noFill/>
            <w14:prstDash w14:val="solid"/>
            <w14:miter w14:lim="100000"/>
          </w14:textOutline>
        </w:rPr>
        <w:t>وهو عاجز عن الاطلاع على ذلك، وأما تعيين ما هو حكم العقل وأنه مع عدمها هو البراءة أو الاحتياط فهو إنما يرجع إليه، فالمتبع ما استقل به عقله ولو على خلاف ما ذهب إليه مجتهده</w:t>
      </w:r>
      <w:r>
        <w:rPr>
          <w:rFonts w:ascii="Al Nile" w:hAnsi="Al Nile" w:hint="eastAsia"/>
          <w:b/>
          <w:bCs/>
          <w:sz w:val="36"/>
          <w:szCs w:val="36"/>
          <w:rtl/>
          <w:lang w:val="ar-SA" w:bidi="ar-SA"/>
          <w14:textOutline w14:w="12700" w14:cap="flat" w14:cmpd="sng" w14:algn="ctr">
            <w14:noFill/>
            <w14:prstDash w14:val="solid"/>
            <w14:miter w14:lim="100000"/>
          </w14:textOutline>
        </w:rPr>
        <w:t>.)</w:t>
      </w:r>
      <w:r>
        <w:rPr>
          <w:rStyle w:val="a5"/>
          <w:rFonts w:ascii="Al Nile" w:eastAsia="Al Nile" w:hAnsi="Al Nile" w:cs="Al Nile"/>
          <w:b/>
          <w:bCs/>
          <w:sz w:val="36"/>
          <w:szCs w:val="36"/>
          <w:vertAlign w:val="superscript"/>
          <w:rtl/>
          <w14:textOutline w14:w="12700" w14:cap="flat" w14:cmpd="sng" w14:algn="ctr">
            <w14:noFill/>
            <w14:prstDash w14:val="solid"/>
            <w14:miter w14:lim="100000"/>
          </w14:textOutline>
        </w:rPr>
        <w:footnoteReference w:id="1"/>
      </w:r>
    </w:p>
    <w:p w:rsidR="00DE1283" w:rsidRDefault="00DE1283" w:rsidP="00DE1283">
      <w:pPr>
        <w:pStyle w:val="a3"/>
        <w:bidi/>
        <w:jc w:val="both"/>
        <w:rPr>
          <w:rFonts w:ascii="Al Nile" w:eastAsia="Al Nile" w:hAnsi="Al Nile" w:cs="Al Nile"/>
          <w:sz w:val="36"/>
          <w:szCs w:val="36"/>
          <w:rtl/>
          <w:lang w:val="ar-SA" w:bidi="ar-SA"/>
          <w14:textOutline w14:w="12700" w14:cap="flat" w14:cmpd="sng" w14:algn="ctr">
            <w14:noFill/>
            <w14:prstDash w14:val="solid"/>
            <w14:miter w14:lim="100000"/>
          </w14:textOutline>
        </w:rPr>
      </w:pPr>
      <w:r>
        <w:rPr>
          <w:rFonts w:ascii="Arial Unicode MS" w:hAnsi="Arial Unicode MS" w:hint="eastAsia"/>
          <w:sz w:val="36"/>
          <w:szCs w:val="36"/>
          <w:rtl/>
          <w:lang w:val="ar-SA" w:bidi="ar-SA"/>
          <w14:textOutline w14:w="12700" w14:cap="flat" w14:cmpd="sng" w14:algn="ctr">
            <w14:noFill/>
            <w14:prstDash w14:val="solid"/>
            <w14:miter w14:lim="100000"/>
          </w14:textOutline>
        </w:rPr>
        <w:t>فمراده بـ</w:t>
      </w:r>
      <w:r>
        <w:rPr>
          <w:rFonts w:ascii="Al Nile" w:hAnsi="Al Nile" w:hint="eastAsia"/>
          <w:sz w:val="36"/>
          <w:szCs w:val="36"/>
          <w:rtl/>
          <w:lang w:val="ar-SA" w:bidi="ar-SA"/>
          <w14:textOutline w14:w="12700" w14:cap="flat" w14:cmpd="sng" w14:algn="ctr">
            <w14:noFill/>
            <w14:prstDash w14:val="solid"/>
            <w14:miter w14:lim="100000"/>
          </w14:textOutline>
        </w:rPr>
        <w:t>(</w:t>
      </w:r>
      <w:r>
        <w:rPr>
          <w:rFonts w:ascii="Arial Unicode MS" w:hAnsi="Arial Unicode MS" w:hint="eastAsia"/>
          <w:sz w:val="36"/>
          <w:szCs w:val="36"/>
          <w:rtl/>
          <w:lang w:val="ar-SA" w:bidi="ar-SA"/>
          <w14:textOutline w14:w="12700" w14:cap="flat" w14:cmpd="sng" w14:algn="ctr">
            <w14:noFill/>
            <w14:prstDash w14:val="solid"/>
            <w14:miter w14:lim="100000"/>
          </w14:textOutline>
        </w:rPr>
        <w:t>فهو إنما يرجع إليه</w:t>
      </w:r>
      <w:r>
        <w:rPr>
          <w:rFonts w:ascii="Al Nile" w:hAnsi="Al Nile" w:hint="eastAsia"/>
          <w:sz w:val="36"/>
          <w:szCs w:val="36"/>
          <w:rtl/>
          <w:lang w:val="ar-SA" w:bidi="ar-SA"/>
          <w14:textOutline w14:w="12700" w14:cap="flat" w14:cmpd="sng" w14:algn="ctr">
            <w14:noFill/>
            <w14:prstDash w14:val="solid"/>
            <w14:miter w14:lim="100000"/>
          </w14:textOutline>
        </w:rPr>
        <w:t xml:space="preserve">) </w:t>
      </w:r>
      <w:r>
        <w:rPr>
          <w:rFonts w:ascii="Arial Unicode MS" w:hAnsi="Arial Unicode MS" w:hint="eastAsia"/>
          <w:sz w:val="36"/>
          <w:szCs w:val="36"/>
          <w:rtl/>
          <w:lang w:val="ar-SA" w:bidi="ar-SA"/>
          <w14:textOutline w14:w="12700" w14:cap="flat" w14:cmpd="sng" w14:algn="ctr">
            <w14:noFill/>
            <w14:prstDash w14:val="solid"/>
            <w14:miter w14:lim="100000"/>
          </w14:textOutline>
        </w:rPr>
        <w:t>بقرينة الذيل أن العامي يرجع إلى عقله</w:t>
      </w:r>
      <w:r>
        <w:rPr>
          <w:rFonts w:ascii="Al Nile" w:hAnsi="Al Nile" w:hint="eastAsia"/>
          <w:sz w:val="36"/>
          <w:szCs w:val="36"/>
          <w:rtl/>
          <w:lang w:val="ar-SA" w:bidi="ar-SA"/>
          <w14:textOutline w14:w="12700" w14:cap="flat" w14:cmpd="sng" w14:algn="ctr">
            <w14:noFill/>
            <w14:prstDash w14:val="solid"/>
            <w14:miter w14:lim="100000"/>
          </w14:textOutline>
        </w:rPr>
        <w:t xml:space="preserve">. </w:t>
      </w:r>
      <w:r>
        <w:rPr>
          <w:rFonts w:ascii="Arial Unicode MS" w:hAnsi="Arial Unicode MS" w:hint="eastAsia"/>
          <w:sz w:val="36"/>
          <w:szCs w:val="36"/>
          <w:rtl/>
          <w:lang w:val="ar-SA" w:bidi="ar-SA"/>
          <w14:textOutline w14:w="12700" w14:cap="flat" w14:cmpd="sng" w14:algn="ctr">
            <w14:noFill/>
            <w14:prstDash w14:val="solid"/>
            <w14:miter w14:lim="100000"/>
          </w14:textOutline>
        </w:rPr>
        <w:t>فالرجوع الی المجتهد الانسدادي لابد وان يکون في تشخيص موارد قيام الحجة ، وهذا انما ينفع للعامي لوجرت مقدمات الانسداد عند نفس العامي  و قد بيناه ان المقدمات لاتجري عند العامي نفسه ، هذا محصل كلام المحقق الآخوند قدس سره وتبعه السيد الخوئي قدس سره في الأصول والميرزا التبريزي قدس سره</w:t>
      </w:r>
      <w:r>
        <w:rPr>
          <w:rFonts w:ascii="Al Nile" w:hAnsi="Al Nile" w:hint="eastAsia"/>
          <w:sz w:val="36"/>
          <w:szCs w:val="36"/>
          <w:rtl/>
          <w:lang w:val="ar-SA" w:bidi="ar-SA"/>
          <w14:textOutline w14:w="12700" w14:cap="flat" w14:cmpd="sng" w14:algn="ctr">
            <w14:noFill/>
            <w14:prstDash w14:val="solid"/>
            <w14:miter w14:lim="100000"/>
          </w14:textOutline>
        </w:rPr>
        <w:t>.</w:t>
      </w:r>
    </w:p>
    <w:p w:rsidR="00DE1283" w:rsidRDefault="00DE1283" w:rsidP="00DE1283">
      <w:pPr>
        <w:pStyle w:val="a3"/>
        <w:bidi/>
        <w:jc w:val="both"/>
        <w:rPr>
          <w:rFonts w:ascii="Al Nile" w:eastAsia="Al Nile" w:hAnsi="Al Nile" w:cs="Al Nile"/>
          <w:sz w:val="36"/>
          <w:szCs w:val="36"/>
          <w:rtl/>
          <w:lang w:val="ar-SA" w:bidi="ar-SA"/>
          <w14:textOutline w14:w="12700" w14:cap="flat" w14:cmpd="sng" w14:algn="ctr">
            <w14:noFill/>
            <w14:prstDash w14:val="solid"/>
            <w14:miter w14:lim="100000"/>
          </w14:textOutline>
        </w:rPr>
      </w:pPr>
      <w:r>
        <w:rPr>
          <w:rFonts w:ascii="Arial Unicode MS" w:hAnsi="Arial Unicode MS" w:hint="eastAsia"/>
          <w:sz w:val="36"/>
          <w:szCs w:val="36"/>
          <w:rtl/>
          <w:lang w:val="ar-SA" w:bidi="ar-SA"/>
          <w14:textOutline w14:w="12700" w14:cap="flat" w14:cmpd="sng" w14:algn="ctr">
            <w14:noFill/>
            <w14:prstDash w14:val="solid"/>
            <w14:miter w14:lim="100000"/>
          </w14:textOutline>
        </w:rPr>
        <w:t xml:space="preserve">وفي المقابل ذهب جمع </w:t>
      </w:r>
      <w:r>
        <w:rPr>
          <w:rFonts w:ascii="Al Nile" w:hAnsi="Al Nile" w:hint="eastAsia"/>
          <w:sz w:val="36"/>
          <w:szCs w:val="36"/>
          <w:rtl/>
          <w:lang w:val="ar-SA" w:bidi="ar-SA"/>
          <w14:textOutline w14:w="12700" w14:cap="flat" w14:cmpd="sng" w14:algn="ctr">
            <w14:noFill/>
            <w14:prstDash w14:val="solid"/>
            <w14:miter w14:lim="100000"/>
          </w14:textOutline>
        </w:rPr>
        <w:t xml:space="preserve">- </w:t>
      </w:r>
      <w:r>
        <w:rPr>
          <w:rFonts w:ascii="Arial Unicode MS" w:hAnsi="Arial Unicode MS" w:hint="eastAsia"/>
          <w:sz w:val="36"/>
          <w:szCs w:val="36"/>
          <w:rtl/>
          <w:lang w:val="ar-SA" w:bidi="ar-SA"/>
          <w14:textOutline w14:w="12700" w14:cap="flat" w14:cmpd="sng" w14:algn="ctr">
            <w14:noFill/>
            <w14:prstDash w14:val="solid"/>
            <w14:miter w14:lim="100000"/>
          </w14:textOutline>
        </w:rPr>
        <w:t xml:space="preserve">كما أشرنا </w:t>
      </w:r>
      <w:r>
        <w:rPr>
          <w:rFonts w:ascii="Al Nile" w:hAnsi="Al Nile" w:hint="eastAsia"/>
          <w:sz w:val="36"/>
          <w:szCs w:val="36"/>
          <w:rtl/>
          <w:lang w:val="ar-SA" w:bidi="ar-SA"/>
          <w14:textOutline w14:w="12700" w14:cap="flat" w14:cmpd="sng" w14:algn="ctr">
            <w14:noFill/>
            <w14:prstDash w14:val="solid"/>
            <w14:miter w14:lim="100000"/>
          </w14:textOutline>
        </w:rPr>
        <w:t xml:space="preserve">- </w:t>
      </w:r>
      <w:r>
        <w:rPr>
          <w:rFonts w:ascii="Arial Unicode MS" w:hAnsi="Arial Unicode MS" w:hint="eastAsia"/>
          <w:sz w:val="36"/>
          <w:szCs w:val="36"/>
          <w:rtl/>
          <w:lang w:val="ar-SA" w:bidi="ar-SA"/>
          <w14:textOutline w14:w="12700" w14:cap="flat" w14:cmpd="sng" w14:algn="ctr">
            <w14:noFill/>
            <w14:prstDash w14:val="solid"/>
            <w14:miter w14:lim="100000"/>
          </w14:textOutline>
        </w:rPr>
        <w:t>إلى جواز رجوع العامي للمجتهد الانسدادي مطلقاً كالمحقق الحائري والمحقق الداماد قدس سره ومن هؤلاء السيد الخوئي قدس سره في التنقيح وذهب المحقق الإصفهاني قدس سره إلى التفصيل ووجه التفصيل حسبما في نهاية الدراية أن المجتهد إن كان يقول بالانسداد من باب الحكومة فلا يجوز تقليده إذ التقليد هو من باب رجوع الجاهل إلى العالم وليس المجتهد الانسدادي على الحكومة عالماً بالحكم لا الحكم الواقعي ولا الحكم الظاهري بل غاية دليل الانسداد على الحكومة التبعيض في الاحتياط</w:t>
      </w:r>
      <w:r>
        <w:rPr>
          <w:rFonts w:ascii="Al Nile" w:hAnsi="Al Nile" w:hint="eastAsia"/>
          <w:sz w:val="36"/>
          <w:szCs w:val="36"/>
          <w:rtl/>
          <w:lang w:val="ar-SA" w:bidi="ar-SA"/>
          <w14:textOutline w14:w="12700" w14:cap="flat" w14:cmpd="sng" w14:algn="ctr">
            <w14:noFill/>
            <w14:prstDash w14:val="solid"/>
            <w14:miter w14:lim="100000"/>
          </w14:textOutline>
        </w:rPr>
        <w:t xml:space="preserve">. </w:t>
      </w:r>
      <w:r>
        <w:rPr>
          <w:rFonts w:ascii="Arial Unicode MS" w:hAnsi="Arial Unicode MS" w:hint="eastAsia"/>
          <w:sz w:val="36"/>
          <w:szCs w:val="36"/>
          <w:rtl/>
          <w:lang w:val="ar-SA" w:bidi="ar-SA"/>
          <w14:textOutline w14:w="12700" w14:cap="flat" w14:cmpd="sng" w14:algn="ctr">
            <w14:noFill/>
            <w14:prstDash w14:val="solid"/>
            <w14:miter w14:lim="100000"/>
          </w14:textOutline>
        </w:rPr>
        <w:t xml:space="preserve">وإن كان يقول بالانسداد من باب الكشف فيجوز تقليده إذ معنى القول بالكشف حجية مطلق الظن </w:t>
      </w:r>
      <w:r>
        <w:rPr>
          <w:rFonts w:ascii="Arial Unicode MS" w:hAnsi="Arial Unicode MS" w:hint="eastAsia"/>
          <w:sz w:val="36"/>
          <w:szCs w:val="36"/>
          <w:rtl/>
          <w:lang w:val="ar-SA" w:bidi="ar-SA"/>
          <w14:textOutline w14:w="12700" w14:cap="flat" w14:cmpd="sng" w14:algn="ctr">
            <w14:noFill/>
            <w14:prstDash w14:val="solid"/>
            <w14:miter w14:lim="100000"/>
          </w14:textOutline>
        </w:rPr>
        <w:lastRenderedPageBreak/>
        <w:t>كحجية خبر الثقة من باب الظن الخاص عند المجتهد الانفتاحي وإذا رجعنا إلى معنى الحجية في الأمارت والطرق وجدنا أن الصحيح أنها بمعنى جعل الحكم المماثل وعليه فالمجتهد الانسدادي وإن لم يكن عالماً بالحكم الواقعي لكنه عالم بالحكم المماثل للمظنون فلا وجه لعدم جواز رجوع العامي إليه إلا أن يقال بأن حجية الظن خاصة بالظان فقط وهو المجتهد ولا تعم غيره ولا يقاس ذلك بخبر الثقة لأنه حجة عند الكل ولا تختص بالمجتهد والجواب عن هذا الإشكال نفس ما يقال في تخريج الرجوع إلى المجتهد الانفتاحي فيما يتمسك بالاستصحاب حيث يقال  أن الحكم المماثل  الذي یثبت  بالاستصحاب عام لجميع المكلفين</w:t>
      </w:r>
      <w:r>
        <w:rPr>
          <w:rFonts w:ascii="Al Nile" w:hAnsi="Al Nile" w:hint="eastAsia"/>
          <w:sz w:val="36"/>
          <w:szCs w:val="36"/>
          <w:rtl/>
          <w:lang w:val="ar-SA" w:bidi="ar-SA"/>
          <w14:textOutline w14:w="12700" w14:cap="flat" w14:cmpd="sng" w14:algn="ctr">
            <w14:noFill/>
            <w14:prstDash w14:val="solid"/>
            <w14:miter w14:lim="100000"/>
          </w14:textOutline>
        </w:rPr>
        <w:t>.</w:t>
      </w:r>
    </w:p>
    <w:p w:rsidR="00DE1283" w:rsidRDefault="00DE1283" w:rsidP="00DE1283">
      <w:pPr>
        <w:pStyle w:val="a3"/>
        <w:bidi/>
        <w:jc w:val="both"/>
        <w:rPr>
          <w:rtl/>
        </w:rPr>
      </w:pPr>
      <w:r>
        <w:rPr>
          <w:rStyle w:val="a5"/>
          <w:rFonts w:ascii="Arial Unicode MS" w:hAnsi="Arial Unicode MS" w:hint="eastAsia"/>
          <w:sz w:val="36"/>
          <w:szCs w:val="36"/>
          <w:shd w:val="clear" w:color="auto" w:fill="FEFFFE"/>
          <w:rtl/>
          <w14:textOutline w14:w="12700" w14:cap="flat" w14:cmpd="sng" w14:algn="ctr">
            <w14:noFill/>
            <w14:prstDash w14:val="solid"/>
            <w14:miter w14:lim="100000"/>
          </w14:textOutline>
        </w:rPr>
        <w:t>وصلى الله على محمد وآله الطاهرين</w:t>
      </w:r>
      <w:r>
        <w:rPr>
          <w:rStyle w:val="a5"/>
          <w:rFonts w:ascii="Al Nile" w:hAnsi="Al Nile" w:hint="eastAsia"/>
          <w:sz w:val="36"/>
          <w:szCs w:val="36"/>
          <w:shd w:val="clear" w:color="auto" w:fill="FEFFFE"/>
          <w:rtl/>
          <w14:textOutline w14:w="12700" w14:cap="flat" w14:cmpd="sng" w14:algn="ctr">
            <w14:noFill/>
            <w14:prstDash w14:val="solid"/>
            <w14:miter w14:lim="100000"/>
          </w14:textOutline>
        </w:rPr>
        <w:t>.</w:t>
      </w:r>
    </w:p>
    <w:p w:rsidR="009D01B4" w:rsidRDefault="009D01B4"/>
    <w:sectPr w:rsidR="009D01B4" w:rsidSect="00222135">
      <w:headerReference w:type="default" r:id="rId7"/>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4CA2" w:rsidRDefault="000E4CA2" w:rsidP="00DE1283">
      <w:pPr>
        <w:spacing w:after="0" w:line="240" w:lineRule="auto"/>
      </w:pPr>
      <w:r>
        <w:separator/>
      </w:r>
    </w:p>
  </w:endnote>
  <w:endnote w:type="continuationSeparator" w:id="0">
    <w:p w:rsidR="000E4CA2" w:rsidRDefault="000E4CA2" w:rsidP="00DE12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eza Pro Regular">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Al Nile">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4CA2" w:rsidRDefault="000E4CA2" w:rsidP="00DE1283">
      <w:pPr>
        <w:spacing w:after="0" w:line="240" w:lineRule="auto"/>
      </w:pPr>
      <w:r>
        <w:separator/>
      </w:r>
    </w:p>
  </w:footnote>
  <w:footnote w:type="continuationSeparator" w:id="0">
    <w:p w:rsidR="000E4CA2" w:rsidRDefault="000E4CA2" w:rsidP="00DE1283">
      <w:pPr>
        <w:spacing w:after="0" w:line="240" w:lineRule="auto"/>
      </w:pPr>
      <w:r>
        <w:continuationSeparator/>
      </w:r>
    </w:p>
  </w:footnote>
  <w:footnote w:id="1">
    <w:p w:rsidR="00DE1283" w:rsidRDefault="00DE1283" w:rsidP="00DE1283">
      <w:pPr>
        <w:pStyle w:val="a4"/>
        <w:bidi/>
        <w:rPr>
          <w:rFonts w:hint="eastAsia"/>
          <w:rtl/>
        </w:rPr>
      </w:pPr>
      <w:r>
        <w:rPr>
          <w:rStyle w:val="a5"/>
          <w:vertAlign w:val="superscript"/>
        </w:rPr>
        <w:footnoteRef/>
      </w:r>
      <w:r>
        <w:rPr>
          <w:rFonts w:eastAsia="Arial Unicode MS" w:cs="Arial Unicode MS" w:hint="eastAsia"/>
          <w:rtl/>
          <w:lang w:bidi="ar-SA"/>
        </w:rPr>
        <w:t xml:space="preserve"> </w:t>
      </w:r>
      <w:r>
        <w:rPr>
          <w:rFonts w:ascii="Arial Unicode MS" w:eastAsia="Arial Unicode MS" w:hAnsi="Arial Unicode MS" w:cs="Arial Unicode MS" w:hint="eastAsia"/>
          <w:rtl/>
          <w:lang w:val="ar-SA" w:bidi="ar-SA"/>
        </w:rPr>
        <w:t>-</w:t>
      </w:r>
      <w:r>
        <w:rPr>
          <w:rFonts w:eastAsia="Arial Unicode MS" w:cs="Arial Unicode MS" w:hint="eastAsia"/>
          <w:rtl/>
          <w:lang w:val="ar-SA" w:bidi="ar-SA"/>
        </w:rPr>
        <w:t xml:space="preserve"> </w:t>
      </w:r>
      <w:r>
        <w:rPr>
          <w:rFonts w:ascii="Arial Unicode MS" w:eastAsia="Arial Unicode MS" w:hAnsi="Arial Unicode MS" w:cs="Arial Unicode MS" w:hint="eastAsia"/>
          <w:rtl/>
          <w:lang w:val="ar-SA" w:bidi="ar-SA"/>
        </w:rPr>
        <w:t>كفاية الأصول، ص٤٦٦</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278306525"/>
      <w:docPartObj>
        <w:docPartGallery w:val="Page Numbers (Top of Page)"/>
        <w:docPartUnique/>
      </w:docPartObj>
    </w:sdtPr>
    <w:sdtContent>
      <w:p w:rsidR="00DE1283" w:rsidRDefault="00DE1283">
        <w:pPr>
          <w:pStyle w:val="a6"/>
          <w:jc w:val="right"/>
        </w:pPr>
        <w:r>
          <w:fldChar w:fldCharType="begin"/>
        </w:r>
        <w:r>
          <w:instrText>PAGE   \* MERGEFORMAT</w:instrText>
        </w:r>
        <w:r>
          <w:fldChar w:fldCharType="separate"/>
        </w:r>
        <w:r w:rsidRPr="00DE1283">
          <w:rPr>
            <w:noProof/>
            <w:rtl/>
            <w:lang w:val="fa-IR"/>
          </w:rPr>
          <w:t>1</w:t>
        </w:r>
        <w:r>
          <w:rPr>
            <w:noProof/>
          </w:rPr>
          <w:fldChar w:fldCharType="end"/>
        </w:r>
      </w:p>
    </w:sdtContent>
  </w:sdt>
  <w:p w:rsidR="00DE1283" w:rsidRDefault="00DE1283">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1283"/>
    <w:rsid w:val="000E4CA2"/>
    <w:rsid w:val="00222135"/>
    <w:rsid w:val="009D01B4"/>
    <w:rsid w:val="00DE128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الافتراضي"/>
    <w:rsid w:val="00DE1283"/>
    <w:pPr>
      <w:spacing w:after="0" w:line="240" w:lineRule="auto"/>
    </w:pPr>
    <w:rPr>
      <w:rFonts w:ascii="Geeza Pro Regular" w:eastAsia="Arial Unicode MS" w:hAnsi="Geeza Pro Regular" w:cs="Arial Unicode MS"/>
      <w:color w:val="000000"/>
      <w14:textOutline w14:w="0" w14:cap="flat" w14:cmpd="sng" w14:algn="ctr">
        <w14:noFill/>
        <w14:prstDash w14:val="solid"/>
        <w14:bevel/>
      </w14:textOutline>
    </w:rPr>
  </w:style>
  <w:style w:type="paragraph" w:customStyle="1" w:styleId="a4">
    <w:name w:val="حاشية"/>
    <w:rsid w:val="00DE1283"/>
    <w:pPr>
      <w:spacing w:after="0" w:line="240" w:lineRule="auto"/>
    </w:pPr>
    <w:rPr>
      <w:rFonts w:ascii="Geeza Pro Regular" w:eastAsia="Geeza Pro Regular" w:hAnsi="Geeza Pro Regular" w:cs="Geeza Pro Regular"/>
      <w:color w:val="000000"/>
      <w14:textOutline w14:w="0" w14:cap="flat" w14:cmpd="sng" w14:algn="ctr">
        <w14:noFill/>
        <w14:prstDash w14:val="solid"/>
        <w14:bevel/>
      </w14:textOutline>
    </w:rPr>
  </w:style>
  <w:style w:type="character" w:customStyle="1" w:styleId="a5">
    <w:name w:val="لا شيء"/>
    <w:rsid w:val="00DE1283"/>
    <w:rPr>
      <w:lang w:val="ar-SA" w:bidi="ar-SA"/>
    </w:rPr>
  </w:style>
  <w:style w:type="paragraph" w:styleId="a6">
    <w:name w:val="header"/>
    <w:basedOn w:val="a"/>
    <w:link w:val="a7"/>
    <w:uiPriority w:val="99"/>
    <w:unhideWhenUsed/>
    <w:rsid w:val="00DE1283"/>
    <w:pPr>
      <w:tabs>
        <w:tab w:val="center" w:pos="4513"/>
        <w:tab w:val="right" w:pos="9026"/>
      </w:tabs>
      <w:spacing w:after="0" w:line="240" w:lineRule="auto"/>
    </w:pPr>
  </w:style>
  <w:style w:type="character" w:customStyle="1" w:styleId="a7">
    <w:name w:val="سرصفحه نویسه"/>
    <w:basedOn w:val="a0"/>
    <w:link w:val="a6"/>
    <w:uiPriority w:val="99"/>
    <w:rsid w:val="00DE1283"/>
  </w:style>
  <w:style w:type="paragraph" w:styleId="a8">
    <w:name w:val="footer"/>
    <w:basedOn w:val="a"/>
    <w:link w:val="a9"/>
    <w:uiPriority w:val="99"/>
    <w:unhideWhenUsed/>
    <w:rsid w:val="00DE1283"/>
    <w:pPr>
      <w:tabs>
        <w:tab w:val="center" w:pos="4513"/>
        <w:tab w:val="right" w:pos="9026"/>
      </w:tabs>
      <w:spacing w:after="0" w:line="240" w:lineRule="auto"/>
    </w:pPr>
  </w:style>
  <w:style w:type="character" w:customStyle="1" w:styleId="a9">
    <w:name w:val="پانویس نویسه"/>
    <w:basedOn w:val="a0"/>
    <w:link w:val="a8"/>
    <w:uiPriority w:val="99"/>
    <w:rsid w:val="00DE128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الافتراضي"/>
    <w:rsid w:val="00DE1283"/>
    <w:pPr>
      <w:spacing w:after="0" w:line="240" w:lineRule="auto"/>
    </w:pPr>
    <w:rPr>
      <w:rFonts w:ascii="Geeza Pro Regular" w:eastAsia="Arial Unicode MS" w:hAnsi="Geeza Pro Regular" w:cs="Arial Unicode MS"/>
      <w:color w:val="000000"/>
      <w14:textOutline w14:w="0" w14:cap="flat" w14:cmpd="sng" w14:algn="ctr">
        <w14:noFill/>
        <w14:prstDash w14:val="solid"/>
        <w14:bevel/>
      </w14:textOutline>
    </w:rPr>
  </w:style>
  <w:style w:type="paragraph" w:customStyle="1" w:styleId="a4">
    <w:name w:val="حاشية"/>
    <w:rsid w:val="00DE1283"/>
    <w:pPr>
      <w:spacing w:after="0" w:line="240" w:lineRule="auto"/>
    </w:pPr>
    <w:rPr>
      <w:rFonts w:ascii="Geeza Pro Regular" w:eastAsia="Geeza Pro Regular" w:hAnsi="Geeza Pro Regular" w:cs="Geeza Pro Regular"/>
      <w:color w:val="000000"/>
      <w14:textOutline w14:w="0" w14:cap="flat" w14:cmpd="sng" w14:algn="ctr">
        <w14:noFill/>
        <w14:prstDash w14:val="solid"/>
        <w14:bevel/>
      </w14:textOutline>
    </w:rPr>
  </w:style>
  <w:style w:type="character" w:customStyle="1" w:styleId="a5">
    <w:name w:val="لا شيء"/>
    <w:rsid w:val="00DE1283"/>
    <w:rPr>
      <w:lang w:val="ar-SA" w:bidi="ar-SA"/>
    </w:rPr>
  </w:style>
  <w:style w:type="paragraph" w:styleId="a6">
    <w:name w:val="header"/>
    <w:basedOn w:val="a"/>
    <w:link w:val="a7"/>
    <w:uiPriority w:val="99"/>
    <w:unhideWhenUsed/>
    <w:rsid w:val="00DE1283"/>
    <w:pPr>
      <w:tabs>
        <w:tab w:val="center" w:pos="4513"/>
        <w:tab w:val="right" w:pos="9026"/>
      </w:tabs>
      <w:spacing w:after="0" w:line="240" w:lineRule="auto"/>
    </w:pPr>
  </w:style>
  <w:style w:type="character" w:customStyle="1" w:styleId="a7">
    <w:name w:val="سرصفحه نویسه"/>
    <w:basedOn w:val="a0"/>
    <w:link w:val="a6"/>
    <w:uiPriority w:val="99"/>
    <w:rsid w:val="00DE1283"/>
  </w:style>
  <w:style w:type="paragraph" w:styleId="a8">
    <w:name w:val="footer"/>
    <w:basedOn w:val="a"/>
    <w:link w:val="a9"/>
    <w:uiPriority w:val="99"/>
    <w:unhideWhenUsed/>
    <w:rsid w:val="00DE1283"/>
    <w:pPr>
      <w:tabs>
        <w:tab w:val="center" w:pos="4513"/>
        <w:tab w:val="right" w:pos="9026"/>
      </w:tabs>
      <w:spacing w:after="0" w:line="240" w:lineRule="auto"/>
    </w:pPr>
  </w:style>
  <w:style w:type="character" w:customStyle="1" w:styleId="a9">
    <w:name w:val="پانویس نویسه"/>
    <w:basedOn w:val="a0"/>
    <w:link w:val="a8"/>
    <w:uiPriority w:val="99"/>
    <w:rsid w:val="00DE12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9754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763</Words>
  <Characters>4355</Characters>
  <Application>Microsoft Office Word</Application>
  <DocSecurity>0</DocSecurity>
  <Lines>36</Lines>
  <Paragraphs>10</Paragraphs>
  <ScaleCrop>false</ScaleCrop>
  <Company/>
  <LinksUpToDate>false</LinksUpToDate>
  <CharactersWithSpaces>5108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سلام</dc:creator>
  <cp:lastModifiedBy>سلام</cp:lastModifiedBy>
  <cp:revision>1</cp:revision>
  <dcterms:created xsi:type="dcterms:W3CDTF">2020-09-24T04:51:00Z</dcterms:created>
  <dcterms:modified xsi:type="dcterms:W3CDTF">2020-09-24T04:53:00Z</dcterms:modified>
</cp:coreProperties>
</file>