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4C7" w:rsidRDefault="00795429">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١٩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٢٣</w:t>
      </w:r>
    </w:p>
    <w:p w:rsidR="002034C7" w:rsidRDefault="00795429">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2034C7" w:rsidRDefault="00795429">
      <w:pPr>
        <w:pStyle w:val="a5"/>
        <w:rPr>
          <w:rFonts w:hint="default"/>
        </w:rPr>
      </w:pPr>
      <w:r>
        <w:rPr>
          <w:rFonts w:cs="Times New Roman"/>
          <w:rtl/>
          <w:lang w:val="ar-SA"/>
        </w:rPr>
        <w:t>كان الكلام في المسألة الأولى من المسائل الأربع في بحث التعبدي والتوصلي</w:t>
      </w:r>
      <w:r>
        <w:rPr>
          <w:rFonts w:ascii="Al Nile" w:hAnsi="Al Nile"/>
          <w:rtl/>
          <w:lang w:val="ar-SA"/>
        </w:rPr>
        <w:t xml:space="preserve">: </w:t>
      </w:r>
      <w:r>
        <w:rPr>
          <w:rFonts w:cs="Times New Roman"/>
          <w:rtl/>
          <w:lang w:val="ar-SA"/>
        </w:rPr>
        <w:t xml:space="preserve">في حكم الشك في التعبدية والتوصلية بمعنى </w:t>
      </w:r>
      <w:r>
        <w:rPr>
          <w:rFonts w:cs="Times New Roman"/>
          <w:rtl/>
          <w:lang w:val="ar-SA"/>
        </w:rPr>
        <w:t>اعتبار مباشرة المكلّف في سقوط التكليف وعدم سقوطه بفعل الغير في مقابل عدم اعتبار المباشرة وسقوطه بفعل الغير</w:t>
      </w:r>
      <w:r>
        <w:rPr>
          <w:rFonts w:ascii="Al Nile" w:hAnsi="Al Nile"/>
          <w:rtl/>
          <w:lang w:val="ar-SA"/>
        </w:rPr>
        <w:t>.</w:t>
      </w:r>
    </w:p>
    <w:p w:rsidR="002034C7" w:rsidRDefault="00795429">
      <w:pPr>
        <w:pStyle w:val="a5"/>
        <w:rPr>
          <w:rFonts w:hint="default"/>
        </w:rPr>
      </w:pPr>
      <w:r>
        <w:rPr>
          <w:rFonts w:cs="Times New Roman"/>
          <w:rtl/>
          <w:lang w:val="ar-SA"/>
        </w:rPr>
        <w:t>المقام الأول</w:t>
      </w:r>
      <w:r>
        <w:rPr>
          <w:rFonts w:ascii="Al Nile" w:hAnsi="Al Nile"/>
          <w:rtl/>
          <w:lang w:val="ar-SA"/>
        </w:rPr>
        <w:t xml:space="preserve">: </w:t>
      </w:r>
      <w:r>
        <w:rPr>
          <w:rFonts w:cs="Times New Roman"/>
          <w:rtl/>
          <w:lang w:val="ar-SA"/>
        </w:rPr>
        <w:t>في مقتضى الأصل اللفظي هل مقتضى الأصل اللفظي في مقام الشك التعبدية واعتبار المباشرة أو التوصلية وعدم اعتبار المباشرة؟</w:t>
      </w:r>
    </w:p>
    <w:p w:rsidR="002034C7" w:rsidRDefault="00795429">
      <w:pPr>
        <w:pStyle w:val="a5"/>
        <w:rPr>
          <w:rFonts w:hint="default"/>
        </w:rPr>
      </w:pPr>
      <w:r>
        <w:rPr>
          <w:rFonts w:cs="Times New Roman"/>
          <w:rtl/>
          <w:lang w:val="ar-SA"/>
        </w:rPr>
        <w:t>قلنا الوجه الصحيح</w:t>
      </w:r>
      <w:r>
        <w:rPr>
          <w:rFonts w:cs="Times New Roman"/>
          <w:rtl/>
          <w:lang w:val="ar-SA"/>
        </w:rPr>
        <w:t xml:space="preserve"> في حكم المسألة ما أفاده الميرزا التبريزي قدس سره من التفصيل بين قسمين من أفعال المكلفين</w:t>
      </w:r>
      <w:r>
        <w:rPr>
          <w:rFonts w:ascii="Al Nile" w:hAnsi="Al Nile"/>
          <w:rtl/>
          <w:lang w:val="ar-SA"/>
        </w:rPr>
        <w:t xml:space="preserve">: </w:t>
      </w:r>
      <w:r>
        <w:rPr>
          <w:rFonts w:cs="Times New Roman"/>
          <w:rtl/>
          <w:lang w:val="ar-SA"/>
        </w:rPr>
        <w:t>ففي الأفعال التي لا تُنسب إلا إلى فاعلها المباشري مقتضى الأصل اللفظي هو التعبدية وفي الأفعال التي تُنسب إلى فاعلها التسبيبي كما تنسب إلى فاعلها المباشري مقتضى الأصل ا</w:t>
      </w:r>
      <w:r>
        <w:rPr>
          <w:rFonts w:cs="Times New Roman"/>
          <w:rtl/>
          <w:lang w:val="ar-SA"/>
        </w:rPr>
        <w:t>للفظي التوصلية</w:t>
      </w:r>
      <w:r>
        <w:rPr>
          <w:rFonts w:ascii="Al Nile" w:hAnsi="Al Nile"/>
          <w:rtl/>
          <w:lang w:val="ar-SA"/>
        </w:rPr>
        <w:t>.</w:t>
      </w:r>
    </w:p>
    <w:p w:rsidR="002034C7" w:rsidRDefault="00795429">
      <w:pPr>
        <w:pStyle w:val="a5"/>
        <w:rPr>
          <w:rFonts w:hint="default"/>
        </w:rPr>
      </w:pPr>
      <w:r>
        <w:rPr>
          <w:rFonts w:cs="Times New Roman"/>
          <w:rtl/>
          <w:lang w:val="ar-SA"/>
        </w:rPr>
        <w:t>توضيح ذلك أن ظاهر الخطابات المتوجهة إلى المكلفين كوجوب التقصير في الحج أو وجوب رد التحية مطلوبية صدور المادة من المكلف نفسه بحيث لو صدر من غيره لا يكون مشمولاً لإطلاق الخطاب، هذا مما لا إشكال فيه وذكروا لإثبات ذلك دليلين</w:t>
      </w:r>
      <w:r>
        <w:rPr>
          <w:rFonts w:ascii="Al Nile" w:hAnsi="Al Nile"/>
          <w:rtl/>
          <w:lang w:val="ar-SA"/>
        </w:rPr>
        <w:t>:</w:t>
      </w:r>
    </w:p>
    <w:p w:rsidR="002034C7" w:rsidRDefault="00795429">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 xml:space="preserve">ما تقدم عن </w:t>
      </w:r>
      <w:r>
        <w:rPr>
          <w:rFonts w:cs="Times New Roman"/>
          <w:rtl/>
          <w:lang w:val="ar-SA"/>
        </w:rPr>
        <w:t xml:space="preserve">المحقق النائيني قدس سره وذكره السيد الخوئي قدس سره حسب تقريرات المحاضرات </w:t>
      </w:r>
      <w:r w:rsidR="00C813C9">
        <w:rPr>
          <w:rStyle w:val="a8"/>
          <w:rFonts w:cs="Times New Roman" w:hint="default"/>
          <w:rtl/>
          <w:lang w:val="ar-SA"/>
        </w:rPr>
        <w:footnoteReference w:id="1"/>
      </w:r>
      <w:r>
        <w:rPr>
          <w:rFonts w:cs="Times New Roman"/>
          <w:rtl/>
          <w:lang w:val="ar-SA"/>
        </w:rPr>
        <w:t>من أن فعل الغير بما هو فعل الغير ليس مقدوراً للمكلف فلا يشمله خطاب التكليف المتوجه إليه</w:t>
      </w:r>
      <w:r>
        <w:rPr>
          <w:rFonts w:ascii="Al Nile" w:hAnsi="Al Nile"/>
          <w:rtl/>
          <w:lang w:val="ar-SA"/>
        </w:rPr>
        <w:t>.</w:t>
      </w:r>
    </w:p>
    <w:p w:rsidR="002034C7" w:rsidRDefault="00795429">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 xml:space="preserve">ما ذكره السيد الخوئي قدس سره حسب تقريرات الدراسات والهداية </w:t>
      </w:r>
      <w:r w:rsidR="00C813C9">
        <w:rPr>
          <w:rStyle w:val="a8"/>
          <w:rFonts w:cs="Times New Roman" w:hint="default"/>
          <w:rtl/>
          <w:lang w:val="ar-SA"/>
        </w:rPr>
        <w:footnoteReference w:id="2"/>
      </w:r>
      <w:r>
        <w:rPr>
          <w:rFonts w:cs="Times New Roman"/>
          <w:rtl/>
          <w:lang w:val="ar-SA"/>
        </w:rPr>
        <w:t xml:space="preserve">من أن فعل الغير وإن لم يكن </w:t>
      </w:r>
      <w:r>
        <w:rPr>
          <w:rFonts w:cs="Times New Roman"/>
          <w:rtl/>
          <w:lang w:val="ar-SA"/>
        </w:rPr>
        <w:t>مقدوراً للمكلف ولكن ذلك لا يمنع من شمول خطاب التكليف له لأنه في تعلق التكليف بالطبيعة لا يلزم أن تكون جميع أفراد الطبيعة مقدورةً للمكلف بل تكفي مقدورية الجامع فليس الدليل ما تقدم ولكن مع ذلك نفس الخطاب ظاهر في أن ما هو المطلوب الفعل الصادر من المكلف نفسه و</w:t>
      </w:r>
      <w:r>
        <w:rPr>
          <w:rFonts w:cs="Times New Roman"/>
          <w:rtl/>
          <w:lang w:val="ar-SA"/>
        </w:rPr>
        <w:t>إن كان تعلق التكليف بالجامع بين فعل نفس المكلف وفعل الغير ممكناً ولكن ظاهر توجه الخطاب إلى المكلف أن المطلوب صدور المادة من المكلف نفسه</w:t>
      </w:r>
      <w:r>
        <w:rPr>
          <w:rFonts w:ascii="Al Nile" w:hAnsi="Al Nile"/>
          <w:rtl/>
          <w:lang w:val="ar-SA"/>
        </w:rPr>
        <w:t>.</w:t>
      </w:r>
    </w:p>
    <w:p w:rsidR="002034C7" w:rsidRDefault="00795429">
      <w:pPr>
        <w:pStyle w:val="a5"/>
        <w:rPr>
          <w:rFonts w:hint="default"/>
        </w:rPr>
      </w:pPr>
      <w:r>
        <w:rPr>
          <w:rFonts w:cs="Times New Roman"/>
          <w:rtl/>
          <w:lang w:val="ar-SA"/>
        </w:rPr>
        <w:t>على أي حال أصل كون متعلق التكليف المادة الصادرة عن المكلف نفسه أمر ثابت بأحد الدليلين</w:t>
      </w:r>
      <w:r>
        <w:rPr>
          <w:rFonts w:ascii="Al Nile" w:hAnsi="Al Nile"/>
          <w:rtl/>
          <w:lang w:val="ar-SA"/>
        </w:rPr>
        <w:t>.</w:t>
      </w:r>
    </w:p>
    <w:p w:rsidR="002034C7" w:rsidRDefault="00795429">
      <w:pPr>
        <w:pStyle w:val="a5"/>
        <w:rPr>
          <w:rFonts w:hint="default"/>
        </w:rPr>
      </w:pPr>
      <w:r>
        <w:rPr>
          <w:rFonts w:cs="Times New Roman"/>
          <w:rtl/>
          <w:lang w:val="ar-SA"/>
        </w:rPr>
        <w:t>ولكن ذلك لا يقتضي أن ترجع جميع م</w:t>
      </w:r>
      <w:r>
        <w:rPr>
          <w:rFonts w:cs="Times New Roman"/>
          <w:rtl/>
          <w:lang w:val="ar-SA"/>
        </w:rPr>
        <w:t>وارد الشك في سقوط التكليف بفعل الغير إلى الشك في إطلاق التكليف وتقييده وذلك لأن الأفعال التي تتعلق بها التكليف على قسمين</w:t>
      </w:r>
      <w:r>
        <w:rPr>
          <w:rFonts w:ascii="Al Nile" w:hAnsi="Al Nile"/>
          <w:rtl/>
          <w:lang w:val="ar-SA"/>
        </w:rPr>
        <w:t>:</w:t>
      </w:r>
    </w:p>
    <w:p w:rsidR="002034C7" w:rsidRDefault="00795429">
      <w:pPr>
        <w:pStyle w:val="a5"/>
        <w:rPr>
          <w:rFonts w:hint="default"/>
        </w:rPr>
      </w:pPr>
      <w:r>
        <w:rPr>
          <w:rFonts w:cs="Times New Roman"/>
          <w:rtl/>
          <w:lang w:val="ar-SA"/>
        </w:rPr>
        <w:t>الأول</w:t>
      </w:r>
      <w:r>
        <w:rPr>
          <w:rFonts w:ascii="Al Nile" w:hAnsi="Al Nile"/>
          <w:rtl/>
          <w:lang w:val="ar-SA"/>
        </w:rPr>
        <w:t xml:space="preserve">: </w:t>
      </w:r>
      <w:r>
        <w:rPr>
          <w:rFonts w:cs="Times New Roman"/>
          <w:rtl/>
          <w:lang w:val="ar-SA"/>
        </w:rPr>
        <w:t>الأفعال التي لا تُنسب إلا إلى فاعلها المباشري وإن كان غيره أيضاً دخيلاً في تحققها كالمشي والأكل والشرب إذا صار شخص سبباً لأكل ز</w:t>
      </w:r>
      <w:r>
        <w:rPr>
          <w:rFonts w:cs="Times New Roman"/>
          <w:rtl/>
          <w:lang w:val="ar-SA"/>
        </w:rPr>
        <w:t xml:space="preserve">يد مثلاً وإن كان </w:t>
      </w:r>
      <w:r>
        <w:rPr>
          <w:rFonts w:cs="Times New Roman"/>
          <w:rtl/>
          <w:lang w:val="ar-SA"/>
        </w:rPr>
        <w:lastRenderedPageBreak/>
        <w:t>زيد ليس مختاراً في أكله بل اُكره عليه لا يُنسب عنوان الأكل إلى السبب بل يُنسب إلى زيد فقط ويقال فلان أكره زيداً على الأكل</w:t>
      </w:r>
      <w:r>
        <w:rPr>
          <w:rFonts w:ascii="Al Nile" w:hAnsi="Al Nile"/>
          <w:rtl/>
          <w:lang w:val="ar-SA"/>
        </w:rPr>
        <w:t>.</w:t>
      </w:r>
    </w:p>
    <w:p w:rsidR="002034C7" w:rsidRDefault="00795429">
      <w:pPr>
        <w:pStyle w:val="a5"/>
        <w:rPr>
          <w:rFonts w:hint="default"/>
        </w:rPr>
      </w:pPr>
      <w:r>
        <w:rPr>
          <w:rFonts w:cs="Times New Roman"/>
          <w:rtl/>
          <w:lang w:val="ar-SA"/>
        </w:rPr>
        <w:t>الثاني</w:t>
      </w:r>
      <w:r>
        <w:rPr>
          <w:rFonts w:ascii="Al Nile" w:hAnsi="Al Nile"/>
          <w:rtl/>
          <w:lang w:val="ar-SA"/>
        </w:rPr>
        <w:t xml:space="preserve">: </w:t>
      </w:r>
      <w:r>
        <w:rPr>
          <w:rFonts w:cs="Times New Roman"/>
          <w:rtl/>
          <w:lang w:val="ar-SA"/>
        </w:rPr>
        <w:t>الأفعال التي تُنسب إلى السبب كما تنسب إلى الفاعل المباشري كالتقصير والحلق والبناء والعناوين المعاملي</w:t>
      </w:r>
      <w:r w:rsidR="00C813C9">
        <w:rPr>
          <w:rFonts w:cs="Times New Roman"/>
          <w:rtl/>
          <w:lang w:val="ar-SA"/>
        </w:rPr>
        <w:t>ة</w:t>
      </w:r>
      <w:r>
        <w:rPr>
          <w:rFonts w:cs="Times New Roman"/>
          <w:rtl/>
          <w:lang w:val="ar-SA"/>
        </w:rPr>
        <w:t xml:space="preserve"> كالبيع </w:t>
      </w:r>
      <w:r>
        <w:rPr>
          <w:rFonts w:cs="Times New Roman"/>
          <w:rtl/>
          <w:lang w:val="ar-SA"/>
        </w:rPr>
        <w:t>والإجارة إذا صار زيد سبباً لإيجار داره وإن كان المجري لعقد الإجارة شخصاً آخر كوكيله يقال</w:t>
      </w:r>
      <w:r>
        <w:rPr>
          <w:rFonts w:ascii="Al Nile" w:hAnsi="Al Nile"/>
          <w:rtl/>
          <w:lang w:val="ar-SA"/>
        </w:rPr>
        <w:t xml:space="preserve">: </w:t>
      </w:r>
      <w:r>
        <w:rPr>
          <w:rFonts w:cs="Times New Roman"/>
          <w:rtl/>
          <w:lang w:val="ar-SA"/>
        </w:rPr>
        <w:t>زيد آجر داره فتنسب الإجارة إلى الفاعل التسبيبي كما تُنسب إلى الفاعل المباشري</w:t>
      </w:r>
      <w:r>
        <w:rPr>
          <w:rFonts w:ascii="Al Nile" w:hAnsi="Al Nile"/>
          <w:rtl/>
          <w:lang w:val="ar-SA"/>
        </w:rPr>
        <w:t>.</w:t>
      </w:r>
    </w:p>
    <w:p w:rsidR="002034C7" w:rsidRDefault="00795429">
      <w:pPr>
        <w:pStyle w:val="a5"/>
        <w:rPr>
          <w:rFonts w:hint="default"/>
        </w:rPr>
      </w:pPr>
      <w:r>
        <w:rPr>
          <w:rFonts w:cs="Times New Roman"/>
          <w:rtl/>
          <w:lang w:val="ar-SA"/>
        </w:rPr>
        <w:t>فما أفاده السيد الخوئي قدس سره من رجوع الشك في التعبدية والتوصلية إلى إطلاق التكليف وتقي</w:t>
      </w:r>
      <w:r>
        <w:rPr>
          <w:rFonts w:cs="Times New Roman"/>
          <w:rtl/>
          <w:lang w:val="ar-SA"/>
        </w:rPr>
        <w:t>يده يتم في القسم الأول مثلاً في قضاء الولي لصلوات الميت يرجع الشك في سقوط التكليف بفعل الغير إلى الشك في اشتراط التكليف بعدم قيام الغير به وعدم اشتراطه فيكون مقتضى إطلاق الصيغة عدم تقييد التكليف والتعبدية</w:t>
      </w:r>
      <w:r>
        <w:rPr>
          <w:rFonts w:ascii="Al Nile" w:hAnsi="Al Nile"/>
          <w:rtl/>
          <w:lang w:val="ar-SA"/>
        </w:rPr>
        <w:t>.</w:t>
      </w:r>
    </w:p>
    <w:p w:rsidR="002034C7" w:rsidRDefault="00795429">
      <w:pPr>
        <w:pStyle w:val="a5"/>
        <w:rPr>
          <w:rFonts w:hint="default"/>
        </w:rPr>
      </w:pPr>
      <w:r>
        <w:rPr>
          <w:rFonts w:cs="Times New Roman"/>
          <w:rtl/>
          <w:lang w:val="ar-SA"/>
        </w:rPr>
        <w:t>أما إذا كان متعلق التكليف من القسم الثاني بأن ينسب</w:t>
      </w:r>
      <w:r>
        <w:rPr>
          <w:rFonts w:cs="Times New Roman"/>
          <w:rtl/>
          <w:lang w:val="ar-SA"/>
        </w:rPr>
        <w:t xml:space="preserve"> إلى الفاعل التسبيبي أيضاً فيكون مرجع الشك في التعبدية والتوصلية إلى أن ما هو متعلق التكليف الفعل بقيد المباشرة أو الجامع بين المباشري والتسبيبي وذلك مجرى إطلاق المادة مثلاً عندما يأمر الشارع بالتقصير فمقتضى إطلاق المادة وعدم تقييدها أن ما هو المطلوب الجام</w:t>
      </w:r>
      <w:r>
        <w:rPr>
          <w:rFonts w:cs="Times New Roman"/>
          <w:rtl/>
          <w:lang w:val="ar-SA"/>
        </w:rPr>
        <w:t>ع بين تقصيره بالمباشرة أو بالتسبيب فمقتضى الأصل اللفظي في هذا القسم التوصلية بمعنى سقوط التكليف بفعل الغير لكن بشرط صدوره بالاستناد إلى المكلف وتسبيبه لا الفعل الصادر عن الغير مستقلاً عن المكلف وبدون استناد إليه</w:t>
      </w:r>
      <w:r>
        <w:rPr>
          <w:rFonts w:ascii="Al Nile" w:hAnsi="Al Nile"/>
          <w:rtl/>
          <w:lang w:val="ar-SA"/>
        </w:rPr>
        <w:t>.</w:t>
      </w:r>
    </w:p>
    <w:p w:rsidR="002034C7" w:rsidRDefault="00795429">
      <w:pPr>
        <w:pStyle w:val="a5"/>
        <w:rPr>
          <w:rFonts w:hint="default"/>
        </w:rPr>
      </w:pPr>
      <w:r>
        <w:rPr>
          <w:rFonts w:cs="Times New Roman"/>
          <w:rtl/>
          <w:lang w:val="ar-SA"/>
        </w:rPr>
        <w:t>والنتيجة هو تخيير المكلف بين الفعل المباشري</w:t>
      </w:r>
      <w:r>
        <w:rPr>
          <w:rFonts w:cs="Times New Roman"/>
          <w:rtl/>
          <w:lang w:val="ar-SA"/>
        </w:rPr>
        <w:t xml:space="preserve"> والتسبيبي والتخيير في هذا المورد تخيير عقلي لتعلق التكليف بالجامع وله حصتان فالعقل يحكم بالتخيير بينهما وليس تخييراً شرعياً كما في خصال الكفارة التي يتعلق التكليف حسب ظاهر الخطابات بحصص ذات خصوصيات مختلفة </w:t>
      </w:r>
      <w:r w:rsidR="00C813C9">
        <w:rPr>
          <w:rFonts w:cs="Times New Roman"/>
          <w:rtl/>
          <w:lang w:val="ar-SA"/>
        </w:rPr>
        <w:t xml:space="preserve">بعضها </w:t>
      </w:r>
      <w:r>
        <w:rPr>
          <w:rFonts w:cs="Times New Roman"/>
          <w:rtl/>
          <w:lang w:val="ar-SA"/>
        </w:rPr>
        <w:t xml:space="preserve">في عرض البعض </w:t>
      </w:r>
      <w:r w:rsidR="00C813C9">
        <w:rPr>
          <w:rFonts w:cs="Times New Roman"/>
          <w:rtl/>
          <w:lang w:val="ar-SA"/>
        </w:rPr>
        <w:t>الآخر</w:t>
      </w:r>
      <w:r>
        <w:rPr>
          <w:rFonts w:cs="Times New Roman"/>
          <w:rtl/>
          <w:lang w:val="ar-SA"/>
        </w:rPr>
        <w:t>ولا جامع بينها فيكون حكم الشارع التخي</w:t>
      </w:r>
      <w:r>
        <w:rPr>
          <w:rFonts w:cs="Times New Roman"/>
          <w:rtl/>
          <w:lang w:val="ar-SA"/>
        </w:rPr>
        <w:t>ير بينها ويعبّر عنه بالتخيير الشرعي</w:t>
      </w:r>
      <w:r>
        <w:rPr>
          <w:rFonts w:ascii="Al Nile" w:hAnsi="Al Nile"/>
          <w:rtl/>
          <w:lang w:val="ar-SA"/>
        </w:rPr>
        <w:t>.</w:t>
      </w:r>
    </w:p>
    <w:p w:rsidR="002034C7" w:rsidRDefault="00795429">
      <w:pPr>
        <w:pStyle w:val="a5"/>
        <w:rPr>
          <w:rFonts w:hint="default"/>
        </w:rPr>
      </w:pPr>
      <w:r>
        <w:rPr>
          <w:rFonts w:cs="Times New Roman"/>
          <w:rtl/>
          <w:lang w:val="ar-SA"/>
        </w:rPr>
        <w:t>بعد هذا التوضيح نرجع إلى ما أفاده المحقق النائيني قدس سره حيث أفاد أن سقوط التكليف بفعل الغير على قسمين</w:t>
      </w:r>
      <w:r>
        <w:rPr>
          <w:rFonts w:ascii="Al Nile" w:hAnsi="Al Nile"/>
          <w:rtl/>
          <w:lang w:val="ar-SA"/>
        </w:rPr>
        <w:t xml:space="preserve">: </w:t>
      </w:r>
      <w:r>
        <w:rPr>
          <w:rFonts w:cs="Times New Roman"/>
          <w:rtl/>
          <w:lang w:val="ar-SA"/>
        </w:rPr>
        <w:t>سقوطه بالاستنابة وسقوطه بدونها وقال في بيانه الأول أنه يمكن تخريج سقوط التكليف بفعل الغير في موارد مشروعية الاستنا</w:t>
      </w:r>
      <w:r>
        <w:rPr>
          <w:rFonts w:cs="Times New Roman"/>
          <w:rtl/>
          <w:lang w:val="ar-SA"/>
        </w:rPr>
        <w:t>بة بالوجوب التخييري لكنه ردّ البيان المذكور بوجهين</w:t>
      </w:r>
      <w:r>
        <w:rPr>
          <w:rFonts w:ascii="Al Nile" w:hAnsi="Al Nile"/>
          <w:rtl/>
          <w:lang w:val="ar-SA"/>
        </w:rPr>
        <w:t>:</w:t>
      </w:r>
    </w:p>
    <w:p w:rsidR="002034C7" w:rsidRDefault="00795429">
      <w:pPr>
        <w:pStyle w:val="a5"/>
        <w:rPr>
          <w:rFonts w:hint="default"/>
          <w:rtl/>
          <w:lang w:val="ar-SA"/>
        </w:rPr>
      </w:pPr>
      <w:r>
        <w:rPr>
          <w:rFonts w:cs="Times New Roman"/>
          <w:rtl/>
          <w:lang w:val="ar-SA"/>
        </w:rPr>
        <w:t>الأول</w:t>
      </w:r>
      <w:r>
        <w:rPr>
          <w:rFonts w:ascii="Al Nile" w:hAnsi="Al Nile"/>
          <w:rtl/>
          <w:lang w:val="ar-SA"/>
        </w:rPr>
        <w:t xml:space="preserve">: </w:t>
      </w:r>
      <w:r>
        <w:rPr>
          <w:rFonts w:cs="Times New Roman"/>
          <w:rtl/>
          <w:lang w:val="ar-SA"/>
        </w:rPr>
        <w:t>أن لازم ذلك فراغ ذمة المستنيب بمجرد عملية الاستنابة لأن المفروض كون الاستنابة أحد عدلي الواجب التخييري ولا يلتزم بذلك أحد فإن ذمة المستنيب لا تفرغ ما لم يأت النائب بالعمل</w:t>
      </w:r>
      <w:r>
        <w:rPr>
          <w:rFonts w:ascii="Al Nile" w:hAnsi="Al Nile"/>
          <w:rtl/>
          <w:lang w:val="ar-SA"/>
        </w:rPr>
        <w:t>.</w:t>
      </w:r>
    </w:p>
    <w:p w:rsidR="002034C7" w:rsidRDefault="00795429" w:rsidP="00C813C9">
      <w:pPr>
        <w:pStyle w:val="a5"/>
        <w:rPr>
          <w:rFonts w:hint="default"/>
        </w:rPr>
      </w:pPr>
      <w:r>
        <w:rPr>
          <w:rFonts w:cs="Times New Roman"/>
          <w:rtl/>
          <w:lang w:val="ar-SA"/>
        </w:rPr>
        <w:t>و</w:t>
      </w:r>
      <w:r>
        <w:rPr>
          <w:rFonts w:cs="Times New Roman"/>
          <w:rtl/>
          <w:cs/>
        </w:rPr>
        <w:t>الثاني</w:t>
      </w:r>
      <w:r>
        <w:rPr>
          <w:rFonts w:ascii="Al Nile" w:hAnsi="Al Nile"/>
        </w:rPr>
        <w:t xml:space="preserve">: </w:t>
      </w:r>
      <w:r>
        <w:rPr>
          <w:rFonts w:cs="Times New Roman"/>
          <w:rtl/>
          <w:cs/>
        </w:rPr>
        <w:t xml:space="preserve">أنه كلما كانت </w:t>
      </w:r>
      <w:r>
        <w:rPr>
          <w:rFonts w:cs="Times New Roman"/>
          <w:rtl/>
          <w:cs/>
        </w:rPr>
        <w:t>الاستنابة مشروعةً كان تبرع الغير بالعمل أيضاً مشروعاً وتفرغ به ذمة المكلف وعلى هذه الملازمة لا يكون الوجوب التخييري توجيهاً تاماً لمشروعية الاستنابة لأ</w:t>
      </w:r>
      <w:r w:rsidR="00C813C9">
        <w:rPr>
          <w:rFonts w:cs="Times New Roman"/>
          <w:rtl/>
          <w:cs/>
        </w:rPr>
        <w:t xml:space="preserve">نکم </w:t>
      </w:r>
      <w:r>
        <w:rPr>
          <w:rFonts w:cs="Times New Roman"/>
          <w:rtl/>
          <w:lang w:val="ar-SA"/>
        </w:rPr>
        <w:t xml:space="preserve"> وإن جعلتم الاستنابة أحد عدلي الواجب التخييري لأنه </w:t>
      </w:r>
      <w:r>
        <w:rPr>
          <w:rFonts w:cs="Times New Roman"/>
          <w:rtl/>
          <w:lang w:val="ar-SA"/>
        </w:rPr>
        <w:lastRenderedPageBreak/>
        <w:t xml:space="preserve">فعل المستنيب لكن </w:t>
      </w:r>
      <w:r>
        <w:rPr>
          <w:rFonts w:cs="Times New Roman"/>
          <w:rtl/>
          <w:cs/>
        </w:rPr>
        <w:t xml:space="preserve">تبرع الغير </w:t>
      </w:r>
      <w:r>
        <w:rPr>
          <w:rFonts w:cs="Times New Roman"/>
          <w:rtl/>
          <w:lang w:val="ar-SA"/>
        </w:rPr>
        <w:t>لا</w:t>
      </w:r>
      <w:r>
        <w:rPr>
          <w:rFonts w:cs="Times New Roman"/>
          <w:rtl/>
          <w:cs/>
        </w:rPr>
        <w:t xml:space="preserve"> يمكن أن يُجعل عدلاً</w:t>
      </w:r>
      <w:r>
        <w:rPr>
          <w:rtl/>
          <w:lang w:val="ar-SA"/>
        </w:rPr>
        <w:t xml:space="preserve"> </w:t>
      </w:r>
      <w:r>
        <w:rPr>
          <w:rFonts w:cs="Times New Roman"/>
          <w:rtl/>
          <w:lang w:val="ar-SA"/>
        </w:rPr>
        <w:t>لأن فعل الغير بما هو فعل الغير ليس مقدوراً للمكلف</w:t>
      </w:r>
      <w:r>
        <w:rPr>
          <w:rFonts w:ascii="Al Nile" w:hAnsi="Al Nile"/>
          <w:rtl/>
          <w:lang w:val="ar-SA"/>
        </w:rPr>
        <w:t>.</w:t>
      </w:r>
    </w:p>
    <w:p w:rsidR="002034C7" w:rsidRDefault="00795429">
      <w:pPr>
        <w:pStyle w:val="a5"/>
        <w:rPr>
          <w:rFonts w:hint="default"/>
        </w:rPr>
      </w:pPr>
      <w:r>
        <w:rPr>
          <w:rFonts w:cs="Times New Roman"/>
          <w:rtl/>
          <w:lang w:val="ar-SA"/>
        </w:rPr>
        <w:t>لكن بالتوضيح المتقدم يتضح عدم تمامية هذين الوجهين في رد الوجوب التخييري</w:t>
      </w:r>
      <w:r>
        <w:rPr>
          <w:rFonts w:ascii="Al Nile" w:hAnsi="Al Nile"/>
          <w:rtl/>
          <w:lang w:val="ar-SA"/>
        </w:rPr>
        <w:t>:</w:t>
      </w:r>
    </w:p>
    <w:p w:rsidR="002034C7" w:rsidRDefault="00795429">
      <w:pPr>
        <w:pStyle w:val="a5"/>
        <w:rPr>
          <w:rFonts w:hint="default"/>
        </w:rPr>
      </w:pPr>
      <w:r>
        <w:rPr>
          <w:rFonts w:cs="Times New Roman"/>
          <w:rtl/>
          <w:lang w:val="ar-SA"/>
        </w:rPr>
        <w:t xml:space="preserve">أما عدم تمامية الوجه الأول فلأن عدل الإصدار المباشري ليس الاستنابة ليقال أن لازم ذلك سقوط التكليف بمجرد الاستنابة بل العدل </w:t>
      </w:r>
      <w:r>
        <w:rPr>
          <w:rFonts w:ascii="Al Nile" w:hAnsi="Al Nile"/>
          <w:rtl/>
          <w:lang w:val="ar-SA"/>
        </w:rPr>
        <w:t xml:space="preserve">- </w:t>
      </w:r>
      <w:r>
        <w:rPr>
          <w:rFonts w:cs="Times New Roman"/>
          <w:rtl/>
          <w:lang w:val="ar-SA"/>
        </w:rPr>
        <w:t>كما صرّ</w:t>
      </w:r>
      <w:r>
        <w:rPr>
          <w:rFonts w:cs="Times New Roman"/>
          <w:rtl/>
          <w:lang w:val="ar-SA"/>
        </w:rPr>
        <w:t xml:space="preserve">ح الميرزا التبريزي قدس سره </w:t>
      </w:r>
      <w:r>
        <w:rPr>
          <w:rFonts w:ascii="Al Nile" w:hAnsi="Al Nile"/>
          <w:rtl/>
          <w:lang w:val="ar-SA"/>
        </w:rPr>
        <w:t xml:space="preserve">- </w:t>
      </w:r>
      <w:r>
        <w:rPr>
          <w:rFonts w:cs="Times New Roman"/>
          <w:rtl/>
          <w:lang w:val="ar-SA"/>
        </w:rPr>
        <w:t xml:space="preserve">هو الإصدار التسبيبي ولا يحصل ذلك إلا بإيجاد الفعل في الخارج فيلزم اللازم الباطل المذكور </w:t>
      </w:r>
      <w:r w:rsidR="00C813C9">
        <w:rPr>
          <w:rFonts w:cs="Times New Roman"/>
          <w:rtl/>
          <w:lang w:val="ar-SA"/>
        </w:rPr>
        <w:t xml:space="preserve">بناء </w:t>
      </w:r>
      <w:r>
        <w:rPr>
          <w:rFonts w:cs="Times New Roman"/>
          <w:rtl/>
          <w:lang w:val="ar-SA"/>
        </w:rPr>
        <w:t>على كون عدل الواجب التخييري الاستنابة وأما إذا جعلناه الإصدار التسبيبي فلا يلزم ذلك</w:t>
      </w:r>
      <w:r>
        <w:rPr>
          <w:rFonts w:ascii="Al Nile" w:hAnsi="Al Nile"/>
          <w:rtl/>
          <w:lang w:val="ar-SA"/>
        </w:rPr>
        <w:t>.</w:t>
      </w:r>
    </w:p>
    <w:p w:rsidR="002034C7" w:rsidRDefault="00795429" w:rsidP="00C813C9">
      <w:pPr>
        <w:pStyle w:val="a5"/>
        <w:rPr>
          <w:rFonts w:hint="default"/>
        </w:rPr>
      </w:pPr>
      <w:r>
        <w:rPr>
          <w:rFonts w:cs="Times New Roman"/>
          <w:rtl/>
          <w:lang w:val="ar-SA"/>
        </w:rPr>
        <w:t xml:space="preserve">أما عدم تمامية الوجه الثاني فلأن عدل الإصدار المباشري </w:t>
      </w:r>
      <w:r>
        <w:rPr>
          <w:rFonts w:ascii="Al Nile" w:hAnsi="Al Nile"/>
          <w:rtl/>
          <w:lang w:val="ar-SA"/>
        </w:rPr>
        <w:t xml:space="preserve">- </w:t>
      </w:r>
      <w:r>
        <w:rPr>
          <w:rFonts w:cs="Times New Roman"/>
          <w:rtl/>
          <w:lang w:val="ar-SA"/>
        </w:rPr>
        <w:t xml:space="preserve">على التخريج بالوجوب التخييري </w:t>
      </w:r>
      <w:r>
        <w:rPr>
          <w:rFonts w:ascii="Al Nile" w:hAnsi="Al Nile"/>
          <w:rtl/>
          <w:lang w:val="ar-SA"/>
        </w:rPr>
        <w:t xml:space="preserve">- </w:t>
      </w:r>
      <w:r>
        <w:rPr>
          <w:rFonts w:cs="Times New Roman"/>
          <w:rtl/>
          <w:lang w:val="ar-SA"/>
        </w:rPr>
        <w:t xml:space="preserve">خصوص الإصدار التسبيبي وإنا نسلّم بأنه لا يمكن توجيه سقوط التكليف بتبرع الغير بالوجوب التخييري بل لا توجيه له </w:t>
      </w:r>
      <w:r>
        <w:rPr>
          <w:rFonts w:ascii="Al Nile" w:hAnsi="Al Nile"/>
          <w:rtl/>
          <w:lang w:val="ar-SA"/>
        </w:rPr>
        <w:t xml:space="preserve">- </w:t>
      </w:r>
      <w:r>
        <w:rPr>
          <w:rFonts w:cs="Times New Roman"/>
          <w:rtl/>
          <w:lang w:val="ar-SA"/>
        </w:rPr>
        <w:t xml:space="preserve">كما في كلام السيد الخوئي قدس سره </w:t>
      </w:r>
      <w:r>
        <w:rPr>
          <w:rFonts w:ascii="Al Nile" w:hAnsi="Al Nile"/>
          <w:rtl/>
          <w:lang w:val="ar-SA"/>
        </w:rPr>
        <w:t xml:space="preserve">- </w:t>
      </w:r>
      <w:r>
        <w:rPr>
          <w:rFonts w:cs="Times New Roman"/>
          <w:rtl/>
          <w:lang w:val="ar-SA"/>
        </w:rPr>
        <w:t>إلا اشتراط التكليف وتقييده ولكن عدم إمكان توجيه مورد السقوط بتبرع الغير بالوج</w:t>
      </w:r>
      <w:r>
        <w:rPr>
          <w:rFonts w:cs="Times New Roman"/>
          <w:rtl/>
          <w:lang w:val="ar-SA"/>
        </w:rPr>
        <w:t>وب التخييري لا يمنع من توجيه مورد السقوط بالاستنابة وبتعبير أصح</w:t>
      </w:r>
      <w:r>
        <w:rPr>
          <w:rFonts w:ascii="Al Nile" w:hAnsi="Al Nile"/>
          <w:rtl/>
          <w:lang w:val="ar-SA"/>
        </w:rPr>
        <w:t xml:space="preserve"> </w:t>
      </w:r>
      <w:r>
        <w:rPr>
          <w:rFonts w:cs="Times New Roman"/>
          <w:rtl/>
          <w:lang w:val="ar-SA"/>
        </w:rPr>
        <w:t>مورد السقوط بالإصدار التسبيبي بالوجوب التخييري والملازمة المدعاة بين السقوط بالاستنابة والسقوط بالتبرع لا بين السقوط بالإصدار التسبيبي والسقوط بالتبرع وما جُعل عدل الواجب التخييري الإصدار الت</w:t>
      </w:r>
      <w:r>
        <w:rPr>
          <w:rFonts w:cs="Times New Roman"/>
          <w:rtl/>
          <w:lang w:val="ar-SA"/>
        </w:rPr>
        <w:t>سبيبي لا الاستنابة</w:t>
      </w:r>
      <w:r>
        <w:rPr>
          <w:rFonts w:ascii="Al Nile" w:hAnsi="Al Nile"/>
          <w:rtl/>
          <w:lang w:val="ar-SA"/>
        </w:rPr>
        <w:t>.</w:t>
      </w:r>
    </w:p>
    <w:p w:rsidR="002034C7" w:rsidRDefault="00795429" w:rsidP="00322DBD">
      <w:pPr>
        <w:pStyle w:val="a5"/>
        <w:rPr>
          <w:rFonts w:hint="default"/>
        </w:rPr>
      </w:pPr>
      <w:r>
        <w:rPr>
          <w:rFonts w:cs="Times New Roman"/>
          <w:rtl/>
          <w:lang w:val="ar-SA"/>
        </w:rPr>
        <w:t xml:space="preserve">فنتيجة البحث في المقام الأول </w:t>
      </w:r>
      <w:r>
        <w:rPr>
          <w:rFonts w:cs="Times New Roman"/>
          <w:rtl/>
          <w:cs/>
        </w:rPr>
        <w:t>التفصيل بين قسمين من أفعال المكلفين</w:t>
      </w:r>
      <w:r>
        <w:rPr>
          <w:rFonts w:ascii="Al Nile" w:hAnsi="Al Nile"/>
        </w:rPr>
        <w:t xml:space="preserve">: </w:t>
      </w:r>
      <w:r>
        <w:rPr>
          <w:rFonts w:cs="Times New Roman"/>
          <w:rtl/>
          <w:cs/>
        </w:rPr>
        <w:t xml:space="preserve">ففي الأفعال التي لا </w:t>
      </w:r>
      <w:r w:rsidR="00322DBD">
        <w:rPr>
          <w:rFonts w:cs="Times New Roman"/>
          <w:rtl/>
          <w:cs/>
        </w:rPr>
        <w:t>تنسب</w:t>
      </w:r>
      <w:r>
        <w:rPr>
          <w:rFonts w:cs="Times New Roman"/>
          <w:rtl/>
          <w:cs/>
        </w:rPr>
        <w:t xml:space="preserve"> إلا إلى فاعلها المباشري مقتضى الأصل اللفظي هو التعبدية وفي الأفعال التي تنسب إلى فاعلها التسبيبي كما تنسب إلى فاعلها المباشري مقتضى الأصل اللفظي</w:t>
      </w:r>
      <w:r>
        <w:rPr>
          <w:rFonts w:cs="Times New Roman"/>
          <w:rtl/>
          <w:cs/>
        </w:rPr>
        <w:t xml:space="preserve"> التوصلية</w:t>
      </w:r>
      <w:r>
        <w:rPr>
          <w:rFonts w:ascii="Al Nile" w:hAnsi="Al Nile"/>
          <w:rtl/>
          <w:lang w:val="ar-SA"/>
        </w:rPr>
        <w:t>.</w:t>
      </w:r>
    </w:p>
    <w:p w:rsidR="002034C7" w:rsidRDefault="00795429">
      <w:pPr>
        <w:pStyle w:val="a5"/>
        <w:rPr>
          <w:rFonts w:hint="default"/>
        </w:rPr>
      </w:pPr>
      <w:r>
        <w:rPr>
          <w:rFonts w:cs="Times New Roman"/>
          <w:rtl/>
          <w:lang w:val="ar-SA"/>
        </w:rPr>
        <w:t>المقام الثاني</w:t>
      </w:r>
      <w:r>
        <w:rPr>
          <w:rFonts w:ascii="Al Nile" w:hAnsi="Al Nile"/>
          <w:rtl/>
          <w:lang w:val="ar-SA"/>
        </w:rPr>
        <w:t xml:space="preserve">: </w:t>
      </w:r>
      <w:r>
        <w:rPr>
          <w:rFonts w:cs="Times New Roman"/>
          <w:rtl/>
          <w:lang w:val="ar-SA"/>
        </w:rPr>
        <w:t>في مقتضى الأصل العملي</w:t>
      </w:r>
    </w:p>
    <w:p w:rsidR="002034C7" w:rsidRDefault="00795429" w:rsidP="00322DBD">
      <w:pPr>
        <w:pStyle w:val="a5"/>
        <w:rPr>
          <w:rFonts w:hint="default"/>
        </w:rPr>
      </w:pPr>
      <w:r>
        <w:rPr>
          <w:rFonts w:cs="Times New Roman"/>
          <w:rtl/>
          <w:lang w:val="ar-SA"/>
        </w:rPr>
        <w:t>ذكر المحقق النائيني قدس سره هنا أيضاً كالمقام السابق أنه لابد من لحاظ كل من القسمين مستقلاً</w:t>
      </w:r>
      <w:r>
        <w:rPr>
          <w:rFonts w:ascii="Al Nile" w:hAnsi="Al Nile"/>
          <w:rtl/>
          <w:lang w:val="ar-SA"/>
        </w:rPr>
        <w:t xml:space="preserve">: </w:t>
      </w:r>
      <w:r>
        <w:rPr>
          <w:rFonts w:cs="Times New Roman"/>
          <w:rtl/>
          <w:lang w:val="ar-SA"/>
        </w:rPr>
        <w:t xml:space="preserve">سقوط التكليف بفعل الغير </w:t>
      </w:r>
      <w:r w:rsidR="00322DBD">
        <w:rPr>
          <w:rFonts w:cs="Times New Roman"/>
          <w:rtl/>
          <w:lang w:val="ar-SA"/>
        </w:rPr>
        <w:t xml:space="preserve">مع </w:t>
      </w:r>
      <w:r>
        <w:rPr>
          <w:rFonts w:cs="Times New Roman"/>
          <w:rtl/>
          <w:lang w:val="ar-SA"/>
        </w:rPr>
        <w:t>الاستنابة وسقوطه بدونها</w:t>
      </w:r>
      <w:r>
        <w:rPr>
          <w:rFonts w:ascii="Al Nile" w:hAnsi="Al Nile"/>
          <w:rtl/>
          <w:lang w:val="ar-SA"/>
        </w:rPr>
        <w:t xml:space="preserve">. </w:t>
      </w:r>
      <w:r>
        <w:rPr>
          <w:rFonts w:cs="Times New Roman"/>
          <w:rtl/>
          <w:lang w:val="ar-SA"/>
        </w:rPr>
        <w:t>وإن كان مختاره في كلا القسمين الاحتياط ولزوم الإتيان مباشرةً ولكن</w:t>
      </w:r>
      <w:r>
        <w:rPr>
          <w:rFonts w:cs="Times New Roman"/>
          <w:rtl/>
          <w:lang w:val="ar-SA"/>
        </w:rPr>
        <w:t xml:space="preserve"> الدليل على لزوم الإتيان في القسم الأول غير الدليل عليه في القسم الثاني</w:t>
      </w:r>
      <w:r>
        <w:rPr>
          <w:rFonts w:ascii="Al Nile" w:hAnsi="Al Nile"/>
          <w:rtl/>
          <w:lang w:val="ar-SA"/>
        </w:rPr>
        <w:t>.</w:t>
      </w:r>
    </w:p>
    <w:p w:rsidR="002034C7" w:rsidRDefault="00795429">
      <w:pPr>
        <w:pStyle w:val="a5"/>
        <w:rPr>
          <w:rFonts w:hint="default"/>
        </w:rPr>
      </w:pPr>
      <w:r>
        <w:rPr>
          <w:rFonts w:cs="Times New Roman"/>
          <w:rtl/>
          <w:lang w:val="ar-SA"/>
        </w:rPr>
        <w:t>أفاد أن الشك في سقوط التكليف بفعل الغير في القسم الأول ليس في التعيين والتخيير العقلي للعلم بأن التكليف متعلق بالحصة لا بالجامع ولكن وقع الشك في وجود عدل لتلك الحصة ليكون التكليف من ا</w:t>
      </w:r>
      <w:r>
        <w:rPr>
          <w:rFonts w:cs="Times New Roman"/>
          <w:rtl/>
          <w:lang w:val="ar-SA"/>
        </w:rPr>
        <w:t>لتخيير الشرعي أو عدم وجود عدل لها ليكون التكليف تعيينياً والأصل الجاري في موارد الشك في التعيين والتخيير الشرعي الاحتياط</w:t>
      </w:r>
      <w:r>
        <w:rPr>
          <w:rFonts w:ascii="Al Nile" w:hAnsi="Al Nile"/>
          <w:rtl/>
          <w:lang w:val="ar-SA"/>
        </w:rPr>
        <w:t>.</w:t>
      </w:r>
    </w:p>
    <w:p w:rsidR="002034C7" w:rsidRDefault="00795429">
      <w:pPr>
        <w:pStyle w:val="a5"/>
        <w:rPr>
          <w:rFonts w:hint="default"/>
        </w:rPr>
      </w:pPr>
      <w:r>
        <w:rPr>
          <w:rFonts w:cs="Times New Roman"/>
          <w:rtl/>
          <w:lang w:val="ar-SA"/>
        </w:rPr>
        <w:t>نعم، الأصل الجاري في موارد الشك في التعيين والتخيير العقلي البراءة لأن الجامع متعلق التكليف يقيناً والخصوصية محل الترديد والشك فتجري ا</w:t>
      </w:r>
      <w:r>
        <w:rPr>
          <w:rFonts w:cs="Times New Roman"/>
          <w:rtl/>
          <w:lang w:val="ar-SA"/>
        </w:rPr>
        <w:t>لبراءة عن الخصوصية</w:t>
      </w:r>
      <w:r>
        <w:rPr>
          <w:rFonts w:ascii="Al Nile" w:hAnsi="Al Nile"/>
          <w:rtl/>
          <w:lang w:val="ar-SA"/>
        </w:rPr>
        <w:t>.</w:t>
      </w:r>
    </w:p>
    <w:p w:rsidR="002034C7" w:rsidRDefault="00795429" w:rsidP="00322DBD">
      <w:pPr>
        <w:pStyle w:val="a5"/>
        <w:rPr>
          <w:rFonts w:hint="default"/>
        </w:rPr>
      </w:pPr>
      <w:r>
        <w:rPr>
          <w:rFonts w:cs="Times New Roman"/>
          <w:rtl/>
          <w:lang w:val="ar-SA"/>
        </w:rPr>
        <w:lastRenderedPageBreak/>
        <w:t xml:space="preserve">ولكن كما ذكرنا في موارد سقوط التكليف بالاستنابة لا نحتمل التخيير العقلي بأن </w:t>
      </w:r>
      <w:r w:rsidR="00322DBD">
        <w:rPr>
          <w:rFonts w:cs="Times New Roman"/>
          <w:rtl/>
          <w:lang w:val="ar-SA"/>
        </w:rPr>
        <w:t>ي</w:t>
      </w:r>
      <w:r>
        <w:rPr>
          <w:rFonts w:cs="Times New Roman"/>
          <w:rtl/>
          <w:lang w:val="ar-SA"/>
        </w:rPr>
        <w:t xml:space="preserve">تعلق التكليف بالجامع بل تعلق بالحصة والشك </w:t>
      </w:r>
      <w:r>
        <w:rPr>
          <w:rFonts w:cs="Times New Roman"/>
          <w:rtl/>
          <w:lang w:val="ar-SA"/>
        </w:rPr>
        <w:t>ي</w:t>
      </w:r>
      <w:r>
        <w:rPr>
          <w:rFonts w:cs="Times New Roman"/>
          <w:rtl/>
          <w:lang w:val="ar-SA"/>
        </w:rPr>
        <w:t xml:space="preserve">رجع إلى وجود عدل لتلك الحصة وهذا مجرى الاحتياط لأن المكلف يعلم بثبوت التكليف بالحصة وتوجهه إليه ويشك في فراغ ذمته </w:t>
      </w:r>
      <w:r>
        <w:rPr>
          <w:rFonts w:cs="Times New Roman"/>
          <w:rtl/>
          <w:lang w:val="ar-SA"/>
        </w:rPr>
        <w:t>بفعل الغير والاشتغال اليقيني يستدعي الفراغ اليقيني</w:t>
      </w:r>
      <w:r>
        <w:rPr>
          <w:rFonts w:ascii="Al Nile" w:hAnsi="Al Nile"/>
          <w:rtl/>
          <w:lang w:val="ar-SA"/>
        </w:rPr>
        <w:t>.</w:t>
      </w:r>
    </w:p>
    <w:p w:rsidR="002034C7" w:rsidRDefault="00795429" w:rsidP="00BF61AE">
      <w:pPr>
        <w:pStyle w:val="a5"/>
        <w:rPr>
          <w:rFonts w:hint="default"/>
        </w:rPr>
      </w:pPr>
      <w:r>
        <w:rPr>
          <w:rFonts w:cs="Times New Roman"/>
          <w:rtl/>
          <w:lang w:val="ar-SA"/>
        </w:rPr>
        <w:t xml:space="preserve">وفي القسم الثاني وإن كان يبدو في أول الأمر أن المقام من موارد جريان أصل البراءة لأن الشك فيه راجع </w:t>
      </w:r>
      <w:r>
        <w:rPr>
          <w:rFonts w:ascii="Al Nile" w:hAnsi="Al Nile"/>
          <w:rtl/>
          <w:lang w:val="ar-SA"/>
        </w:rPr>
        <w:t xml:space="preserve">- </w:t>
      </w:r>
      <w:r>
        <w:rPr>
          <w:rFonts w:cs="Times New Roman"/>
          <w:rtl/>
          <w:lang w:val="ar-SA"/>
        </w:rPr>
        <w:t xml:space="preserve">كمقام الأصل اللفظي </w:t>
      </w:r>
      <w:r>
        <w:rPr>
          <w:rFonts w:ascii="Al Nile" w:hAnsi="Al Nile"/>
          <w:rtl/>
          <w:lang w:val="ar-SA"/>
        </w:rPr>
        <w:t xml:space="preserve">- </w:t>
      </w:r>
      <w:r>
        <w:rPr>
          <w:rFonts w:cs="Times New Roman"/>
          <w:rtl/>
          <w:lang w:val="ar-SA"/>
        </w:rPr>
        <w:t xml:space="preserve">إلى الشك في سعة التكليف وضيقه فيكون مجرى البراءة كما في سائر موارد الشك من هذا </w:t>
      </w:r>
      <w:r>
        <w:rPr>
          <w:rFonts w:cs="Times New Roman"/>
          <w:rtl/>
          <w:lang w:val="ar-SA"/>
        </w:rPr>
        <w:t>القبيل كالشك في اشتراط الاستطاعة في وجوب الحج أو الشك في اشتراط احتمال التأثير في وجوب الأمر بالمعروف والنهي عن المنكر فتجري البراءة عن الوجوب ولكن عند التحقيق يتضح أن المقام مجرى الاستصحاب لأن الشك في سعة التكليف وضيقه إن رجع إلى ناحية ثبوت التكليف كان مج</w:t>
      </w:r>
      <w:r>
        <w:rPr>
          <w:rFonts w:cs="Times New Roman"/>
          <w:rtl/>
          <w:lang w:val="ar-SA"/>
        </w:rPr>
        <w:t xml:space="preserve">رى البراءة ولكن إن رجع إلى ناحية بقاء التكليف كان مجرى الاستصحاب فإن كان للاستصحاب الموضوعي مجال جرى كما في مورد الشك في بقاء الدين بعد تبرع الغير بالأداء فيُستصحب بقاء الدين ويثبت وجوب الأداء وإن لم يكن للاستصحاب الموضوعي مجال جرى الاستصحاب الحكمي كما </w:t>
      </w:r>
      <w:r>
        <w:rPr>
          <w:rFonts w:cs="Times New Roman"/>
          <w:rtl/>
          <w:lang w:val="ar-SA"/>
        </w:rPr>
        <w:t xml:space="preserve">إذا </w:t>
      </w:r>
      <w:r w:rsidR="00322DBD">
        <w:rPr>
          <w:rFonts w:cs="Times New Roman"/>
          <w:rtl/>
          <w:lang w:val="ar-SA"/>
        </w:rPr>
        <w:t xml:space="preserve">شککنا في ان الحج الواجب علی المريض غيرالمتمکن من المباشرة هل يسقط بفعل الغير تبرعاً او لا؟ </w:t>
      </w:r>
      <w:r>
        <w:rPr>
          <w:rFonts w:cs="Times New Roman"/>
          <w:rtl/>
          <w:lang w:val="ar-SA"/>
        </w:rPr>
        <w:t>فيجري استصحاب بقاء التكليف وهو استصحاب حكمي</w:t>
      </w:r>
      <w:r>
        <w:rPr>
          <w:rFonts w:ascii="Al Nile" w:hAnsi="Al Nile"/>
          <w:rtl/>
          <w:lang w:val="ar-SA"/>
        </w:rPr>
        <w:t>.</w:t>
      </w:r>
    </w:p>
    <w:p w:rsidR="002034C7" w:rsidRDefault="00795429">
      <w:pPr>
        <w:pStyle w:val="a5"/>
        <w:rPr>
          <w:rFonts w:hint="default"/>
        </w:rPr>
      </w:pPr>
      <w:r>
        <w:rPr>
          <w:rFonts w:cs="Times New Roman"/>
          <w:rtl/>
          <w:lang w:val="ar-SA"/>
        </w:rPr>
        <w:t>فالأصل العملي الجاري في القسم الأول هو الاشتغال وفي القسم الثاني الاستصحاب وكلاهما يقتضي التعبدية وعدم السقوط بفعل الغير</w:t>
      </w:r>
      <w:r>
        <w:rPr>
          <w:rFonts w:ascii="Al Nile" w:hAnsi="Al Nile"/>
          <w:rtl/>
          <w:lang w:val="ar-SA"/>
        </w:rPr>
        <w:t xml:space="preserve">.    </w:t>
      </w:r>
    </w:p>
    <w:p w:rsidR="002034C7" w:rsidRDefault="00795429">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bookmarkStart w:id="0" w:name="_GoBack"/>
      <w:bookmarkEnd w:id="0"/>
    </w:p>
    <w:sectPr w:rsidR="002034C7">
      <w:headerReference w:type="default" r:id="rId8"/>
      <w:footerReference w:type="default" r:id="rId9"/>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429" w:rsidRDefault="00795429">
      <w:r>
        <w:separator/>
      </w:r>
    </w:p>
  </w:endnote>
  <w:endnote w:type="continuationSeparator" w:id="0">
    <w:p w:rsidR="00795429" w:rsidRDefault="00795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4C7" w:rsidRDefault="00795429">
    <w:pPr>
      <w:pStyle w:val="a4"/>
      <w:jc w:val="center"/>
    </w:pPr>
    <w:r>
      <w:fldChar w:fldCharType="begin"/>
    </w:r>
    <w:r>
      <w:instrText xml:space="preserve"> PAGE </w:instrText>
    </w:r>
    <w:r w:rsidR="00C813C9">
      <w:fldChar w:fldCharType="separate"/>
    </w:r>
    <w:r w:rsidR="00BF61AE">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429" w:rsidRDefault="00795429">
      <w:r>
        <w:separator/>
      </w:r>
    </w:p>
  </w:footnote>
  <w:footnote w:type="continuationSeparator" w:id="0">
    <w:p w:rsidR="00795429" w:rsidRDefault="00795429">
      <w:r>
        <w:continuationSeparator/>
      </w:r>
    </w:p>
  </w:footnote>
  <w:footnote w:id="1">
    <w:p w:rsidR="00C813C9" w:rsidRDefault="00C813C9" w:rsidP="00C813C9">
      <w:pPr>
        <w:pStyle w:val="a6"/>
        <w:numPr>
          <w:ilvl w:val="0"/>
          <w:numId w:val="1"/>
        </w:numPr>
        <w:jc w:val="right"/>
        <w:rPr>
          <w:rFonts w:hint="cs"/>
          <w:rtl/>
          <w:lang w:bidi="fa-IR"/>
        </w:rPr>
      </w:pPr>
      <w:r>
        <w:rPr>
          <w:rFonts w:hint="cs"/>
          <w:rtl/>
          <w:lang w:bidi="fa-IR"/>
        </w:rPr>
        <w:t xml:space="preserve">- </w:t>
      </w:r>
      <w:proofErr w:type="spellStart"/>
      <w:r>
        <w:rPr>
          <w:rFonts w:hint="cs"/>
          <w:rtl/>
          <w:lang w:bidi="fa-IR"/>
        </w:rPr>
        <w:t>محاضرات</w:t>
      </w:r>
      <w:proofErr w:type="spellEnd"/>
      <w:r>
        <w:rPr>
          <w:rFonts w:hint="cs"/>
          <w:rtl/>
          <w:lang w:bidi="fa-IR"/>
        </w:rPr>
        <w:t xml:space="preserve"> ج2ص142 </w:t>
      </w:r>
      <w:r>
        <w:rPr>
          <w:rStyle w:val="a8"/>
        </w:rPr>
        <w:footnoteRef/>
      </w:r>
    </w:p>
  </w:footnote>
  <w:footnote w:id="2">
    <w:p w:rsidR="00C813C9" w:rsidRDefault="00C813C9" w:rsidP="00C813C9">
      <w:pPr>
        <w:pStyle w:val="a6"/>
        <w:jc w:val="right"/>
        <w:rPr>
          <w:rFonts w:hint="cs"/>
          <w:rtl/>
          <w:lang w:bidi="fa-IR"/>
        </w:rPr>
      </w:pPr>
      <w:r>
        <w:rPr>
          <w:rFonts w:hint="cs"/>
          <w:rtl/>
        </w:rPr>
        <w:t>-الدراسات ج1ص186 ، الهداية في الاصول ج1ص280</w:t>
      </w:r>
      <w:r>
        <w:rPr>
          <w:rStyle w:val="a8"/>
        </w:rPr>
        <w:footnoteRef/>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4C7" w:rsidRDefault="002034C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105AE"/>
    <w:multiLevelType w:val="hybridMultilevel"/>
    <w:tmpl w:val="6B703368"/>
    <w:lvl w:ilvl="0" w:tplc="0382FC3E">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034C7"/>
    <w:rsid w:val="002034C7"/>
    <w:rsid w:val="00322DBD"/>
    <w:rsid w:val="00795429"/>
    <w:rsid w:val="00BF61AE"/>
    <w:rsid w:val="00C813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basedOn w:val="a"/>
    <w:link w:val="a7"/>
    <w:uiPriority w:val="99"/>
    <w:semiHidden/>
    <w:unhideWhenUsed/>
    <w:rsid w:val="00C813C9"/>
    <w:rPr>
      <w:sz w:val="20"/>
      <w:szCs w:val="20"/>
    </w:rPr>
  </w:style>
  <w:style w:type="character" w:customStyle="1" w:styleId="a7">
    <w:name w:val="متن پاورقی نویسه"/>
    <w:basedOn w:val="a0"/>
    <w:link w:val="a6"/>
    <w:uiPriority w:val="99"/>
    <w:semiHidden/>
    <w:rsid w:val="00C813C9"/>
  </w:style>
  <w:style w:type="character" w:styleId="a8">
    <w:name w:val="footnote reference"/>
    <w:basedOn w:val="a0"/>
    <w:uiPriority w:val="99"/>
    <w:semiHidden/>
    <w:unhideWhenUsed/>
    <w:rsid w:val="00C813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styleId="a6">
    <w:name w:val="footnote text"/>
    <w:basedOn w:val="a"/>
    <w:link w:val="a7"/>
    <w:uiPriority w:val="99"/>
    <w:semiHidden/>
    <w:unhideWhenUsed/>
    <w:rsid w:val="00C813C9"/>
    <w:rPr>
      <w:sz w:val="20"/>
      <w:szCs w:val="20"/>
    </w:rPr>
  </w:style>
  <w:style w:type="character" w:customStyle="1" w:styleId="a7">
    <w:name w:val="متن پاورقی نویسه"/>
    <w:basedOn w:val="a0"/>
    <w:link w:val="a6"/>
    <w:uiPriority w:val="99"/>
    <w:semiHidden/>
    <w:rsid w:val="00C813C9"/>
  </w:style>
  <w:style w:type="character" w:styleId="a8">
    <w:name w:val="footnote reference"/>
    <w:basedOn w:val="a0"/>
    <w:uiPriority w:val="99"/>
    <w:semiHidden/>
    <w:unhideWhenUsed/>
    <w:rsid w:val="00C813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TotalTime>
  <Pages>4</Pages>
  <Words>1153</Words>
  <Characters>6577</Characters>
  <Application>Microsoft Office Word</Application>
  <DocSecurity>0</DocSecurity>
  <Lines>54</Lines>
  <Paragraphs>15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2022-11-05T19:59:00Z</dcterms:created>
  <dcterms:modified xsi:type="dcterms:W3CDTF">2022-11-06T19:47:00Z</dcterms:modified>
</cp:coreProperties>
</file>