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853" w:rsidRDefault="00A65B3E">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٢٢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٧</w:t>
      </w:r>
      <w:r>
        <w:rPr>
          <w:rFonts w:ascii="Al Nile" w:hAnsi="Al Nile"/>
          <w:rtl/>
          <w:lang w:val="ar-SA"/>
        </w:rPr>
        <w:t>/</w:t>
      </w:r>
      <w:r>
        <w:rPr>
          <w:rFonts w:cs="Times New Roman"/>
          <w:rtl/>
          <w:lang w:val="ar-SA"/>
        </w:rPr>
        <w:t>٢٦</w:t>
      </w:r>
    </w:p>
    <w:p w:rsidR="00386853" w:rsidRDefault="00A65B3E">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386853" w:rsidRDefault="00A65B3E">
      <w:pPr>
        <w:pStyle w:val="a5"/>
        <w:rPr>
          <w:rFonts w:hint="default"/>
        </w:rPr>
      </w:pPr>
      <w:r>
        <w:rPr>
          <w:rFonts w:cs="Times New Roman"/>
          <w:rtl/>
          <w:lang w:val="ar-SA"/>
        </w:rPr>
        <w:t>وصل الكلام في بحث التعبدي والتوصلي إلى المسألة الثانية وهي في الشك في التعبدية والتوصلية بمعنى الشك في كون الواجب</w:t>
      </w:r>
      <w:r>
        <w:rPr>
          <w:rFonts w:cs="Times New Roman"/>
          <w:rtl/>
          <w:cs/>
        </w:rPr>
        <w:t xml:space="preserve"> لا يسقط التكليف به إلا إذا أتى به المكلف عن اختيار</w:t>
      </w:r>
      <w:r>
        <w:rPr>
          <w:rFonts w:ascii="Al Nile" w:hAnsi="Al Nile"/>
          <w:rtl/>
          <w:lang w:val="ar-SA"/>
        </w:rPr>
        <w:t xml:space="preserve"> </w:t>
      </w:r>
      <w:r>
        <w:rPr>
          <w:rFonts w:cs="Times New Roman"/>
          <w:rtl/>
          <w:cs/>
        </w:rPr>
        <w:t xml:space="preserve">والتفات </w:t>
      </w:r>
      <w:r>
        <w:rPr>
          <w:rFonts w:cs="Times New Roman"/>
          <w:rtl/>
          <w:lang w:val="ar-SA"/>
        </w:rPr>
        <w:t>أو</w:t>
      </w:r>
      <w:r>
        <w:rPr>
          <w:rFonts w:cs="Times New Roman"/>
          <w:rtl/>
          <w:cs/>
        </w:rPr>
        <w:t xml:space="preserve"> يسقط التكليف به بتحققه حتى لو صدر عن المكلف بغير اختيار والتفات</w:t>
      </w:r>
      <w:r>
        <w:rPr>
          <w:rFonts w:ascii="Al Nile" w:hAnsi="Al Nile"/>
          <w:rtl/>
          <w:lang w:val="ar-SA"/>
        </w:rPr>
        <w:t>.</w:t>
      </w:r>
    </w:p>
    <w:p w:rsidR="00386853" w:rsidRDefault="00A65B3E">
      <w:pPr>
        <w:pStyle w:val="a5"/>
        <w:rPr>
          <w:rFonts w:hint="default"/>
        </w:rPr>
      </w:pPr>
      <w:r>
        <w:rPr>
          <w:rFonts w:cs="Times New Roman"/>
          <w:rtl/>
          <w:lang w:val="ar-SA"/>
        </w:rPr>
        <w:t>قلنا ذكر المحقق النائيني قدس سره في مقام بيان مقتضى الأصل اللفظي لإثبات أصل التعبدية وجهين غير الوجه المتقدم الذي نقله عن الآخرين وناقشه</w:t>
      </w:r>
      <w:r>
        <w:rPr>
          <w:rFonts w:ascii="Al Nile" w:hAnsi="Al Nile"/>
          <w:rtl/>
          <w:lang w:val="ar-SA"/>
        </w:rPr>
        <w:t>:</w:t>
      </w:r>
    </w:p>
    <w:p w:rsidR="00386853" w:rsidRDefault="00A65B3E" w:rsidP="00A65B3E">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أن الحق في صحة العمل عدم كفاية الحسن الفعلي واشتمال الفعل على المصلحة بل لابد معه من الحسن الفاعلي يعني صدور العمل من المكلف على وجه حسن والحسن الفاعلي إنما يكون حاصلاً فيما إذا صدر العمل من الشخص عن التفات وإرادة واختيار وإلا لو صدر منه بدون إرادة واختيار لم يصدر على وجه حسن وبالنتيجة لا يكون صحيحاً ومسقطاً للتكليف</w:t>
      </w:r>
      <w:r>
        <w:rPr>
          <w:rFonts w:ascii="Al Nile" w:hAnsi="Al Nile"/>
          <w:rtl/>
          <w:lang w:val="ar-SA"/>
        </w:rPr>
        <w:t>.</w:t>
      </w:r>
    </w:p>
    <w:p w:rsidR="00386853" w:rsidRDefault="00A65B3E" w:rsidP="00A65B3E">
      <w:pPr>
        <w:pStyle w:val="a5"/>
        <w:rPr>
          <w:rFonts w:hint="default"/>
        </w:rPr>
      </w:pPr>
      <w:r>
        <w:rPr>
          <w:rFonts w:cs="Times New Roman"/>
          <w:rtl/>
          <w:lang w:val="ar-SA"/>
        </w:rPr>
        <w:t>فمتعلق التكليف خصوص الحصة الاختيارية، ولا يكون الفعل غير الاختياري مسقطاً للتكليف إلا إذا كان التكليف مشروطاً بقاءً بعدم صدور الفعل غير الاختياري فلذا عندما نشك في أن الواجب يسقط بالفعل الغير الاختياري يكون مرجع شكّنا إلى الشک في إطلاق التكليف والأصل اللفظي الجاري هنا إطلاق الصيغة فإن إطلاق الصيغة في مقام الإثبات كاشف عن إطلاق التكليف في مقام الثبوت يعني إن صدر الفعل لا عن اختيار والتفات يكون التكليف باقياً وهذا معنى التعبدية</w:t>
      </w:r>
      <w:r>
        <w:rPr>
          <w:rFonts w:ascii="Al Nile" w:hAnsi="Al Nile"/>
          <w:rtl/>
          <w:lang w:val="ar-SA"/>
        </w:rPr>
        <w:t>.</w:t>
      </w:r>
    </w:p>
    <w:p w:rsidR="00386853" w:rsidRDefault="00A65B3E">
      <w:pPr>
        <w:pStyle w:val="a5"/>
        <w:rPr>
          <w:rFonts w:hint="default"/>
        </w:rPr>
      </w:pPr>
      <w:r>
        <w:rPr>
          <w:rFonts w:cs="Times New Roman"/>
          <w:rtl/>
          <w:lang w:val="ar-SA"/>
        </w:rPr>
        <w:t>ناقش السيد الخوئي قدس سره هذا الوجه أولاً بأنه مبتنٍ على أن الحسن الفاعلي أيضاً شرط في صحة العمل واتصافه بكونه مصداقاً للواجب وهذا ليس مسلّماً ولا دليل عليه فإن ما هو مسلك العدلية والمذهب الحق تبعية الأحكام للمصالح والمفاسد وهي تقتضي وجود الحسن الفعلي يعني المصلحة في العمل الواجب فقط وأما لزوم الحسن الفاعلي أيضاً فلا دليل عليه</w:t>
      </w:r>
      <w:r>
        <w:rPr>
          <w:rFonts w:ascii="Al Nile" w:hAnsi="Al Nile"/>
          <w:rtl/>
          <w:lang w:val="ar-SA"/>
        </w:rPr>
        <w:t>.</w:t>
      </w:r>
    </w:p>
    <w:p w:rsidR="00386853" w:rsidRDefault="00A65B3E">
      <w:pPr>
        <w:pStyle w:val="a5"/>
        <w:rPr>
          <w:rFonts w:hint="default"/>
        </w:rPr>
      </w:pPr>
      <w:r>
        <w:rPr>
          <w:rFonts w:cs="Times New Roman"/>
          <w:rtl/>
          <w:lang w:val="ar-SA"/>
        </w:rPr>
        <w:t>وثانياً بل الدليل على عدم اعتبار الحسن الفاعلي موجود لأنا إن قلنا باعتباره في صحة العمل أدّى ذلك إلى إنكار الواجب التوصلي في الشريعة وانقلبت جميع الواجبات إلى واجبات تعبدية لأن الحسن الفاعلي لا يتحقق بمجرد الالتفات والاختيار حال العمل بل لابد لتحققه من إتيان العمل متقرباً إلى المولى فإن الحسن الفاعلي لا يتحقق إلا بإتيان العمل بداعي التقرب وهذا يؤدّي إلى كون جميع الواجبات واجبات تعبديةً والحال أنه لا يلتزم أحد بذلك حتى المحقق النائيني قدس سره</w:t>
      </w:r>
      <w:r>
        <w:rPr>
          <w:rFonts w:ascii="Al Nile" w:hAnsi="Al Nile"/>
          <w:rtl/>
          <w:lang w:val="ar-SA"/>
        </w:rPr>
        <w:t xml:space="preserve">.  </w:t>
      </w:r>
    </w:p>
    <w:p w:rsidR="00386853" w:rsidRDefault="00A65B3E">
      <w:pPr>
        <w:pStyle w:val="a5"/>
        <w:rPr>
          <w:rFonts w:hint="default"/>
        </w:rPr>
      </w:pPr>
      <w:r>
        <w:rPr>
          <w:rFonts w:cs="Times New Roman"/>
          <w:rtl/>
          <w:lang w:val="ar-SA"/>
        </w:rPr>
        <w:t>الوجه الثاني</w:t>
      </w:r>
      <w:r>
        <w:rPr>
          <w:rFonts w:ascii="Al Nile" w:hAnsi="Al Nile"/>
          <w:rtl/>
          <w:lang w:val="ar-SA"/>
        </w:rPr>
        <w:t xml:space="preserve">: </w:t>
      </w:r>
      <w:r>
        <w:rPr>
          <w:rFonts w:cs="Times New Roman"/>
          <w:rtl/>
          <w:lang w:val="ar-SA"/>
        </w:rPr>
        <w:t xml:space="preserve">أن نفس تعلق التكليف والطلب بالعمل يقتضي أن يكون متعلق الطلب خصوص الفعل الختياري لأن حقيقة التكليف والطلب التشريعي جعل </w:t>
      </w:r>
      <w:r>
        <w:rPr>
          <w:rFonts w:cs="Times New Roman"/>
          <w:rtl/>
          <w:lang w:val="ar-SA"/>
        </w:rPr>
        <w:lastRenderedPageBreak/>
        <w:t>الداعي للمكلف نحو العمل أو بعبارة أخرى</w:t>
      </w:r>
      <w:r>
        <w:rPr>
          <w:rFonts w:ascii="Al Nile" w:hAnsi="Al Nile"/>
          <w:rtl/>
          <w:lang w:val="ar-SA"/>
        </w:rPr>
        <w:t xml:space="preserve">: </w:t>
      </w:r>
      <w:r>
        <w:rPr>
          <w:rFonts w:cs="Times New Roman"/>
          <w:rtl/>
          <w:lang w:val="ar-SA"/>
        </w:rPr>
        <w:t>الغرض من الطلب ليس إلا تحريك عضلات المكلف نحو المطلوب وجعل الداعي لا يمكن إلا بالنسبة إلى الفعل الاختياري وأما الحصة الغير الاختيارية التي تكون صدورها عن المكلف خارجاً عن اختياره فجعل الداعي إليها ممتنع والنتيجة أن متعلق التكليف خصوص الحصة الاختيارية لا الجامع بين الفعل الاختياري وغير الاختياري</w:t>
      </w:r>
      <w:r>
        <w:rPr>
          <w:rFonts w:ascii="Al Nile" w:hAnsi="Al Nile"/>
          <w:rtl/>
          <w:lang w:val="ar-SA"/>
        </w:rPr>
        <w:t>.</w:t>
      </w:r>
    </w:p>
    <w:p w:rsidR="00386853" w:rsidRDefault="00A65B3E" w:rsidP="00A65B3E">
      <w:pPr>
        <w:pStyle w:val="a5"/>
        <w:rPr>
          <w:rFonts w:hint="default"/>
        </w:rPr>
      </w:pPr>
      <w:r>
        <w:rPr>
          <w:rFonts w:cs="Times New Roman"/>
          <w:rtl/>
          <w:lang w:val="ar-SA"/>
        </w:rPr>
        <w:t>وعندما يكون متعلق التكليف خصوص الحصة الاختيارية لا يكون الفعل غير الاختياري مسقطاً إلا إذا كان التكليف مشروطاً بقاءً بعدم صدور الفعل غير الاختياري فالشك في سقوط التكليف بالفعل غير الاختياري يرجع إلى الشك في إطلاق التكليف واشتراطه والشك في إطلاق التكليف واشتراطه مجرى لأصالة الإطلاق الكاشفة عن إطلاق الحكم في مقام الثبوت والتعبدية</w:t>
      </w:r>
      <w:r>
        <w:rPr>
          <w:rFonts w:ascii="Al Nile" w:hAnsi="Al Nile"/>
          <w:rtl/>
          <w:lang w:val="ar-SA"/>
        </w:rPr>
        <w:t>.</w:t>
      </w:r>
    </w:p>
    <w:p w:rsidR="00386853" w:rsidRDefault="00A65B3E">
      <w:pPr>
        <w:pStyle w:val="a5"/>
        <w:rPr>
          <w:rFonts w:hint="default"/>
        </w:rPr>
      </w:pPr>
      <w:r>
        <w:rPr>
          <w:rFonts w:cs="Times New Roman"/>
          <w:rtl/>
          <w:lang w:val="ar-SA"/>
        </w:rPr>
        <w:t xml:space="preserve">ذكر هذا البيان المحقق النائيني قدس سره في بحث التعبدي والتوصلي حسب الأجود وفي مباحث أخرى كبحث الضد ، وما في بحث التعبدي والتوصلي بهذا المقدار ولكن في بحث الضد أشار أيضاً إلى مبنى البحث حيث أفاد أن الخلاف في أن متعلق التكليف خصوص الحصة المقدورة ليكون الفرد الغير المقدور خارجاً عن دائرة التكليف أو متعلق التكليف الجامع بين الحصة المقدورة وغير المقدورة يرجع إلى أن شرطية القدرة في التكليف باقتضاء نفس الخطاب أو من باب حكم العقل أي حكم العقل بقبح تكليف العاجز والتكليف بما لا يطاق فالمحقق الثاني قدس سره يقول بأن شرطية القدرة من باب حكم العقل بقبح تكليف العاجز لكن رأيُنا </w:t>
      </w:r>
      <w:r>
        <w:rPr>
          <w:rFonts w:ascii="Al Nile" w:hAnsi="Al Nile"/>
          <w:rtl/>
          <w:lang w:val="ar-SA"/>
        </w:rPr>
        <w:t xml:space="preserve">- </w:t>
      </w:r>
      <w:r>
        <w:rPr>
          <w:rFonts w:cs="Times New Roman"/>
          <w:rtl/>
          <w:lang w:val="ar-SA"/>
        </w:rPr>
        <w:t xml:space="preserve">والقائل المحقق النائيني قدس سره </w:t>
      </w:r>
      <w:r>
        <w:rPr>
          <w:rFonts w:ascii="Al Nile" w:hAnsi="Al Nile"/>
          <w:rtl/>
          <w:lang w:val="ar-SA"/>
        </w:rPr>
        <w:t xml:space="preserve">- </w:t>
      </w:r>
      <w:r>
        <w:rPr>
          <w:rFonts w:cs="Times New Roman"/>
          <w:rtl/>
          <w:lang w:val="ar-SA"/>
        </w:rPr>
        <w:t>أن شرطية القدرة ليس من باب حكم العقل بل قبل مرحلة حكم العقل نفس التكليف يقتضي ذاتاً أن متعلقه الحصة المقدورة حيث إنه إذا وُجد سبب ذاتي لا وجه لإسناد شرطية القدرة إلى أمر غير ذاتي وهو حكم العقل</w:t>
      </w:r>
      <w:r>
        <w:rPr>
          <w:rFonts w:ascii="Al Nile" w:hAnsi="Al Nile"/>
          <w:rtl/>
          <w:lang w:val="ar-SA"/>
        </w:rPr>
        <w:t>.</w:t>
      </w:r>
    </w:p>
    <w:p w:rsidR="00386853" w:rsidRDefault="00A65B3E">
      <w:pPr>
        <w:pStyle w:val="a5"/>
        <w:rPr>
          <w:rFonts w:hint="default"/>
        </w:rPr>
      </w:pPr>
      <w:r>
        <w:rPr>
          <w:rFonts w:cs="Times New Roman"/>
          <w:rtl/>
          <w:lang w:val="ar-SA"/>
        </w:rPr>
        <w:t>لو قلنا بأن الشرطية بحكم العقل لا يكون متعلق التكليف خصوص الحصة المقدورة بل يمكن أن يكون الجامع لأن متعلق التكليف إذا كان جامعاً يكون على الأقل بعض أفراده مقدورةً لا يكون التكليف بمثل هذا الجامع قبيحاً عقلاً لأن العبد قادر على الجامع في ضمن أفراده المقدورة فلا يكون التكليف به تكليفاً بما لا يطاق ليحكم العقل بقبحه</w:t>
      </w:r>
      <w:r>
        <w:rPr>
          <w:rFonts w:ascii="Al Nile" w:hAnsi="Al Nile"/>
          <w:rtl/>
          <w:lang w:val="ar-SA"/>
        </w:rPr>
        <w:t>.</w:t>
      </w:r>
    </w:p>
    <w:p w:rsidR="00386853" w:rsidRDefault="00A65B3E" w:rsidP="006D3A7E">
      <w:pPr>
        <w:pStyle w:val="a5"/>
        <w:rPr>
          <w:rFonts w:hint="default"/>
        </w:rPr>
      </w:pPr>
      <w:r>
        <w:rPr>
          <w:rFonts w:cs="Times New Roman"/>
          <w:rtl/>
          <w:lang w:val="ar-SA"/>
        </w:rPr>
        <w:t xml:space="preserve">أما إن قلنا بأن شرطية القدرة بمقتضى نفس التكليف فمن المعلوم أن متعلق التكليف يكون خصوص الحصة المقدورة لأن الآمر إنما يأمر بشيء ليحرّك عضلات العبد نحو الفعل بالإرادة والاختيار بجعل الداعي له إلى ترجيح أحد طرفي الممكن وهذا المعنى </w:t>
      </w:r>
      <w:r>
        <w:rPr>
          <w:rFonts w:cs="Times New Roman"/>
          <w:rtl/>
          <w:cs/>
        </w:rPr>
        <w:t xml:space="preserve">بنفسه يستلزم كون متعلقه مقدوراً لامتناع جعل الداعي نحو الممتنع </w:t>
      </w:r>
      <w:r w:rsidR="006D3A7E">
        <w:rPr>
          <w:rFonts w:cs="Times New Roman"/>
          <w:rtl/>
          <w:lang w:bidi="fa-IR"/>
        </w:rPr>
        <w:t xml:space="preserve">عقلاً </w:t>
      </w:r>
      <w:r>
        <w:rPr>
          <w:rFonts w:cs="Times New Roman"/>
          <w:rtl/>
          <w:cs/>
        </w:rPr>
        <w:t xml:space="preserve">أو </w:t>
      </w:r>
      <w:r w:rsidR="006D3A7E">
        <w:rPr>
          <w:rFonts w:cs="Times New Roman"/>
          <w:rtl/>
          <w:cs/>
        </w:rPr>
        <w:t xml:space="preserve">شرعاً </w:t>
      </w:r>
      <w:r>
        <w:rPr>
          <w:rFonts w:ascii="Al Nile" w:hAnsi="Al Nile"/>
        </w:rPr>
        <w:t>.</w:t>
      </w:r>
      <w:r>
        <w:rPr>
          <w:rFonts w:cs="Times New Roman"/>
          <w:rtl/>
          <w:lang w:val="ar-SA"/>
        </w:rPr>
        <w:t xml:space="preserve"> وعليه فالبعث لا يكون إلا نحو المقدور فتخرج الأفراد غير المقدورة عن حيّز الطلب</w:t>
      </w:r>
      <w:r>
        <w:rPr>
          <w:rFonts w:ascii="Al Nile" w:hAnsi="Al Nile"/>
          <w:rtl/>
          <w:lang w:val="ar-SA"/>
        </w:rPr>
        <w:t>.</w:t>
      </w:r>
    </w:p>
    <w:p w:rsidR="00386853" w:rsidRPr="006D3A7E" w:rsidRDefault="00A65B3E">
      <w:pPr>
        <w:pStyle w:val="a5"/>
        <w:rPr>
          <w:rFonts w:hint="default"/>
        </w:rPr>
      </w:pPr>
      <w:r>
        <w:rPr>
          <w:rFonts w:cs="Times New Roman"/>
          <w:rtl/>
          <w:lang w:val="ar-SA"/>
        </w:rPr>
        <w:t>أورد السيد الخوئي قدس سره على هذا الوجه في تعليقة الأجود وفي تقريرات المصباح والمحاضرات بإشكالات</w:t>
      </w:r>
      <w:r>
        <w:rPr>
          <w:rFonts w:ascii="Al Nile" w:hAnsi="Al Nile"/>
          <w:rtl/>
          <w:lang w:val="ar-SA"/>
        </w:rPr>
        <w:t>:</w:t>
      </w:r>
    </w:p>
    <w:p w:rsidR="00386853" w:rsidRDefault="00A65B3E">
      <w:pPr>
        <w:pStyle w:val="a5"/>
        <w:rPr>
          <w:rFonts w:hint="default"/>
        </w:rPr>
      </w:pPr>
      <w:r>
        <w:rPr>
          <w:rFonts w:cs="Times New Roman"/>
          <w:rtl/>
          <w:lang w:val="ar-SA"/>
        </w:rPr>
        <w:lastRenderedPageBreak/>
        <w:t>الأول</w:t>
      </w:r>
      <w:r>
        <w:rPr>
          <w:rFonts w:ascii="Al Nile" w:hAnsi="Al Nile"/>
          <w:rtl/>
          <w:lang w:val="ar-SA"/>
        </w:rPr>
        <w:t xml:space="preserve">: </w:t>
      </w:r>
      <w:r>
        <w:rPr>
          <w:rFonts w:cs="Times New Roman"/>
          <w:rtl/>
          <w:lang w:val="ar-SA"/>
        </w:rPr>
        <w:t xml:space="preserve">ما ذكره في تعليقة الأجود في بحث التعبدي والتوصلي من أن اقتضاء نفس تعلق الطلب والتكليف بالفعل لاختصاصه بالحصة المقدورة مبتنٍ على مسلك القوم في حقيقة الإنشاء بصيغة الطلب وهو أن المنشأ بصيغة الأمر الطلب أو النسبة الإرسالية فعلى هذا المسلك يمكن أن يقول شخص بأن التكليف بنفسه يقتضي أن متعلقه خصوص الحصة المقدورة لا الجامع ولكن إن كان المنشأ بصيغة الأمر ونظائرها مما يدل على الطلب الاعتباري أن المولى في مقام الإنشاء يعتبر الفعل على ذمة العبد ويظهر هذا الاعتبار </w:t>
      </w:r>
      <w:r>
        <w:rPr>
          <w:rFonts w:ascii="Al Nile" w:hAnsi="Al Nile"/>
          <w:rtl/>
          <w:lang w:val="ar-SA"/>
        </w:rPr>
        <w:t xml:space="preserve">- </w:t>
      </w:r>
      <w:r>
        <w:rPr>
          <w:rFonts w:cs="Times New Roman"/>
          <w:rtl/>
          <w:lang w:val="ar-SA"/>
        </w:rPr>
        <w:t xml:space="preserve">كما هو المختار </w:t>
      </w:r>
      <w:r>
        <w:rPr>
          <w:rFonts w:ascii="Al Nile" w:hAnsi="Al Nile"/>
          <w:rtl/>
          <w:lang w:val="ar-SA"/>
        </w:rPr>
        <w:t xml:space="preserve">- </w:t>
      </w:r>
      <w:r>
        <w:rPr>
          <w:rFonts w:cs="Times New Roman"/>
          <w:rtl/>
          <w:lang w:val="ar-SA"/>
        </w:rPr>
        <w:t>فتكليف العبد بعمل بهذا المعنى والمفهوم كسائر الوضعيات فكما أن الأحكام الوضعية لا تختص بالحصة المقدورة كذلك مفاد صيغة الأمر على المسلك المختار لا يختص بالحصة المقدورة بل يشمل الحصة الغير المقدورة</w:t>
      </w:r>
      <w:r>
        <w:rPr>
          <w:rFonts w:ascii="Al Nile" w:hAnsi="Al Nile"/>
          <w:rtl/>
          <w:lang w:val="ar-SA"/>
        </w:rPr>
        <w:t xml:space="preserve">. </w:t>
      </w:r>
      <w:r>
        <w:rPr>
          <w:rFonts w:cs="Times New Roman"/>
          <w:rtl/>
          <w:lang w:val="ar-SA"/>
        </w:rPr>
        <w:t>نعم، حسب حكم العقل بلزوم الامتثال وتنجز التكليف والحكم باستحقاق العقاب على تقدير المخالفة القدرة شرط التنجّز</w:t>
      </w:r>
      <w:r>
        <w:rPr>
          <w:rFonts w:ascii="Al Nile" w:hAnsi="Al Nile"/>
          <w:rtl/>
          <w:lang w:val="ar-SA"/>
        </w:rPr>
        <w:t xml:space="preserve">. </w:t>
      </w:r>
      <w:r>
        <w:rPr>
          <w:rFonts w:cs="Times New Roman"/>
          <w:rtl/>
          <w:lang w:val="ar-SA"/>
        </w:rPr>
        <w:t>فعلى المسلك المختار القدرة ليست شرطاً لنفس التكليف بل شرط تنجّزه</w:t>
      </w:r>
      <w:r>
        <w:rPr>
          <w:rFonts w:ascii="Al Nile" w:hAnsi="Al Nile"/>
          <w:rtl/>
          <w:lang w:val="ar-SA"/>
        </w:rPr>
        <w:t>.</w:t>
      </w:r>
    </w:p>
    <w:p w:rsidR="00386853" w:rsidRDefault="00A65B3E" w:rsidP="006D3A7E">
      <w:pPr>
        <w:pStyle w:val="a5"/>
        <w:rPr>
          <w:rFonts w:hint="default"/>
        </w:rPr>
      </w:pPr>
      <w:r>
        <w:rPr>
          <w:rFonts w:cs="Times New Roman"/>
          <w:rtl/>
          <w:lang w:val="ar-SA"/>
        </w:rPr>
        <w:t>الثاني</w:t>
      </w:r>
      <w:r>
        <w:rPr>
          <w:rFonts w:ascii="Al Nile" w:hAnsi="Al Nile"/>
          <w:rtl/>
          <w:lang w:val="ar-SA"/>
        </w:rPr>
        <w:t xml:space="preserve">: </w:t>
      </w:r>
      <w:r>
        <w:rPr>
          <w:rFonts w:cs="Times New Roman"/>
          <w:rtl/>
          <w:lang w:val="ar-SA"/>
        </w:rPr>
        <w:t>أنه حتى على مسلك القوم ومختار المحقق النائيني قدس سره من أن مفاد الصيغة والمنشأ بها الطلب أو النسبة الإرسالية وأن القدرة شرط نفس التكليف غاية ما يكون شرطاً مقدورية متعلق التكليف وأما كون متعلق الطلب خصوص الحصة المقدورة وأن الحصة غيرالمق</w:t>
      </w:r>
      <w:r w:rsidR="006D3A7E">
        <w:rPr>
          <w:rFonts w:cs="Times New Roman"/>
          <w:rtl/>
          <w:lang w:val="ar-SA"/>
        </w:rPr>
        <w:t>د</w:t>
      </w:r>
      <w:r>
        <w:rPr>
          <w:rFonts w:cs="Times New Roman"/>
          <w:rtl/>
          <w:lang w:val="ar-SA"/>
        </w:rPr>
        <w:t>ورة خارجة بحيث لا يكون الجامع بين الحصة المقدورة وغير المقدورة متعلقاً للتكليف فلا وجه له لأن الجامع بين المقدور وغير المقدور مقدور للمكلف فإن مجرد إمكان إيجاد الجامع ولو في ضمن بعض الأفراد كافٍ لصحة تعلق التكليف بالجامع</w:t>
      </w:r>
      <w:r>
        <w:rPr>
          <w:rFonts w:ascii="Al Nile" w:hAnsi="Al Nile"/>
          <w:rtl/>
          <w:lang w:val="ar-SA"/>
        </w:rPr>
        <w:t>.</w:t>
      </w:r>
      <w:r>
        <w:rPr>
          <w:rFonts w:cs="Times New Roman"/>
          <w:rtl/>
          <w:lang w:val="ar-SA"/>
        </w:rPr>
        <w:t xml:space="preserve"> </w:t>
      </w:r>
      <w:r w:rsidR="006D3A7E">
        <w:rPr>
          <w:rFonts w:cs="Times New Roman"/>
          <w:rtl/>
          <w:lang w:val="ar-SA"/>
        </w:rPr>
        <w:t xml:space="preserve">فما ذکرتم من </w:t>
      </w:r>
      <w:r>
        <w:rPr>
          <w:rFonts w:cs="Times New Roman"/>
          <w:rtl/>
          <w:lang w:val="ar-SA"/>
        </w:rPr>
        <w:t xml:space="preserve">أن الطلب جعل الداعي </w:t>
      </w:r>
      <w:r w:rsidR="006D3A7E">
        <w:rPr>
          <w:rFonts w:cs="Times New Roman"/>
          <w:rtl/>
          <w:lang w:val="ar-SA"/>
        </w:rPr>
        <w:t>ولذلک</w:t>
      </w:r>
      <w:r>
        <w:rPr>
          <w:rFonts w:cs="Times New Roman"/>
          <w:rtl/>
          <w:lang w:val="ar-SA"/>
        </w:rPr>
        <w:t xml:space="preserve"> يقتضي أن يكون المتعلق مقدوراً </w:t>
      </w:r>
      <w:r w:rsidR="006D3A7E">
        <w:rPr>
          <w:rFonts w:cs="Times New Roman"/>
          <w:rtl/>
          <w:lang w:val="ar-SA"/>
        </w:rPr>
        <w:t>للمکلف</w:t>
      </w:r>
      <w:r w:rsidR="00B32403">
        <w:rPr>
          <w:rFonts w:cs="Times New Roman"/>
          <w:rtl/>
          <w:lang w:val="ar-SA"/>
        </w:rPr>
        <w:t xml:space="preserve"> نسلّمه</w:t>
      </w:r>
      <w:r w:rsidR="006D3A7E">
        <w:rPr>
          <w:rFonts w:cs="Times New Roman"/>
          <w:rtl/>
          <w:lang w:val="ar-SA"/>
        </w:rPr>
        <w:t xml:space="preserve"> </w:t>
      </w:r>
      <w:r>
        <w:rPr>
          <w:rFonts w:cs="Times New Roman"/>
          <w:rtl/>
          <w:lang w:val="ar-SA"/>
        </w:rPr>
        <w:t>لكن المقدورية لا تقتضي أن تكون دائرة الطلب مختصةً بالأفراد المقدورة بل يكفي للمقدورية أن يكون المتعلق هو الجامع</w:t>
      </w:r>
      <w:r>
        <w:rPr>
          <w:rFonts w:ascii="Al Nile" w:hAnsi="Al Nile"/>
          <w:rtl/>
          <w:lang w:val="ar-SA"/>
        </w:rPr>
        <w:t xml:space="preserve">. </w:t>
      </w:r>
      <w:r>
        <w:rPr>
          <w:rFonts w:cs="Times New Roman"/>
          <w:rtl/>
          <w:lang w:val="ar-SA"/>
        </w:rPr>
        <w:t>فلا بد من أن نرى أين يكون الملاك فإن كان في خصوص الحصة المقدورة يتعلق بها التكليف بالخصوص وإن كان في الجامع فلا مشكلة في تعلق التكليف به</w:t>
      </w:r>
      <w:r>
        <w:rPr>
          <w:rFonts w:ascii="Al Nile" w:hAnsi="Al Nile"/>
          <w:rtl/>
          <w:lang w:val="ar-SA"/>
        </w:rPr>
        <w:t xml:space="preserve">. </w:t>
      </w:r>
    </w:p>
    <w:p w:rsidR="00386853" w:rsidRDefault="00A65B3E">
      <w:pPr>
        <w:pStyle w:val="a5"/>
        <w:rPr>
          <w:rFonts w:hint="default"/>
        </w:rPr>
      </w:pPr>
      <w:r>
        <w:rPr>
          <w:rFonts w:cs="Times New Roman"/>
          <w:rtl/>
          <w:lang w:val="ar-SA"/>
        </w:rPr>
        <w:t xml:space="preserve">وفي تقريرات المصباح زيادة وهي أنه لا مشكلة حسب مقام الثبوت أن يتعلق التكليف بالجامع بين المقدور وغير المقدور لأن الجامع بين المقدور وغير المقدور مقدور فإذا كان حسب مقام الثبوت ممكناً حينما ننظر إلى الخطابات لنرى ما هو المتعلق إثباتاً هل خصوص الحصة المقدورة أو الجامع نجد أن الطبيعة </w:t>
      </w:r>
      <w:r w:rsidR="00B32403">
        <w:rPr>
          <w:rFonts w:cs="Times New Roman"/>
          <w:rtl/>
          <w:lang w:val="ar-SA"/>
        </w:rPr>
        <w:t xml:space="preserve">التي تعلق بها الطلب </w:t>
      </w:r>
      <w:r>
        <w:rPr>
          <w:rFonts w:cs="Times New Roman"/>
          <w:rtl/>
          <w:lang w:val="ar-SA"/>
        </w:rPr>
        <w:t>غير مقيدة بقيد مثلاً أمرنا الشارع المقدّس بالطواف لا بالطواف الاختياري فهذا الإطلاق إثباتاً يكشف عن إطلاق المتعلق ثبوتاً وسبب الإطلاق أن الملاك في نظر المولى في الجامع والطبيعة</w:t>
      </w:r>
      <w:r>
        <w:rPr>
          <w:rFonts w:ascii="Al Nile" w:hAnsi="Al Nile"/>
          <w:rtl/>
          <w:lang w:val="ar-SA"/>
        </w:rPr>
        <w:t>.</w:t>
      </w:r>
    </w:p>
    <w:p w:rsidR="00386853" w:rsidRDefault="00A65B3E">
      <w:pPr>
        <w:pStyle w:val="a5"/>
        <w:rPr>
          <w:rFonts w:hint="default"/>
        </w:rPr>
      </w:pPr>
      <w:r>
        <w:rPr>
          <w:rFonts w:cs="Times New Roman"/>
          <w:rtl/>
          <w:lang w:val="ar-SA"/>
        </w:rPr>
        <w:t>والنتيجة أن الوجه الثاني للمحقق النائيني قدس سره لإثبات أصل التعبدية غير تام</w:t>
      </w:r>
      <w:r>
        <w:rPr>
          <w:rFonts w:ascii="Al Nile" w:hAnsi="Al Nile"/>
          <w:rtl/>
          <w:lang w:val="ar-SA"/>
        </w:rPr>
        <w:t xml:space="preserve">.  </w:t>
      </w:r>
    </w:p>
    <w:p w:rsidR="00386853" w:rsidRDefault="00A65B3E" w:rsidP="00B32403">
      <w:pPr>
        <w:pStyle w:val="a5"/>
        <w:rPr>
          <w:rFonts w:hint="default"/>
        </w:rPr>
      </w:pPr>
      <w:r>
        <w:rPr>
          <w:rFonts w:cs="Times New Roman"/>
          <w:rtl/>
          <w:lang w:val="ar-SA"/>
        </w:rPr>
        <w:t>إن قلت</w:t>
      </w:r>
      <w:r>
        <w:rPr>
          <w:rFonts w:ascii="Al Nile" w:hAnsi="Al Nile"/>
          <w:rtl/>
          <w:lang w:val="ar-SA"/>
        </w:rPr>
        <w:t xml:space="preserve">: </w:t>
      </w:r>
      <w:r>
        <w:rPr>
          <w:rFonts w:cs="Times New Roman"/>
          <w:rtl/>
          <w:lang w:val="ar-SA"/>
        </w:rPr>
        <w:t>المكلف لا يقدر إلا على الأفراد المقدورة وبالنتيجة عندما لا يقدر على الأفراد</w:t>
      </w:r>
      <w:r w:rsidR="00B32403">
        <w:rPr>
          <w:rFonts w:cs="Times New Roman"/>
          <w:rtl/>
          <w:lang w:val="ar-SA"/>
        </w:rPr>
        <w:t xml:space="preserve"> </w:t>
      </w:r>
      <w:r>
        <w:rPr>
          <w:rFonts w:cs="Times New Roman"/>
          <w:rtl/>
          <w:lang w:val="ar-SA"/>
        </w:rPr>
        <w:t>غير المقدورة فإطلاق التكليف بالنسبة إلى الجامع ما أثره؟</w:t>
      </w:r>
    </w:p>
    <w:p w:rsidR="00386853" w:rsidRDefault="00A65B3E" w:rsidP="00B32403">
      <w:pPr>
        <w:pStyle w:val="a5"/>
        <w:rPr>
          <w:rFonts w:hint="default"/>
        </w:rPr>
      </w:pPr>
      <w:r>
        <w:rPr>
          <w:rFonts w:cs="Times New Roman"/>
          <w:rtl/>
          <w:lang w:val="ar-SA"/>
        </w:rPr>
        <w:lastRenderedPageBreak/>
        <w:t>فأفاد السيد الخوئي قدس سره في تعليقة الأجود أن تعلق التكليف بالجامع فائدته أنه إذا صدر العمل عن المكلف بدون اختيار كان مجزياً</w:t>
      </w:r>
      <w:r>
        <w:rPr>
          <w:rFonts w:ascii="Al Nile" w:hAnsi="Al Nile"/>
          <w:rtl/>
          <w:lang w:val="ar-SA"/>
        </w:rPr>
        <w:t xml:space="preserve">. </w:t>
      </w:r>
      <w:r>
        <w:rPr>
          <w:rFonts w:cs="Times New Roman"/>
          <w:rtl/>
          <w:lang w:val="ar-SA"/>
        </w:rPr>
        <w:t>نعم، المولى لا يريد سوق المكلف نحو الفرد غير الاختياري لكن على سبيل الاتفاق إن صدر منه انطبق عليه الجامع قهراً وسقط التكليف</w:t>
      </w:r>
      <w:r>
        <w:rPr>
          <w:rFonts w:ascii="Al Nile" w:hAnsi="Al Nile"/>
          <w:rtl/>
          <w:lang w:val="ar-SA"/>
        </w:rPr>
        <w:t xml:space="preserve">. </w:t>
      </w:r>
    </w:p>
    <w:p w:rsidR="00386853" w:rsidRDefault="00A65B3E">
      <w:pPr>
        <w:pStyle w:val="a5"/>
        <w:rPr>
          <w:rFonts w:hint="default"/>
        </w:rPr>
      </w:pPr>
      <w:r>
        <w:rPr>
          <w:rFonts w:cs="Times New Roman"/>
          <w:rtl/>
          <w:lang w:val="ar-SA"/>
        </w:rPr>
        <w:t>فحتى على مسلك المشهور في مفاد صيغة الأمر والالتزام بأن المنشأ هو الطلب وأن القدرة شرط نفس التكليف لكن اشتراط القدرة في التكليف يثبت أصل لزوم المقدورية وهذه المقدورية موجودة في تعلق التكليف بالجامع لأن الجامع بين المقدور وغير المقدور مقدور</w:t>
      </w:r>
      <w:bookmarkStart w:id="0" w:name="_GoBack"/>
      <w:bookmarkEnd w:id="0"/>
      <w:r>
        <w:rPr>
          <w:rFonts w:ascii="Al Nile" w:hAnsi="Al Nile"/>
          <w:rtl/>
          <w:lang w:val="ar-SA"/>
        </w:rPr>
        <w:t>.</w:t>
      </w:r>
    </w:p>
    <w:p w:rsidR="00386853" w:rsidRDefault="00A65B3E">
      <w:pPr>
        <w:pStyle w:val="a5"/>
        <w:rPr>
          <w:rFonts w:hint="default"/>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p>
    <w:sectPr w:rsidR="00386853">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6A7" w:rsidRDefault="005166A7">
      <w:r>
        <w:separator/>
      </w:r>
    </w:p>
  </w:endnote>
  <w:endnote w:type="continuationSeparator" w:id="0">
    <w:p w:rsidR="005166A7" w:rsidRDefault="00516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B3E" w:rsidRDefault="00A65B3E">
    <w:pPr>
      <w:pStyle w:val="a4"/>
      <w:jc w:val="center"/>
    </w:pPr>
    <w:r>
      <w:fldChar w:fldCharType="begin"/>
    </w:r>
    <w:r>
      <w:instrText xml:space="preserve"> PAGE </w:instrText>
    </w:r>
    <w:r>
      <w:fldChar w:fldCharType="separate"/>
    </w:r>
    <w:r w:rsidR="00B32403">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6A7" w:rsidRDefault="005166A7">
      <w:r>
        <w:separator/>
      </w:r>
    </w:p>
  </w:footnote>
  <w:footnote w:type="continuationSeparator" w:id="0">
    <w:p w:rsidR="005166A7" w:rsidRDefault="005166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B3E" w:rsidRDefault="00A65B3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86853"/>
    <w:rsid w:val="00386853"/>
    <w:rsid w:val="005166A7"/>
    <w:rsid w:val="006D3A7E"/>
    <w:rsid w:val="00A65B3E"/>
    <w:rsid w:val="00B324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1099</TotalTime>
  <Pages>4</Pages>
  <Words>1095</Words>
  <Characters>6244</Characters>
  <Application>Microsoft Office Word</Application>
  <DocSecurity>0</DocSecurity>
  <Lines>52</Lines>
  <Paragraphs>14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2022-11-07T08:22:00Z</dcterms:created>
  <dcterms:modified xsi:type="dcterms:W3CDTF">2022-11-08T07:30:00Z</dcterms:modified>
</cp:coreProperties>
</file>