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0AC" w:rsidRDefault="003A7994">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٦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١٤</w:t>
      </w:r>
    </w:p>
    <w:p w:rsidR="001A50AC" w:rsidRDefault="003A7994">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1A50AC" w:rsidRDefault="003A7994">
      <w:pPr>
        <w:pStyle w:val="a5"/>
        <w:rPr>
          <w:rFonts w:hint="default"/>
        </w:rPr>
      </w:pPr>
      <w:r>
        <w:rPr>
          <w:rFonts w:cs="Times New Roman"/>
          <w:rtl/>
          <w:lang w:val="ar-SA"/>
        </w:rPr>
        <w:t>الجهة الثانية</w:t>
      </w:r>
      <w:r>
        <w:rPr>
          <w:rFonts w:ascii="Al Nile" w:hAnsi="Al Nile"/>
          <w:rtl/>
          <w:lang w:val="ar-SA"/>
        </w:rPr>
        <w:t xml:space="preserve">: </w:t>
      </w:r>
      <w:r>
        <w:rPr>
          <w:rFonts w:cs="Times New Roman"/>
          <w:rtl/>
          <w:lang w:val="ar-SA"/>
        </w:rPr>
        <w:t>في دلالة صيغة الأمر على الوجوب</w:t>
      </w:r>
    </w:p>
    <w:p w:rsidR="001A50AC" w:rsidRDefault="003A7994">
      <w:pPr>
        <w:pStyle w:val="a5"/>
        <w:rPr>
          <w:rFonts w:hint="default"/>
        </w:rPr>
      </w:pPr>
      <w:r>
        <w:rPr>
          <w:rFonts w:cs="Times New Roman"/>
          <w:rtl/>
          <w:lang w:val="ar-SA"/>
        </w:rPr>
        <w:t>والبحث عن دلالة صيغة الأمر على الوجوب يقع في مرحلتين</w:t>
      </w:r>
      <w:r>
        <w:rPr>
          <w:rFonts w:ascii="Al Nile" w:hAnsi="Al Nile"/>
          <w:rtl/>
          <w:lang w:val="ar-SA"/>
        </w:rPr>
        <w:t>:</w:t>
      </w:r>
    </w:p>
    <w:p w:rsidR="001A50AC" w:rsidRDefault="003A7994">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هل تدل صيغة الأمر بالدلالة الوضعية على الوجوب أو لا؟ وبتعبير المحقق الآخوند قدس سره هل هي حقيقة في خصوص الطلب الوجوبي أو خصوص الطلب الندبي أو مشترك بينهما بالاشتراك اللفظي أو الاشتراك المعنوي؟</w:t>
      </w:r>
    </w:p>
    <w:p w:rsidR="001A50AC" w:rsidRDefault="003A7994">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على فرض عدم دلالتها على الوجوب بالدلالة الوضعية هل تدل علىه بأنحاء أخرى من الدلالة كالدلالة الانصرافية والدلالة الإطلاقية؟</w:t>
      </w:r>
    </w:p>
    <w:p w:rsidR="001A50AC" w:rsidRDefault="003A7994">
      <w:pPr>
        <w:pStyle w:val="a5"/>
        <w:rPr>
          <w:rFonts w:hint="default"/>
        </w:rPr>
      </w:pPr>
      <w:r>
        <w:rPr>
          <w:rFonts w:cs="Times New Roman"/>
          <w:rtl/>
          <w:lang w:val="ar-SA"/>
        </w:rPr>
        <w:t>فَصَل المحقق الآخوند قدس سره بين المرحلتين وتعرض للأولى في المبحث الثاني وللثانية في المبحث الرابع ولكن كما ذكرنا سابقاً يقع البحث عن المرحلتين في جهة واحدة</w:t>
      </w:r>
      <w:r>
        <w:rPr>
          <w:rFonts w:ascii="Al Nile" w:hAnsi="Al Nile"/>
          <w:rtl/>
          <w:lang w:val="ar-SA"/>
        </w:rPr>
        <w:t>.</w:t>
      </w:r>
    </w:p>
    <w:p w:rsidR="001A50AC" w:rsidRDefault="003A7994">
      <w:pPr>
        <w:pStyle w:val="a5"/>
        <w:rPr>
          <w:rFonts w:hint="default"/>
        </w:rPr>
      </w:pPr>
      <w:r>
        <w:rPr>
          <w:rFonts w:cs="Times New Roman"/>
          <w:rtl/>
          <w:lang w:val="ar-SA"/>
        </w:rPr>
        <w:t xml:space="preserve">تعبير المحقق الآخوند قدس سره في المرحلة الأولى أن صيغة الأمر </w:t>
      </w:r>
      <w:r>
        <w:rPr>
          <w:rFonts w:ascii="Al Nile" w:hAnsi="Al Nile"/>
          <w:rtl/>
          <w:lang w:val="ar-SA"/>
        </w:rPr>
        <w:t xml:space="preserve">- </w:t>
      </w:r>
      <w:r>
        <w:rPr>
          <w:rFonts w:cs="Times New Roman"/>
          <w:rtl/>
          <w:lang w:val="ar-SA"/>
        </w:rPr>
        <w:t xml:space="preserve">التي هي حسب مختاره في الجهة السابقة موضوعة لإنشاء الطلب </w:t>
      </w:r>
      <w:r>
        <w:rPr>
          <w:rFonts w:ascii="Al Nile" w:hAnsi="Al Nile"/>
          <w:rtl/>
          <w:lang w:val="ar-SA"/>
        </w:rPr>
        <w:t xml:space="preserve">- </w:t>
      </w:r>
      <w:r>
        <w:rPr>
          <w:rFonts w:cs="Times New Roman"/>
          <w:rtl/>
          <w:lang w:val="ar-SA"/>
        </w:rPr>
        <w:t xml:space="preserve">هل هي حقيقة في الوجوب أو في الندب أو فيهما </w:t>
      </w:r>
      <w:r>
        <w:rPr>
          <w:rFonts w:ascii="Al Nile" w:hAnsi="Al Nile"/>
          <w:rtl/>
          <w:lang w:val="ar-SA"/>
        </w:rPr>
        <w:t xml:space="preserve">- </w:t>
      </w:r>
      <w:r>
        <w:rPr>
          <w:rFonts w:cs="Times New Roman"/>
          <w:rtl/>
          <w:lang w:val="ar-SA"/>
        </w:rPr>
        <w:t xml:space="preserve">يعني الاشتراك اللفظي </w:t>
      </w:r>
      <w:r>
        <w:rPr>
          <w:rFonts w:ascii="Al Nile" w:hAnsi="Al Nile"/>
          <w:rtl/>
          <w:lang w:val="ar-SA"/>
        </w:rPr>
        <w:t xml:space="preserve">- </w:t>
      </w:r>
      <w:r>
        <w:rPr>
          <w:rFonts w:cs="Times New Roman"/>
          <w:rtl/>
          <w:lang w:val="ar-SA"/>
        </w:rPr>
        <w:t xml:space="preserve">أو في المشترك بينهما </w:t>
      </w:r>
      <w:r>
        <w:rPr>
          <w:rFonts w:ascii="Al Nile" w:hAnsi="Al Nile"/>
          <w:rtl/>
          <w:lang w:val="ar-SA"/>
        </w:rPr>
        <w:t xml:space="preserve">- </w:t>
      </w:r>
      <w:r>
        <w:rPr>
          <w:rFonts w:cs="Times New Roman"/>
          <w:rtl/>
          <w:lang w:val="ar-SA"/>
        </w:rPr>
        <w:t>يعني الاشتراك المعنوي؟ وجوه بل أقوال</w:t>
      </w:r>
      <w:r>
        <w:rPr>
          <w:rFonts w:ascii="Al Nile" w:hAnsi="Al Nile"/>
          <w:rtl/>
          <w:lang w:val="ar-SA"/>
        </w:rPr>
        <w:t>:</w:t>
      </w:r>
    </w:p>
    <w:p w:rsidR="001A50AC" w:rsidRDefault="003A7994">
      <w:pPr>
        <w:pStyle w:val="a5"/>
        <w:rPr>
          <w:rFonts w:hint="default"/>
        </w:rPr>
      </w:pPr>
      <w:r>
        <w:rPr>
          <w:rFonts w:cs="Times New Roman"/>
          <w:rtl/>
          <w:lang w:val="ar-SA"/>
        </w:rPr>
        <w:t>القول الأول</w:t>
      </w:r>
      <w:r>
        <w:rPr>
          <w:rFonts w:ascii="Al Nile" w:hAnsi="Al Nile"/>
          <w:rtl/>
          <w:lang w:val="ar-SA"/>
        </w:rPr>
        <w:t xml:space="preserve">: </w:t>
      </w:r>
      <w:r>
        <w:rPr>
          <w:rFonts w:cs="Times New Roman"/>
          <w:rtl/>
          <w:lang w:val="ar-SA"/>
        </w:rPr>
        <w:t>كون صيغة الأمر حقيقةً في خصوص الوجوب والثاني</w:t>
      </w:r>
      <w:r>
        <w:rPr>
          <w:rFonts w:ascii="Al Nile" w:hAnsi="Al Nile"/>
          <w:rtl/>
          <w:lang w:val="ar-SA"/>
        </w:rPr>
        <w:t xml:space="preserve">: </w:t>
      </w:r>
      <w:r>
        <w:rPr>
          <w:rFonts w:cs="Times New Roman"/>
          <w:rtl/>
          <w:lang w:val="ar-SA"/>
        </w:rPr>
        <w:t>كونها حقيقةً في خصوص الندب والثالث</w:t>
      </w:r>
      <w:r>
        <w:rPr>
          <w:rFonts w:ascii="Al Nile" w:hAnsi="Al Nile"/>
          <w:rtl/>
          <w:lang w:val="ar-SA"/>
        </w:rPr>
        <w:t xml:space="preserve">: </w:t>
      </w:r>
      <w:r>
        <w:rPr>
          <w:rFonts w:cs="Times New Roman"/>
          <w:rtl/>
          <w:lang w:val="ar-SA"/>
        </w:rPr>
        <w:t>كونها مشتركاً لفظياً بين الوجوب والندب والرابع</w:t>
      </w:r>
      <w:r>
        <w:rPr>
          <w:rFonts w:ascii="Al Nile" w:hAnsi="Al Nile"/>
          <w:rtl/>
          <w:lang w:val="ar-SA"/>
        </w:rPr>
        <w:t xml:space="preserve">: </w:t>
      </w:r>
      <w:r>
        <w:rPr>
          <w:rFonts w:cs="Times New Roman"/>
          <w:rtl/>
          <w:lang w:val="ar-SA"/>
        </w:rPr>
        <w:t>كونها مشتركاً معنوياً وموضوعةً للجامع بين الوجوب والندب</w:t>
      </w:r>
      <w:r>
        <w:rPr>
          <w:rFonts w:ascii="Al Nile" w:hAnsi="Al Nile"/>
          <w:rtl/>
          <w:lang w:val="ar-SA"/>
        </w:rPr>
        <w:t>.</w:t>
      </w:r>
    </w:p>
    <w:p w:rsidR="001A50AC" w:rsidRDefault="003A7994">
      <w:pPr>
        <w:pStyle w:val="a5"/>
        <w:rPr>
          <w:rFonts w:hint="default"/>
        </w:rPr>
      </w:pPr>
      <w:r>
        <w:rPr>
          <w:rFonts w:cs="Times New Roman"/>
          <w:rtl/>
          <w:lang w:val="ar-SA"/>
        </w:rPr>
        <w:t>المحقق الآخوند قدس سره لم يذكر غير هذه الأقوال الأربعة ولكن ذكر صاحب المعالم قدس سره أن الأقوال في المسألة التي هي قابلة للبحث ثمانية وهناك وجوه أخرى شديدة الشذوذ واضحة الضعف لا حاجة للبحث عنها</w:t>
      </w:r>
      <w:r>
        <w:rPr>
          <w:rFonts w:ascii="Al Nile" w:hAnsi="Al Nile"/>
          <w:rtl/>
          <w:lang w:val="ar-SA"/>
        </w:rPr>
        <w:t>.</w:t>
      </w:r>
    </w:p>
    <w:p w:rsidR="001A50AC" w:rsidRDefault="003A7994" w:rsidP="003A7994">
      <w:pPr>
        <w:pStyle w:val="a5"/>
        <w:rPr>
          <w:rFonts w:hint="default"/>
        </w:rPr>
      </w:pP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shd w:val="clear" w:color="auto" w:fill="FFFFFF"/>
          <w:rtl/>
          <w:cs/>
        </w:rPr>
        <w:t xml:space="preserve">صيغة </w:t>
      </w:r>
      <w:r>
        <w:rPr>
          <w:rFonts w:ascii="Al Nile" w:hAnsi="Al Nile"/>
          <w:b/>
          <w:bCs/>
          <w:shd w:val="clear" w:color="auto" w:fill="FFFFFF"/>
        </w:rPr>
        <w:t xml:space="preserve">" </w:t>
      </w:r>
      <w:r>
        <w:rPr>
          <w:rFonts w:cs="Times New Roman"/>
          <w:b/>
          <w:bCs/>
          <w:shd w:val="clear" w:color="auto" w:fill="FFFFFF"/>
          <w:rtl/>
          <w:cs/>
        </w:rPr>
        <w:t xml:space="preserve">إفعل </w:t>
      </w:r>
      <w:r>
        <w:rPr>
          <w:rFonts w:ascii="Al Nile" w:hAnsi="Al Nile"/>
          <w:b/>
          <w:bCs/>
          <w:shd w:val="clear" w:color="auto" w:fill="FFFFFF"/>
        </w:rPr>
        <w:t xml:space="preserve">" </w:t>
      </w:r>
      <w:r>
        <w:rPr>
          <w:rFonts w:cs="Times New Roman"/>
          <w:b/>
          <w:bCs/>
          <w:shd w:val="clear" w:color="auto" w:fill="FFFFFF"/>
          <w:rtl/>
          <w:cs/>
        </w:rPr>
        <w:t>وما في معناها حقيقة في الوجوب فقط بحسب اللغة على الأقوى وفاقا لجمهور الأصوليين</w:t>
      </w:r>
      <w:r>
        <w:rPr>
          <w:rFonts w:ascii="Al Nile" w:hAnsi="Al Nile"/>
          <w:b/>
          <w:bCs/>
          <w:shd w:val="clear" w:color="auto" w:fill="FFFFFF"/>
        </w:rPr>
        <w:t xml:space="preserve">. </w:t>
      </w:r>
      <w:r>
        <w:rPr>
          <w:rFonts w:cs="Times New Roman"/>
          <w:b/>
          <w:bCs/>
          <w:shd w:val="clear" w:color="auto" w:fill="FFFFFF"/>
          <w:rtl/>
          <w:cs/>
        </w:rPr>
        <w:t>وقال قوم</w:t>
      </w:r>
      <w:r>
        <w:rPr>
          <w:rFonts w:ascii="Al Nile" w:hAnsi="Al Nile"/>
          <w:b/>
          <w:bCs/>
          <w:shd w:val="clear" w:color="auto" w:fill="FFFFFF"/>
        </w:rPr>
        <w:t xml:space="preserve">: </w:t>
      </w:r>
      <w:r>
        <w:rPr>
          <w:rFonts w:cs="Times New Roman"/>
          <w:b/>
          <w:bCs/>
          <w:shd w:val="clear" w:color="auto" w:fill="FFFFFF"/>
          <w:rtl/>
          <w:cs/>
        </w:rPr>
        <w:t>إنها حقيقة في الندب فقط</w:t>
      </w:r>
      <w:r>
        <w:rPr>
          <w:rFonts w:ascii="Al Nile" w:hAnsi="Al Nile"/>
          <w:b/>
          <w:bCs/>
          <w:shd w:val="clear" w:color="auto" w:fill="FFFFFF"/>
        </w:rPr>
        <w:t xml:space="preserve">. </w:t>
      </w:r>
      <w:r>
        <w:rPr>
          <w:rFonts w:cs="Times New Roman"/>
          <w:b/>
          <w:bCs/>
          <w:shd w:val="clear" w:color="auto" w:fill="FFFFFF"/>
          <w:rtl/>
          <w:cs/>
        </w:rPr>
        <w:t>وقيل</w:t>
      </w:r>
      <w:r>
        <w:rPr>
          <w:rFonts w:ascii="Al Nile" w:hAnsi="Al Nile"/>
          <w:b/>
          <w:bCs/>
          <w:shd w:val="clear" w:color="auto" w:fill="FFFFFF"/>
        </w:rPr>
        <w:t>:</w:t>
      </w:r>
      <w:r>
        <w:rPr>
          <w:rFonts w:ascii="Al Nile" w:hAnsi="Al Nile"/>
          <w:b/>
          <w:bCs/>
          <w:shd w:val="clear" w:color="auto" w:fill="FFFFFF"/>
          <w:rtl/>
          <w:lang w:val="ar-SA"/>
        </w:rPr>
        <w:t xml:space="preserve"> </w:t>
      </w:r>
      <w:r>
        <w:rPr>
          <w:rFonts w:cs="Times New Roman"/>
          <w:b/>
          <w:bCs/>
          <w:shd w:val="clear" w:color="auto" w:fill="FFFFFF"/>
          <w:rtl/>
          <w:cs/>
        </w:rPr>
        <w:t>في الطلب</w:t>
      </w:r>
      <w:r>
        <w:rPr>
          <w:b/>
          <w:bCs/>
          <w:shd w:val="clear" w:color="auto" w:fill="FFFFFF"/>
          <w:cs/>
        </w:rPr>
        <w:t xml:space="preserve">، </w:t>
      </w:r>
      <w:r>
        <w:rPr>
          <w:rFonts w:cs="Times New Roman"/>
          <w:b/>
          <w:bCs/>
          <w:shd w:val="clear" w:color="auto" w:fill="FFFFFF"/>
          <w:rtl/>
          <w:cs/>
        </w:rPr>
        <w:t>وهو</w:t>
      </w:r>
      <w:r>
        <w:rPr>
          <w:rFonts w:ascii="Al Nile" w:hAnsi="Al Nile"/>
          <w:b/>
          <w:bCs/>
          <w:shd w:val="clear" w:color="auto" w:fill="FFFFFF"/>
        </w:rPr>
        <w:t xml:space="preserve">: </w:t>
      </w:r>
      <w:r>
        <w:rPr>
          <w:rFonts w:cs="Times New Roman"/>
          <w:b/>
          <w:bCs/>
          <w:shd w:val="clear" w:color="auto" w:fill="FFFFFF"/>
          <w:rtl/>
          <w:cs/>
        </w:rPr>
        <w:t>القدر المشترك بين الوجوب والندب</w:t>
      </w:r>
      <w:r>
        <w:rPr>
          <w:rFonts w:ascii="Al Nile" w:hAnsi="Al Nile"/>
          <w:b/>
          <w:bCs/>
          <w:shd w:val="clear" w:color="auto" w:fill="FFFFFF"/>
        </w:rPr>
        <w:t>.</w:t>
      </w:r>
      <w:r>
        <w:rPr>
          <w:rFonts w:cs="Times New Roman"/>
          <w:b/>
          <w:bCs/>
          <w:shd w:val="clear" w:color="auto" w:fill="FFFFFF"/>
          <w:rtl/>
          <w:lang w:val="ar-SA"/>
        </w:rPr>
        <w:t xml:space="preserve"> وقال علم الهدى </w:t>
      </w:r>
      <w:r>
        <w:rPr>
          <w:rFonts w:cs="Times New Roman"/>
          <w:b/>
          <w:bCs/>
          <w:shd w:val="clear" w:color="auto" w:fill="FFFFFF"/>
          <w:rtl/>
          <w:cs/>
        </w:rPr>
        <w:t>رضي الله عنه</w:t>
      </w:r>
      <w:r>
        <w:rPr>
          <w:rFonts w:ascii="Al Nile" w:hAnsi="Al Nile"/>
          <w:b/>
          <w:bCs/>
          <w:shd w:val="clear" w:color="auto" w:fill="FFFFFF"/>
        </w:rPr>
        <w:t xml:space="preserve">: </w:t>
      </w:r>
      <w:r>
        <w:rPr>
          <w:rFonts w:cs="Times New Roman"/>
          <w:b/>
          <w:bCs/>
          <w:shd w:val="clear" w:color="auto" w:fill="FFFFFF"/>
          <w:rtl/>
          <w:cs/>
        </w:rPr>
        <w:t>إنها مشتركة بين الوجوب والندب اشتراکاً لفظياً في اللغة</w:t>
      </w:r>
      <w:r>
        <w:rPr>
          <w:b/>
          <w:bCs/>
          <w:shd w:val="clear" w:color="auto" w:fill="FFFFFF"/>
          <w:cs/>
        </w:rPr>
        <w:t xml:space="preserve">، </w:t>
      </w:r>
      <w:r>
        <w:rPr>
          <w:rFonts w:cs="Times New Roman"/>
          <w:b/>
          <w:bCs/>
          <w:shd w:val="clear" w:color="auto" w:fill="FFFFFF"/>
          <w:rtl/>
          <w:cs/>
        </w:rPr>
        <w:t>وأما في العرف الشرعي فهي حقيقة في الوجوب فقط</w:t>
      </w:r>
      <w:r>
        <w:rPr>
          <w:rFonts w:ascii="Al Nile" w:hAnsi="Al Nile"/>
          <w:b/>
          <w:bCs/>
          <w:shd w:val="clear" w:color="auto" w:fill="FFFFFF"/>
        </w:rPr>
        <w:t>.</w:t>
      </w:r>
      <w:r>
        <w:rPr>
          <w:rFonts w:ascii="Al Nile" w:hAnsi="Al Nile"/>
          <w:b/>
          <w:bCs/>
          <w:shd w:val="clear" w:color="auto" w:fill="FFFFFF"/>
          <w:rtl/>
          <w:lang w:val="ar-SA"/>
        </w:rPr>
        <w:t xml:space="preserve"> </w:t>
      </w:r>
      <w:r>
        <w:rPr>
          <w:rFonts w:cs="Times New Roman"/>
          <w:b/>
          <w:bCs/>
          <w:shd w:val="clear" w:color="auto" w:fill="FFFFFF"/>
          <w:rtl/>
          <w:cs/>
        </w:rPr>
        <w:t>وتوقف في ذلك قوم فلم يدروا</w:t>
      </w:r>
      <w:r>
        <w:rPr>
          <w:b/>
          <w:bCs/>
          <w:shd w:val="clear" w:color="auto" w:fill="FFFFFF"/>
          <w:cs/>
        </w:rPr>
        <w:t xml:space="preserve">، </w:t>
      </w:r>
      <w:r>
        <w:rPr>
          <w:rFonts w:cs="Times New Roman"/>
          <w:b/>
          <w:bCs/>
          <w:shd w:val="clear" w:color="auto" w:fill="FFFFFF"/>
          <w:rtl/>
          <w:cs/>
        </w:rPr>
        <w:t>أ</w:t>
      </w:r>
      <w:r>
        <w:rPr>
          <w:rFonts w:ascii="Al Nile" w:hAnsi="Al Nile"/>
          <w:b/>
          <w:bCs/>
          <w:shd w:val="clear" w:color="auto" w:fill="FFFFFF"/>
          <w:rtl/>
          <w:lang w:val="ar-SA"/>
        </w:rPr>
        <w:t xml:space="preserve"> </w:t>
      </w:r>
      <w:r>
        <w:rPr>
          <w:rFonts w:cs="Times New Roman"/>
          <w:b/>
          <w:bCs/>
          <w:shd w:val="clear" w:color="auto" w:fill="FFFFFF"/>
          <w:rtl/>
          <w:cs/>
        </w:rPr>
        <w:t>للوجوب هي أم للندب</w:t>
      </w:r>
      <w:r>
        <w:rPr>
          <w:rFonts w:ascii="Al Nile" w:hAnsi="Al Nile"/>
          <w:b/>
          <w:bCs/>
          <w:shd w:val="clear" w:color="auto" w:fill="FFFFFF"/>
        </w:rPr>
        <w:t xml:space="preserve">. </w:t>
      </w:r>
      <w:r>
        <w:rPr>
          <w:rFonts w:cs="Times New Roman"/>
          <w:b/>
          <w:bCs/>
          <w:shd w:val="clear" w:color="auto" w:fill="FFFFFF"/>
          <w:rtl/>
          <w:cs/>
        </w:rPr>
        <w:t>وقيل</w:t>
      </w:r>
      <w:r>
        <w:rPr>
          <w:rFonts w:ascii="Al Nile" w:hAnsi="Al Nile"/>
          <w:b/>
          <w:bCs/>
          <w:shd w:val="clear" w:color="auto" w:fill="FFFFFF"/>
        </w:rPr>
        <w:t xml:space="preserve">: </w:t>
      </w:r>
      <w:r>
        <w:rPr>
          <w:rFonts w:cs="Times New Roman"/>
          <w:b/>
          <w:bCs/>
          <w:shd w:val="clear" w:color="auto" w:fill="FFFFFF"/>
          <w:rtl/>
          <w:cs/>
        </w:rPr>
        <w:t>هي مشتركة بين ثلاثة أشياء</w:t>
      </w:r>
      <w:r>
        <w:rPr>
          <w:rFonts w:ascii="Al Nile" w:hAnsi="Al Nile"/>
          <w:b/>
          <w:bCs/>
          <w:shd w:val="clear" w:color="auto" w:fill="FFFFFF"/>
        </w:rPr>
        <w:t>:</w:t>
      </w:r>
      <w:r>
        <w:rPr>
          <w:rFonts w:ascii="Al Nile" w:hAnsi="Al Nile"/>
          <w:b/>
          <w:bCs/>
          <w:shd w:val="clear" w:color="auto" w:fill="FFFFFF"/>
          <w:rtl/>
          <w:lang w:val="ar-SA"/>
        </w:rPr>
        <w:t xml:space="preserve"> </w:t>
      </w:r>
      <w:r>
        <w:rPr>
          <w:rFonts w:cs="Times New Roman"/>
          <w:b/>
          <w:bCs/>
          <w:shd w:val="clear" w:color="auto" w:fill="FFFFFF"/>
          <w:rtl/>
          <w:cs/>
        </w:rPr>
        <w:t>الوجوب</w:t>
      </w:r>
      <w:r>
        <w:rPr>
          <w:b/>
          <w:bCs/>
          <w:shd w:val="clear" w:color="auto" w:fill="FFFFFF"/>
          <w:cs/>
        </w:rPr>
        <w:t xml:space="preserve">، </w:t>
      </w:r>
      <w:r>
        <w:rPr>
          <w:rFonts w:cs="Times New Roman"/>
          <w:b/>
          <w:bCs/>
          <w:shd w:val="clear" w:color="auto" w:fill="FFFFFF"/>
          <w:rtl/>
          <w:cs/>
        </w:rPr>
        <w:t>والندب</w:t>
      </w:r>
      <w:r>
        <w:rPr>
          <w:b/>
          <w:bCs/>
          <w:shd w:val="clear" w:color="auto" w:fill="FFFFFF"/>
          <w:cs/>
        </w:rPr>
        <w:t xml:space="preserve">، </w:t>
      </w:r>
      <w:r>
        <w:rPr>
          <w:rFonts w:cs="Times New Roman"/>
          <w:b/>
          <w:bCs/>
          <w:shd w:val="clear" w:color="auto" w:fill="FFFFFF"/>
          <w:rtl/>
          <w:cs/>
        </w:rPr>
        <w:t>والإباحة</w:t>
      </w:r>
      <w:r>
        <w:rPr>
          <w:rFonts w:ascii="Al Nile" w:hAnsi="Al Nile"/>
          <w:b/>
          <w:bCs/>
          <w:shd w:val="clear" w:color="auto" w:fill="FFFFFF"/>
        </w:rPr>
        <w:t xml:space="preserve">. </w:t>
      </w:r>
      <w:r>
        <w:rPr>
          <w:rFonts w:cs="Times New Roman"/>
          <w:b/>
          <w:bCs/>
          <w:shd w:val="clear" w:color="auto" w:fill="FFFFFF"/>
          <w:rtl/>
          <w:cs/>
        </w:rPr>
        <w:t>وقيل</w:t>
      </w:r>
      <w:r>
        <w:rPr>
          <w:rFonts w:ascii="Al Nile" w:hAnsi="Al Nile"/>
          <w:b/>
          <w:bCs/>
          <w:shd w:val="clear" w:color="auto" w:fill="FFFFFF"/>
        </w:rPr>
        <w:t xml:space="preserve">: </w:t>
      </w:r>
      <w:r>
        <w:rPr>
          <w:rFonts w:cs="Times New Roman"/>
          <w:b/>
          <w:bCs/>
          <w:shd w:val="clear" w:color="auto" w:fill="FFFFFF"/>
          <w:rtl/>
          <w:cs/>
        </w:rPr>
        <w:t xml:space="preserve">هي للقدر المشترك بين هذه الثلاثة وهو </w:t>
      </w:r>
      <w:r>
        <w:rPr>
          <w:rFonts w:cs="Times New Roman"/>
          <w:b/>
          <w:bCs/>
          <w:shd w:val="clear" w:color="auto" w:fill="FFFFFF"/>
          <w:rtl/>
          <w:lang w:val="ar-SA"/>
        </w:rPr>
        <w:t>الإذن</w:t>
      </w:r>
      <w:r>
        <w:rPr>
          <w:rFonts w:ascii="Al Nile" w:hAnsi="Al Nile"/>
          <w:b/>
          <w:bCs/>
          <w:shd w:val="clear" w:color="auto" w:fill="FFFFFF"/>
        </w:rPr>
        <w:t xml:space="preserve">. </w:t>
      </w:r>
      <w:r>
        <w:rPr>
          <w:rFonts w:cs="Times New Roman"/>
          <w:b/>
          <w:bCs/>
          <w:shd w:val="clear" w:color="auto" w:fill="FFFFFF"/>
          <w:rtl/>
          <w:cs/>
        </w:rPr>
        <w:t>وزعم قوم</w:t>
      </w:r>
      <w:r>
        <w:rPr>
          <w:rFonts w:ascii="Al Nile" w:hAnsi="Al Nile"/>
          <w:b/>
          <w:bCs/>
          <w:shd w:val="clear" w:color="auto" w:fill="FFFFFF"/>
        </w:rPr>
        <w:t xml:space="preserve">: </w:t>
      </w:r>
      <w:r>
        <w:rPr>
          <w:rFonts w:cs="Times New Roman"/>
          <w:b/>
          <w:bCs/>
          <w:shd w:val="clear" w:color="auto" w:fill="FFFFFF"/>
          <w:rtl/>
          <w:cs/>
        </w:rPr>
        <w:t>أنها مشتركة بين أربعة أمور</w:t>
      </w:r>
      <w:r>
        <w:rPr>
          <w:b/>
          <w:bCs/>
          <w:shd w:val="clear" w:color="auto" w:fill="FFFFFF"/>
          <w:cs/>
        </w:rPr>
        <w:t xml:space="preserve">، </w:t>
      </w:r>
      <w:r>
        <w:rPr>
          <w:rFonts w:cs="Times New Roman"/>
          <w:b/>
          <w:bCs/>
          <w:shd w:val="clear" w:color="auto" w:fill="FFFFFF"/>
          <w:rtl/>
          <w:cs/>
        </w:rPr>
        <w:t>وهي الثلاثة السابقة</w:t>
      </w:r>
      <w:r>
        <w:rPr>
          <w:b/>
          <w:bCs/>
          <w:shd w:val="clear" w:color="auto" w:fill="FFFFFF"/>
          <w:cs/>
        </w:rPr>
        <w:t xml:space="preserve">، </w:t>
      </w:r>
      <w:r>
        <w:rPr>
          <w:rFonts w:cs="Times New Roman"/>
          <w:b/>
          <w:bCs/>
          <w:shd w:val="clear" w:color="auto" w:fill="FFFFFF"/>
          <w:rtl/>
          <w:cs/>
        </w:rPr>
        <w:t>والتهديد وقيل فيها أشياء أخر</w:t>
      </w:r>
      <w:r>
        <w:rPr>
          <w:b/>
          <w:bCs/>
          <w:shd w:val="clear" w:color="auto" w:fill="FFFFFF"/>
          <w:cs/>
        </w:rPr>
        <w:t xml:space="preserve">، </w:t>
      </w:r>
      <w:r>
        <w:rPr>
          <w:rFonts w:cs="Times New Roman"/>
          <w:b/>
          <w:bCs/>
          <w:shd w:val="clear" w:color="auto" w:fill="FFFFFF"/>
          <w:rtl/>
          <w:cs/>
        </w:rPr>
        <w:t>لكنها شديدة الشذوذ</w:t>
      </w:r>
      <w:r>
        <w:rPr>
          <w:b/>
          <w:bCs/>
          <w:shd w:val="clear" w:color="auto" w:fill="FFFFFF"/>
          <w:cs/>
        </w:rPr>
        <w:t xml:space="preserve">، </w:t>
      </w:r>
      <w:r>
        <w:rPr>
          <w:rFonts w:cs="Times New Roman"/>
          <w:b/>
          <w:bCs/>
          <w:shd w:val="clear" w:color="auto" w:fill="FFFFFF"/>
          <w:rtl/>
          <w:cs/>
        </w:rPr>
        <w:t>بينة الوهن</w:t>
      </w:r>
      <w:r>
        <w:rPr>
          <w:b/>
          <w:bCs/>
          <w:shd w:val="clear" w:color="auto" w:fill="FFFFFF"/>
          <w:cs/>
        </w:rPr>
        <w:t xml:space="preserve">، </w:t>
      </w:r>
      <w:r>
        <w:rPr>
          <w:rFonts w:cs="Times New Roman"/>
          <w:b/>
          <w:bCs/>
          <w:shd w:val="clear" w:color="auto" w:fill="FFFFFF"/>
          <w:rtl/>
          <w:cs/>
        </w:rPr>
        <w:t>فلا جدوى في التعرض لنقلها</w:t>
      </w:r>
      <w:r>
        <w:rPr>
          <w:rFonts w:ascii="Al Nile" w:hAnsi="Al Nile"/>
          <w:b/>
          <w:bCs/>
          <w:shd w:val="clear" w:color="auto" w:fill="FFFFFF"/>
        </w:rPr>
        <w:t>.</w:t>
      </w:r>
      <w:r>
        <w:rPr>
          <w:rFonts w:ascii="Al Nile" w:hAnsi="Al Nile"/>
          <w:b/>
          <w:bCs/>
          <w:shd w:val="clear" w:color="auto" w:fill="FFFFFF"/>
          <w:rtl/>
          <w:lang w:val="ar-SA"/>
        </w:rPr>
        <w:t>)</w:t>
      </w:r>
    </w:p>
    <w:p w:rsidR="001A50AC" w:rsidRDefault="003A7994">
      <w:pPr>
        <w:pStyle w:val="a5"/>
        <w:rPr>
          <w:rFonts w:hint="default"/>
        </w:rPr>
      </w:pPr>
      <w:r>
        <w:rPr>
          <w:rFonts w:cs="Times New Roman"/>
          <w:rtl/>
          <w:lang w:val="ar-SA"/>
        </w:rPr>
        <w:lastRenderedPageBreak/>
        <w:t>كيف كان ما ذكره المحقق الآخوند قدس سره الأقوال الأربعة واختار منها القول الأول وهو كون صيغة الأمر حقيقةً في خصوص الوجوب كما اختار في مادة الأمر أيضاً وضعها لخصوص الطلب الوجوبي</w:t>
      </w:r>
      <w:r>
        <w:rPr>
          <w:rFonts w:ascii="Al Nile" w:hAnsi="Al Nile"/>
          <w:rtl/>
          <w:lang w:val="ar-SA"/>
        </w:rPr>
        <w:t>.</w:t>
      </w:r>
    </w:p>
    <w:p w:rsidR="001A50AC" w:rsidRDefault="003A7994">
      <w:pPr>
        <w:pStyle w:val="a5"/>
        <w:rPr>
          <w:rFonts w:hint="default"/>
          <w:b/>
          <w:bCs/>
        </w:rPr>
      </w:pPr>
      <w:r>
        <w:rPr>
          <w:rFonts w:cs="Times New Roman"/>
          <w:rtl/>
          <w:lang w:val="ar-SA"/>
        </w:rPr>
        <w:t>ذكر لإثبات مختاره دليلاً ومؤيداً</w:t>
      </w:r>
      <w:r>
        <w:rPr>
          <w:rFonts w:ascii="Al Nile" w:hAnsi="Al Nile"/>
          <w:rtl/>
          <w:lang w:val="ar-SA"/>
        </w:rPr>
        <w:t xml:space="preserve">. </w:t>
      </w:r>
      <w:r>
        <w:rPr>
          <w:rFonts w:cs="Times New Roman"/>
          <w:rtl/>
          <w:lang w:val="ar-SA"/>
        </w:rPr>
        <w:t>الدليل هو التبادر حيث إن المتبادر من صيغة الأمر عند الاستعمال بلا قرينة هو الطلب الوجوبي والمخاطب ملزَم به ليس له مجال المخالفة كما استدل في مادة الأمر أيضاً بالتبادر</w:t>
      </w:r>
      <w:r>
        <w:rPr>
          <w:rFonts w:ascii="Al Nile" w:hAnsi="Al Nile"/>
          <w:rtl/>
          <w:lang w:val="ar-SA"/>
        </w:rPr>
        <w:t xml:space="preserve">. </w:t>
      </w: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rtl/>
          <w:cs/>
        </w:rPr>
        <w:t>لا يبعد تبادر الوجوب عند استعمالها بلا قرينة</w:t>
      </w:r>
      <w:r>
        <w:rPr>
          <w:rFonts w:ascii="Al Nile" w:hAnsi="Al Nile" w:hint="default"/>
          <w:b/>
          <w:bCs/>
          <w:rtl/>
          <w:lang w:val="ar-SA"/>
        </w:rPr>
        <w:t xml:space="preserve"> …</w:t>
      </w:r>
      <w:r>
        <w:rPr>
          <w:rFonts w:ascii="Al Nile" w:hAnsi="Al Nile"/>
          <w:b/>
          <w:bCs/>
          <w:rtl/>
          <w:lang w:val="ar-SA"/>
        </w:rPr>
        <w:t>)</w:t>
      </w:r>
    </w:p>
    <w:p w:rsidR="001A50AC" w:rsidRDefault="003A7994">
      <w:pPr>
        <w:pStyle w:val="a5"/>
        <w:rPr>
          <w:rFonts w:hint="default"/>
        </w:rPr>
      </w:pPr>
      <w:r>
        <w:rPr>
          <w:rFonts w:cs="Times New Roman"/>
          <w:rtl/>
          <w:lang w:val="ar-SA"/>
        </w:rPr>
        <w:t>والمؤيّد أن المولى إذا أمر عبده لا يصح عند العقلاء أن يعتذر العبد للمخالفة باحتماله إرادة الندب</w:t>
      </w:r>
      <w:r>
        <w:rPr>
          <w:rFonts w:ascii="Al Nile" w:hAnsi="Al Nile"/>
          <w:rtl/>
          <w:lang w:val="ar-SA"/>
        </w:rPr>
        <w:t xml:space="preserve">. </w:t>
      </w: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rtl/>
          <w:cs/>
        </w:rPr>
        <w:t>ويؤيده عدم صحة الاعتذار عن المخالفة باحتمال إرادة الندب</w:t>
      </w:r>
      <w:r>
        <w:rPr>
          <w:rFonts w:ascii="Al Nile" w:hAnsi="Al Nile"/>
          <w:b/>
          <w:bCs/>
          <w:rtl/>
          <w:lang w:val="ar-SA"/>
        </w:rPr>
        <w:t xml:space="preserve"> </w:t>
      </w:r>
      <w:r>
        <w:rPr>
          <w:rFonts w:cs="Times New Roman"/>
          <w:b/>
          <w:bCs/>
          <w:rtl/>
          <w:cs/>
        </w:rPr>
        <w:t>مع الاعتراف بعدم دلالته عليه بحال أو مقال</w:t>
      </w:r>
      <w:r>
        <w:rPr>
          <w:rFonts w:ascii="Al Nile" w:hAnsi="Al Nile"/>
          <w:b/>
          <w:bCs/>
          <w:rtl/>
          <w:lang w:val="ar-SA"/>
        </w:rPr>
        <w:t xml:space="preserve">.) </w:t>
      </w:r>
      <w:r>
        <w:rPr>
          <w:rFonts w:cs="Times New Roman"/>
          <w:rtl/>
          <w:lang w:val="ar-SA"/>
        </w:rPr>
        <w:t>وذكر هذا المؤيد في مادة الأمر حيث ذكر من المؤيدات صحة احتجاج المولى على العبد ومؤاخذته بمجرد المخالفة</w:t>
      </w:r>
      <w:r>
        <w:rPr>
          <w:rFonts w:ascii="Al Nile" w:hAnsi="Al Nile"/>
          <w:rtl/>
          <w:lang w:val="ar-SA"/>
        </w:rPr>
        <w:t>.</w:t>
      </w:r>
    </w:p>
    <w:p w:rsidR="001A50AC" w:rsidRDefault="003A7994">
      <w:pPr>
        <w:pStyle w:val="a5"/>
        <w:rPr>
          <w:rFonts w:hint="default"/>
        </w:rPr>
      </w:pPr>
      <w:r>
        <w:rPr>
          <w:rFonts w:cs="Times New Roman"/>
          <w:rtl/>
          <w:lang w:val="ar-SA"/>
        </w:rPr>
        <w:t>لكن لماذا ذكر ذلك بعنوان المؤيد لا الدليل؟ الوجه فيه أن صحة احتجاج المولى على العبد بمجرد المخالفة وعدم صحة اعتذار العبد باحتمال الندب وإن دلّت على ظهور صيغة الأمر ومادته في الوجوب لكن لا تدل على أن الظهور من جهة الدلالة الوضعية أو من جهة أخرى فهو لازم أعم لا يعيّن أحد الاحتمالات فهو يصلح دليلاً على أصل الدلالة على الطلب الوجوبي لا على خصوص الدلالة الوضعية</w:t>
      </w:r>
      <w:r>
        <w:rPr>
          <w:rFonts w:ascii="Al Nile" w:hAnsi="Al Nile"/>
          <w:rtl/>
          <w:lang w:val="ar-SA"/>
        </w:rPr>
        <w:t>.</w:t>
      </w:r>
    </w:p>
    <w:p w:rsidR="001A50AC" w:rsidRDefault="003A7994">
      <w:pPr>
        <w:pStyle w:val="a5"/>
        <w:rPr>
          <w:rFonts w:hint="default"/>
        </w:rPr>
      </w:pPr>
      <w:r>
        <w:rPr>
          <w:rFonts w:cs="Times New Roman"/>
          <w:rtl/>
          <w:lang w:val="ar-SA"/>
        </w:rPr>
        <w:t>ثم تعرّض قدس سره لكلام صاحب المعالم قدس سره ومناقشته</w:t>
      </w:r>
      <w:r>
        <w:rPr>
          <w:rFonts w:ascii="Al Nile" w:hAnsi="Al Nile"/>
          <w:rtl/>
          <w:lang w:val="ar-SA"/>
        </w:rPr>
        <w:t>.</w:t>
      </w:r>
    </w:p>
    <w:p w:rsidR="001A50AC" w:rsidRDefault="003A7994" w:rsidP="003A7994">
      <w:pPr>
        <w:pStyle w:val="a5"/>
        <w:rPr>
          <w:rFonts w:hint="default"/>
        </w:rPr>
      </w:pPr>
      <w:r>
        <w:rPr>
          <w:rFonts w:cs="Times New Roman"/>
          <w:rtl/>
          <w:lang w:val="ar-SA"/>
        </w:rPr>
        <w:t xml:space="preserve">ذكر صاحب المعالم قدس سره </w:t>
      </w:r>
      <w:r>
        <w:rPr>
          <w:rFonts w:ascii="Al Nile" w:hAnsi="Al Nile"/>
          <w:rtl/>
          <w:lang w:val="ar-SA"/>
        </w:rPr>
        <w:t xml:space="preserve">- </w:t>
      </w:r>
      <w:r>
        <w:rPr>
          <w:rFonts w:cs="Times New Roman"/>
          <w:rtl/>
          <w:lang w:val="ar-SA"/>
        </w:rPr>
        <w:t xml:space="preserve">بعد اختيار القول الأول وردّ باقي الأقوال </w:t>
      </w:r>
      <w:r>
        <w:rPr>
          <w:rFonts w:ascii="Al Nile" w:hAnsi="Al Nile"/>
          <w:rtl/>
          <w:lang w:val="ar-SA"/>
        </w:rPr>
        <w:t xml:space="preserve">- </w:t>
      </w:r>
      <w:r>
        <w:rPr>
          <w:rFonts w:cs="Times New Roman"/>
          <w:rtl/>
          <w:lang w:val="ar-SA"/>
        </w:rPr>
        <w:t>مطلباً بعنوان الفائدة</w:t>
      </w:r>
      <w:r>
        <w:rPr>
          <w:rFonts w:ascii="Al Nile" w:hAnsi="Al Nile"/>
          <w:rtl/>
          <w:lang w:val="ar-SA"/>
        </w:rPr>
        <w:t xml:space="preserve">. </w:t>
      </w: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shd w:val="clear" w:color="auto" w:fill="FFFFFF"/>
          <w:rtl/>
          <w:cs/>
        </w:rPr>
        <w:t>فائدة</w:t>
      </w:r>
      <w:r>
        <w:rPr>
          <w:rFonts w:ascii="Al Nile" w:hAnsi="Al Nile"/>
          <w:b/>
          <w:bCs/>
          <w:shd w:val="clear" w:color="auto" w:fill="FFFFFF"/>
          <w:rtl/>
          <w:lang w:val="ar-SA"/>
        </w:rPr>
        <w:t xml:space="preserve">: </w:t>
      </w:r>
      <w:r>
        <w:rPr>
          <w:rFonts w:cs="Times New Roman"/>
          <w:b/>
          <w:bCs/>
          <w:shd w:val="clear" w:color="auto" w:fill="FFFFFF"/>
          <w:rtl/>
          <w:lang w:val="ar-SA"/>
        </w:rPr>
        <w:t>يستفاد من تضاعيف</w:t>
      </w:r>
      <w:r>
        <w:rPr>
          <w:rFonts w:cs="Times New Roman"/>
          <w:b/>
          <w:bCs/>
          <w:shd w:val="clear" w:color="auto" w:fill="FFFFFF"/>
          <w:rtl/>
          <w:cs/>
        </w:rPr>
        <w:t xml:space="preserve"> أحاديثنا المروية عن الأئمة عليهم السلام أن استعمال صيغة </w:t>
      </w:r>
      <w:r>
        <w:rPr>
          <w:rFonts w:cs="Times New Roman"/>
          <w:b/>
          <w:bCs/>
          <w:shd w:val="clear" w:color="auto" w:fill="FFFFFF"/>
          <w:rtl/>
          <w:lang w:val="ar-SA"/>
        </w:rPr>
        <w:t>الأمر</w:t>
      </w:r>
      <w:r>
        <w:rPr>
          <w:rFonts w:cs="Times New Roman"/>
          <w:b/>
          <w:bCs/>
          <w:shd w:val="clear" w:color="auto" w:fill="FFFFFF"/>
          <w:rtl/>
          <w:cs/>
        </w:rPr>
        <w:t xml:space="preserve"> في الندب كان شايعاً  في عرفهم</w:t>
      </w:r>
      <w:r>
        <w:rPr>
          <w:b/>
          <w:bCs/>
          <w:shd w:val="clear" w:color="auto" w:fill="FFFFFF"/>
          <w:cs/>
        </w:rPr>
        <w:t xml:space="preserve">، </w:t>
      </w:r>
      <w:r>
        <w:rPr>
          <w:rFonts w:cs="Times New Roman"/>
          <w:b/>
          <w:bCs/>
          <w:shd w:val="clear" w:color="auto" w:fill="FFFFFF"/>
          <w:rtl/>
          <w:cs/>
        </w:rPr>
        <w:t>بحيث صار من المجازات الراجحة المساوي احتمالها من اللفظ لاحتمال الحقيقة عند انتفاء المرجح الخارجي</w:t>
      </w:r>
      <w:r>
        <w:rPr>
          <w:b/>
          <w:bCs/>
          <w:shd w:val="clear" w:color="auto" w:fill="FFFFFF"/>
          <w:cs/>
        </w:rPr>
        <w:t xml:space="preserve">، </w:t>
      </w:r>
      <w:r>
        <w:rPr>
          <w:rFonts w:cs="Times New Roman"/>
          <w:b/>
          <w:bCs/>
          <w:shd w:val="clear" w:color="auto" w:fill="FFFFFF"/>
          <w:rtl/>
          <w:cs/>
        </w:rPr>
        <w:t xml:space="preserve">فيشكل التعلق في إثبات وجوب أمر بمجرد ورود </w:t>
      </w:r>
      <w:r>
        <w:rPr>
          <w:rFonts w:cs="Times New Roman"/>
          <w:b/>
          <w:bCs/>
          <w:shd w:val="clear" w:color="auto" w:fill="FFFFFF"/>
          <w:rtl/>
          <w:lang w:val="ar-SA"/>
        </w:rPr>
        <w:t>الأمر</w:t>
      </w:r>
      <w:r>
        <w:rPr>
          <w:rFonts w:cs="Times New Roman"/>
          <w:b/>
          <w:bCs/>
          <w:shd w:val="clear" w:color="auto" w:fill="FFFFFF"/>
          <w:rtl/>
          <w:cs/>
        </w:rPr>
        <w:t xml:space="preserve"> به منهم عليهم السلام</w:t>
      </w:r>
      <w:r>
        <w:rPr>
          <w:rFonts w:ascii="Al Nile" w:hAnsi="Al Nile"/>
          <w:b/>
          <w:bCs/>
          <w:shd w:val="clear" w:color="auto" w:fill="FFFFFF"/>
        </w:rPr>
        <w:t>.</w:t>
      </w:r>
      <w:r>
        <w:rPr>
          <w:rFonts w:ascii="Al Nile" w:hAnsi="Al Nile"/>
          <w:b/>
          <w:bCs/>
          <w:shd w:val="clear" w:color="auto" w:fill="FFFFFF"/>
          <w:rtl/>
          <w:lang w:val="ar-SA"/>
        </w:rPr>
        <w:t>)</w:t>
      </w:r>
    </w:p>
    <w:p w:rsidR="001A50AC" w:rsidRDefault="003A7994" w:rsidP="003A7994">
      <w:pPr>
        <w:pStyle w:val="a5"/>
        <w:rPr>
          <w:rFonts w:hint="default"/>
        </w:rPr>
      </w:pPr>
      <w:r>
        <w:rPr>
          <w:rFonts w:cs="Times New Roman"/>
          <w:rtl/>
          <w:lang w:val="ar-SA"/>
        </w:rPr>
        <w:t>المحقق الآخوند قدس سره في مقام المناقشة في هذا المطلب وسّعه حيث ذكر كثرة استعمال صيغة الأمر في الندب في الكتاب والسنة وغيرهما فإن صيغة الأمر وإن كان حقيقةً في خصوص الوجوب لكن كثر استعمالها في الندب وصارت مجازاً مشهوراً وفي دوران الأمر بين إرادة المعنى الحقيقي والمعنى المجازي المشهور إما أن يقال بتقديم المجاز المشهور أو بالإجمال وعدم إمكان حمل اللفظ على أحد المعنيين</w:t>
      </w:r>
      <w:r>
        <w:rPr>
          <w:rFonts w:ascii="Al Nile" w:hAnsi="Al Nile"/>
          <w:rtl/>
          <w:lang w:val="ar-SA"/>
        </w:rPr>
        <w:t>.</w:t>
      </w:r>
    </w:p>
    <w:p w:rsidR="001A50AC" w:rsidRDefault="003A7994">
      <w:pPr>
        <w:pStyle w:val="a5"/>
        <w:rPr>
          <w:rFonts w:hint="default"/>
        </w:rPr>
      </w:pPr>
      <w:r>
        <w:rPr>
          <w:rFonts w:cs="Times New Roman"/>
          <w:rtl/>
          <w:lang w:val="ar-SA"/>
        </w:rPr>
        <w:t>وهذا في الحقيقة إشكال على حمل صيغة الأمر على الوجوب وأجاب المحقق الآخوند قدس سره عنه بأن المقام ليس من موارد دوران الأمر بين الحقيقة والمجاز المشهور لوجهين</w:t>
      </w:r>
      <w:r>
        <w:rPr>
          <w:rFonts w:ascii="Al Nile" w:hAnsi="Al Nile"/>
          <w:rtl/>
          <w:lang w:val="ar-SA"/>
        </w:rPr>
        <w:t>:</w:t>
      </w:r>
    </w:p>
    <w:p w:rsidR="001A50AC" w:rsidRDefault="003A7994">
      <w:pPr>
        <w:pStyle w:val="a5"/>
        <w:rPr>
          <w:rFonts w:hint="default"/>
        </w:rPr>
      </w:pPr>
      <w:r>
        <w:rPr>
          <w:rFonts w:cs="Times New Roman"/>
          <w:rtl/>
          <w:lang w:val="ar-SA"/>
        </w:rPr>
        <w:lastRenderedPageBreak/>
        <w:t>الأول</w:t>
      </w:r>
      <w:r>
        <w:rPr>
          <w:rFonts w:ascii="Al Nile" w:hAnsi="Al Nile"/>
          <w:rtl/>
          <w:lang w:val="ar-SA"/>
        </w:rPr>
        <w:t xml:space="preserve">: </w:t>
      </w:r>
      <w:r>
        <w:rPr>
          <w:rFonts w:cs="Times New Roman"/>
          <w:rtl/>
          <w:lang w:val="ar-SA"/>
        </w:rPr>
        <w:t>أن صيغة الأمر وإن كثر استعمالها في الندب ولكن ليس معنى ذلك ندرة استعمالها في الوجوب بل كما تستعمل كثيراً في الندب تستعمل كثيراً في الوجوب فلا توجب كثرة استعمالها في الندب نقلها إلى الندب وهجر المعنى الأول ولا توجب أيضاً صيرورة الندب مجازاً مشهوراً لأن المجاز المشهور فيما إذا صار المعنى المجازي أكثر استعمالاً بحيث يكون الاستعمال في المعنى الحقيقي نادراً فليس المقام من موارد النقل ولا المجاز المشهور</w:t>
      </w:r>
      <w:r>
        <w:rPr>
          <w:rFonts w:ascii="Al Nile" w:hAnsi="Al Nile"/>
          <w:rtl/>
          <w:lang w:val="ar-SA"/>
        </w:rPr>
        <w:t>.</w:t>
      </w:r>
    </w:p>
    <w:p w:rsidR="001A50AC" w:rsidRDefault="003A7994" w:rsidP="00B22CEB">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وكثرة الاستعمال فيه في الكتاب والسنة وغيرهما لا يوجب نقله إليه أو حمله عليه</w:t>
      </w:r>
      <w:r>
        <w:rPr>
          <w:b/>
          <w:bCs/>
          <w:cs/>
        </w:rPr>
        <w:t xml:space="preserve">، </w:t>
      </w:r>
      <w:r>
        <w:rPr>
          <w:rFonts w:cs="Times New Roman"/>
          <w:b/>
          <w:bCs/>
          <w:rtl/>
          <w:cs/>
        </w:rPr>
        <w:t>لكثرة استعماله في الوجوب أ</w:t>
      </w:r>
      <w:proofErr w:type="spellStart"/>
      <w:r w:rsidR="00B22CEB">
        <w:rPr>
          <w:rFonts w:cs="Times New Roman"/>
          <w:b/>
          <w:bCs/>
          <w:rtl/>
          <w:lang w:bidi="fa-IR"/>
        </w:rPr>
        <w:t>يضاً</w:t>
      </w:r>
      <w:proofErr w:type="spellEnd"/>
      <w:r w:rsidR="00B22CEB">
        <w:rPr>
          <w:rFonts w:cs="Times New Roman"/>
          <w:b/>
          <w:bCs/>
          <w:rtl/>
          <w:lang w:bidi="fa-IR"/>
        </w:rPr>
        <w:t xml:space="preserve"> </w:t>
      </w:r>
      <w:r>
        <w:rPr>
          <w:rFonts w:ascii="Al Nile" w:hAnsi="Al Nile" w:hint="default"/>
          <w:b/>
          <w:bCs/>
          <w:rtl/>
          <w:lang w:val="ar-SA"/>
        </w:rPr>
        <w:t>…</w:t>
      </w:r>
      <w:r>
        <w:rPr>
          <w:rFonts w:ascii="Al Nile" w:hAnsi="Al Nile"/>
          <w:b/>
          <w:bCs/>
          <w:rtl/>
          <w:lang w:val="ar-SA"/>
        </w:rPr>
        <w:t>)</w:t>
      </w:r>
    </w:p>
    <w:p w:rsidR="001A50AC" w:rsidRDefault="003A7994" w:rsidP="00B22CEB">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لو سلمنا أن كثرة الاستعمال في الندب فقط لكن هذه الكثرة في الاستعمال لا توجب صيرورة الندب مجازاً مشهوراً وذلك لأن كثرة الاستعمال في المعنى المجازي التي توجب مشهورية المجاز ما إذا لم تكن الاستعمالات المتكثرة بقرينة م</w:t>
      </w:r>
      <w:r w:rsidR="00B22CEB">
        <w:rPr>
          <w:rFonts w:cs="Times New Roman"/>
          <w:rtl/>
          <w:lang w:val="ar-SA"/>
        </w:rPr>
        <w:t>صحوب</w:t>
      </w:r>
      <w:r>
        <w:rPr>
          <w:rFonts w:cs="Times New Roman"/>
          <w:rtl/>
          <w:lang w:val="ar-SA"/>
        </w:rPr>
        <w:t>ة ومراده بالقرينة الم</w:t>
      </w:r>
      <w:r w:rsidR="00B22CEB">
        <w:rPr>
          <w:rFonts w:cs="Times New Roman"/>
          <w:rtl/>
          <w:lang w:val="ar-SA"/>
        </w:rPr>
        <w:t>صح</w:t>
      </w:r>
      <w:r>
        <w:rPr>
          <w:rFonts w:cs="Times New Roman"/>
          <w:rtl/>
          <w:lang w:val="ar-SA"/>
        </w:rPr>
        <w:t>و</w:t>
      </w:r>
      <w:r w:rsidR="00B22CEB">
        <w:rPr>
          <w:rFonts w:cs="Times New Roman"/>
          <w:rtl/>
          <w:lang w:val="ar-SA"/>
        </w:rPr>
        <w:t>ب</w:t>
      </w:r>
      <w:r>
        <w:rPr>
          <w:rFonts w:cs="Times New Roman"/>
          <w:rtl/>
          <w:lang w:val="ar-SA"/>
        </w:rPr>
        <w:t>ة كما فُسّر في الكلمات القرينة المتصلة فإذا كثر الاستعمال في المعنى المجازي مع القرينة المتصلة لا ي</w:t>
      </w:r>
      <w:r w:rsidR="00B22CEB">
        <w:rPr>
          <w:rFonts w:cs="Times New Roman"/>
          <w:rtl/>
          <w:lang w:val="ar-SA"/>
        </w:rPr>
        <w:t xml:space="preserve">تحقق </w:t>
      </w:r>
      <w:r>
        <w:rPr>
          <w:rFonts w:cs="Times New Roman"/>
          <w:rtl/>
          <w:lang w:val="ar-SA"/>
        </w:rPr>
        <w:t xml:space="preserve">المجاز </w:t>
      </w:r>
      <w:r w:rsidR="00B22CEB">
        <w:rPr>
          <w:rFonts w:cs="Times New Roman"/>
          <w:rtl/>
          <w:lang w:val="ar-SA"/>
        </w:rPr>
        <w:t>ال</w:t>
      </w:r>
      <w:r>
        <w:rPr>
          <w:rFonts w:cs="Times New Roman"/>
          <w:rtl/>
          <w:lang w:val="ar-SA"/>
        </w:rPr>
        <w:t xml:space="preserve">مشهور وإذا كثر مع القرينة المنفصلة </w:t>
      </w:r>
      <w:r w:rsidR="00B22CEB">
        <w:rPr>
          <w:rFonts w:cs="Times New Roman"/>
          <w:rtl/>
          <w:lang w:val="ar-SA"/>
        </w:rPr>
        <w:t>يتحقق</w:t>
      </w:r>
      <w:r>
        <w:rPr>
          <w:rFonts w:cs="Times New Roman"/>
          <w:rtl/>
          <w:lang w:val="ar-SA"/>
        </w:rPr>
        <w:t xml:space="preserve"> المجاز </w:t>
      </w:r>
      <w:r w:rsidR="00B22CEB">
        <w:rPr>
          <w:rFonts w:cs="Times New Roman"/>
          <w:rtl/>
          <w:lang w:val="ar-SA"/>
        </w:rPr>
        <w:t>ال</w:t>
      </w:r>
      <w:r>
        <w:rPr>
          <w:rFonts w:cs="Times New Roman"/>
          <w:rtl/>
          <w:lang w:val="ar-SA"/>
        </w:rPr>
        <w:t xml:space="preserve">مشهور وسرّ هذا التفصيل لم يُذكر في كلام المحقق الآخوند قدس سره ولكنه </w:t>
      </w:r>
      <w:r>
        <w:rPr>
          <w:rFonts w:ascii="Al Nile" w:hAnsi="Al Nile"/>
          <w:rtl/>
          <w:lang w:val="ar-SA"/>
        </w:rPr>
        <w:t xml:space="preserve">- </w:t>
      </w:r>
      <w:r>
        <w:rPr>
          <w:rFonts w:cs="Times New Roman"/>
          <w:rtl/>
          <w:lang w:val="ar-SA"/>
        </w:rPr>
        <w:t xml:space="preserve">كما في كلمات المحققين الآخرين وكان يذكره الميرزا التبريزي قدس سره </w:t>
      </w:r>
      <w:r>
        <w:rPr>
          <w:rFonts w:ascii="Al Nile" w:hAnsi="Al Nile"/>
          <w:rtl/>
          <w:lang w:val="ar-SA"/>
        </w:rPr>
        <w:t xml:space="preserve">- </w:t>
      </w:r>
      <w:r>
        <w:rPr>
          <w:rFonts w:cs="Times New Roman"/>
          <w:rtl/>
          <w:lang w:val="ar-SA"/>
        </w:rPr>
        <w:t>أن الاستعمال إذا كثر مع القرينة المتصلة حصل الأنس الذهني بين المعنى المجازي واللفظ مع تلك القرينة ولا ي</w:t>
      </w:r>
      <w:r w:rsidR="00B22CEB">
        <w:rPr>
          <w:rFonts w:cs="Times New Roman"/>
          <w:rtl/>
          <w:lang w:val="ar-SA"/>
        </w:rPr>
        <w:t>حصل</w:t>
      </w:r>
      <w:r>
        <w:rPr>
          <w:rFonts w:cs="Times New Roman"/>
          <w:rtl/>
          <w:lang w:val="ar-SA"/>
        </w:rPr>
        <w:t xml:space="preserve"> الأنس بين المعنى واللفظ المجرد بخلاف ما إذا كثر مع القرينة المنفصلة </w:t>
      </w:r>
      <w:r w:rsidR="00B22CEB">
        <w:rPr>
          <w:rFonts w:cs="Times New Roman"/>
          <w:rtl/>
          <w:lang w:val="ar-SA"/>
        </w:rPr>
        <w:t>في</w:t>
      </w:r>
      <w:r>
        <w:rPr>
          <w:rFonts w:cs="Times New Roman"/>
          <w:rtl/>
          <w:lang w:val="ar-SA"/>
        </w:rPr>
        <w:t>حصل الأنس بين المعنى المجازي واللفظ المجرد وحيثما يطلق اللفظ ينصرف الذهن إلى ذلك المعنى</w:t>
      </w:r>
      <w:r>
        <w:rPr>
          <w:rFonts w:ascii="Al Nile" w:hAnsi="Al Nile"/>
          <w:rtl/>
          <w:lang w:val="ar-SA"/>
        </w:rPr>
        <w:t>.</w:t>
      </w:r>
    </w:p>
    <w:p w:rsidR="001A50AC" w:rsidRDefault="003A7994" w:rsidP="00B22CEB">
      <w:pPr>
        <w:pStyle w:val="a5"/>
        <w:rPr>
          <w:rFonts w:hint="default"/>
        </w:rPr>
      </w:pPr>
      <w:r>
        <w:rPr>
          <w:rFonts w:cs="Times New Roman"/>
          <w:rtl/>
          <w:lang w:val="ar-SA"/>
        </w:rPr>
        <w:t xml:space="preserve">فكثرة استعمال صيغة الأمر في الندب </w:t>
      </w:r>
      <w:r>
        <w:rPr>
          <w:rFonts w:ascii="Al Nile" w:hAnsi="Al Nile"/>
          <w:rtl/>
          <w:lang w:val="ar-SA"/>
        </w:rPr>
        <w:t xml:space="preserve">- </w:t>
      </w:r>
      <w:r>
        <w:rPr>
          <w:rFonts w:cs="Times New Roman"/>
          <w:rtl/>
          <w:lang w:val="ar-SA"/>
        </w:rPr>
        <w:t xml:space="preserve">على فرض تحققها </w:t>
      </w:r>
      <w:r>
        <w:rPr>
          <w:rFonts w:ascii="Al Nile" w:hAnsi="Al Nile"/>
          <w:rtl/>
          <w:lang w:val="ar-SA"/>
        </w:rPr>
        <w:t xml:space="preserve">- </w:t>
      </w:r>
      <w:r>
        <w:rPr>
          <w:rFonts w:cs="Times New Roman"/>
          <w:rtl/>
          <w:lang w:val="ar-SA"/>
        </w:rPr>
        <w:t xml:space="preserve">لا توجب </w:t>
      </w:r>
      <w:r w:rsidR="00B22CEB">
        <w:rPr>
          <w:rFonts w:cs="Times New Roman"/>
          <w:rtl/>
          <w:lang w:val="ar-SA"/>
        </w:rPr>
        <w:t>تحقق المجاز ال</w:t>
      </w:r>
      <w:r>
        <w:rPr>
          <w:rFonts w:cs="Times New Roman"/>
          <w:rtl/>
          <w:lang w:val="ar-SA"/>
        </w:rPr>
        <w:t>مشهورلكونها بقرينة متصلة فلا يجري حكم المجاز المشهور وهو ترجيح المجاز المشهور أو التوقف على الخلاف في المسألة</w:t>
      </w:r>
      <w:r>
        <w:rPr>
          <w:rFonts w:ascii="Al Nile" w:hAnsi="Al Nile"/>
          <w:rtl/>
          <w:lang w:val="ar-SA"/>
        </w:rPr>
        <w:t>.</w:t>
      </w:r>
    </w:p>
    <w:p w:rsidR="001A50AC" w:rsidRDefault="003A7994" w:rsidP="00067BB1">
      <w:pPr>
        <w:pStyle w:val="a5"/>
        <w:rPr>
          <w:rFonts w:hint="default"/>
        </w:rPr>
      </w:pPr>
      <w:r>
        <w:rPr>
          <w:rFonts w:cs="Times New Roman"/>
          <w:rtl/>
          <w:lang w:val="ar-SA"/>
        </w:rPr>
        <w:t>ثم ذكر قدس سره ما يمكن عدّه وجهاً ثالثاً وجواباً نقضياً عن الإشكال وهو أنه لو كان مطلق كثرة الاستعمال موجباً لتحقق المجاز المشهور وإجمال اللفظ عند الاستعمال بلا قرينة لزم الإجمال في موارد استعمال العام بلا قرينة على التخصيص مع أنه لم يقل أحد بالإجمال بل قال</w:t>
      </w:r>
      <w:r w:rsidR="00067BB1">
        <w:rPr>
          <w:rFonts w:cs="Times New Roman"/>
          <w:rtl/>
          <w:lang w:val="ar-SA"/>
        </w:rPr>
        <w:t xml:space="preserve"> </w:t>
      </w:r>
      <w:r>
        <w:rPr>
          <w:rFonts w:cs="Times New Roman"/>
          <w:rtl/>
          <w:lang w:val="ar-SA"/>
        </w:rPr>
        <w:t>ا</w:t>
      </w:r>
      <w:r w:rsidR="00067BB1">
        <w:rPr>
          <w:rFonts w:cs="Times New Roman"/>
          <w:rtl/>
          <w:lang w:val="ar-SA"/>
        </w:rPr>
        <w:t>لاعلام</w:t>
      </w:r>
      <w:r>
        <w:rPr>
          <w:rFonts w:cs="Times New Roman"/>
          <w:rtl/>
          <w:lang w:val="ar-SA"/>
        </w:rPr>
        <w:t xml:space="preserve"> </w:t>
      </w:r>
      <w:r>
        <w:rPr>
          <w:rFonts w:ascii="Al Nile" w:hAnsi="Al Nile"/>
          <w:rtl/>
          <w:lang w:val="ar-SA"/>
        </w:rPr>
        <w:t xml:space="preserve">- </w:t>
      </w:r>
      <w:r>
        <w:rPr>
          <w:rFonts w:cs="Times New Roman"/>
          <w:rtl/>
          <w:lang w:val="ar-SA"/>
        </w:rPr>
        <w:t xml:space="preserve">ومنهم صاحب المعالم </w:t>
      </w:r>
      <w:r>
        <w:rPr>
          <w:rFonts w:ascii="Al Nile" w:hAnsi="Al Nile"/>
          <w:rtl/>
          <w:lang w:val="ar-SA"/>
        </w:rPr>
        <w:t xml:space="preserve">- </w:t>
      </w:r>
      <w:r>
        <w:rPr>
          <w:rFonts w:cs="Times New Roman"/>
          <w:rtl/>
          <w:lang w:val="ar-SA"/>
        </w:rPr>
        <w:t xml:space="preserve">بحمل اللفظ على العموم فهذا شاهد على أن مجرد كثرة الاستعمال لا يوجب </w:t>
      </w:r>
      <w:r w:rsidR="00B22CEB">
        <w:rPr>
          <w:rFonts w:cs="Times New Roman"/>
          <w:rtl/>
          <w:lang w:val="ar-SA"/>
        </w:rPr>
        <w:t>تحقق المجاز ال</w:t>
      </w:r>
      <w:r>
        <w:rPr>
          <w:rFonts w:cs="Times New Roman"/>
          <w:rtl/>
          <w:lang w:val="ar-SA"/>
        </w:rPr>
        <w:t>مشهور</w:t>
      </w:r>
      <w:r>
        <w:rPr>
          <w:rFonts w:ascii="Al Nile" w:hAnsi="Al Nile"/>
          <w:rtl/>
          <w:lang w:val="ar-SA"/>
        </w:rPr>
        <w:t>.</w:t>
      </w:r>
    </w:p>
    <w:p w:rsidR="001A50AC" w:rsidRDefault="003A7994" w:rsidP="00B22CEB">
      <w:pPr>
        <w:pStyle w:val="a5"/>
        <w:rPr>
          <w:rFonts w:hint="default"/>
        </w:rPr>
      </w:pPr>
      <w:r>
        <w:rPr>
          <w:rFonts w:cs="Times New Roman"/>
          <w:rtl/>
          <w:lang w:val="ar-SA"/>
        </w:rPr>
        <w:t>توضيح ذلك أن هذ</w:t>
      </w:r>
      <w:r w:rsidR="00B22CEB">
        <w:rPr>
          <w:rFonts w:cs="Times New Roman"/>
          <w:rtl/>
          <w:lang w:val="ar-SA"/>
        </w:rPr>
        <w:t>ا</w:t>
      </w:r>
      <w:r>
        <w:rPr>
          <w:rFonts w:cs="Times New Roman"/>
          <w:rtl/>
          <w:lang w:val="ar-SA"/>
        </w:rPr>
        <w:t xml:space="preserve"> الجواب جواب على مبنى صاحب المعالم قدس سره وأكثر القدماء في التخصيص من أن استعمال ألفاظ العموم في موارد التخصيص استعمال مجازي وفي المقابل القول بأن التخصيص لا يوجب المجازية وتصرّف الخاص في ناحية المراد الجدي فقط دون الاستعمالي</w:t>
      </w:r>
      <w:r>
        <w:rPr>
          <w:rFonts w:ascii="Al Nile" w:hAnsi="Al Nile"/>
          <w:rtl/>
          <w:lang w:val="ar-SA"/>
        </w:rPr>
        <w:t>.</w:t>
      </w:r>
    </w:p>
    <w:p w:rsidR="001A50AC" w:rsidRDefault="003A7994" w:rsidP="00067BB1">
      <w:pPr>
        <w:pStyle w:val="a5"/>
        <w:rPr>
          <w:rFonts w:hint="default"/>
        </w:rPr>
      </w:pPr>
      <w:r>
        <w:rPr>
          <w:rFonts w:cs="Times New Roman"/>
          <w:rtl/>
          <w:lang w:val="ar-SA"/>
        </w:rPr>
        <w:t xml:space="preserve">فيقول المحقق الآخوند قدس سره في النقض على صاحب المعالم قدس سره أنكم ترون أن التخصيص يوجب المجازية واستعمال العام في الخاص كثير حتى قيل </w:t>
      </w:r>
      <w:r>
        <w:rPr>
          <w:rFonts w:cs="Times New Roman"/>
          <w:rtl/>
          <w:lang w:val="ar-SA"/>
        </w:rPr>
        <w:lastRenderedPageBreak/>
        <w:t>ما من عام إلا وقد خُصّ فكثرة التخصيص في ألفاظ العموم م</w:t>
      </w:r>
      <w:r w:rsidR="00375F65">
        <w:rPr>
          <w:rFonts w:cs="Times New Roman"/>
          <w:rtl/>
          <w:lang w:val="ar-SA"/>
        </w:rPr>
        <w:t>ت</w:t>
      </w:r>
      <w:r>
        <w:rPr>
          <w:rFonts w:cs="Times New Roman"/>
          <w:rtl/>
          <w:lang w:val="ar-SA"/>
        </w:rPr>
        <w:t>حققة ومع ذلك لا ترون هذه الكثرة موجبةً ل</w:t>
      </w:r>
      <w:r w:rsidR="00375F65">
        <w:rPr>
          <w:rFonts w:cs="Times New Roman"/>
          <w:rtl/>
          <w:lang w:val="ar-SA"/>
        </w:rPr>
        <w:t>تحقق ال</w:t>
      </w:r>
      <w:r>
        <w:rPr>
          <w:rFonts w:cs="Times New Roman"/>
          <w:rtl/>
          <w:lang w:val="ar-SA"/>
        </w:rPr>
        <w:t>مجاز</w:t>
      </w:r>
      <w:r w:rsidR="00375F65">
        <w:rPr>
          <w:rFonts w:cs="Times New Roman"/>
          <w:rtl/>
          <w:lang w:val="ar-SA"/>
        </w:rPr>
        <w:t>المشهور</w:t>
      </w:r>
      <w:r>
        <w:rPr>
          <w:rFonts w:cs="Times New Roman"/>
          <w:rtl/>
          <w:lang w:val="ar-SA"/>
        </w:rPr>
        <w:t xml:space="preserve"> بل تحملون ألفاظ العموم مع عدم </w:t>
      </w:r>
      <w:r w:rsidR="00067BB1">
        <w:rPr>
          <w:rFonts w:cs="Times New Roman"/>
          <w:rtl/>
          <w:lang w:val="ar-SA"/>
        </w:rPr>
        <w:t xml:space="preserve">قيام </w:t>
      </w:r>
      <w:r>
        <w:rPr>
          <w:rFonts w:cs="Times New Roman"/>
          <w:rtl/>
          <w:lang w:val="ar-SA"/>
        </w:rPr>
        <w:t xml:space="preserve">القرينة </w:t>
      </w:r>
      <w:r w:rsidR="00067BB1">
        <w:rPr>
          <w:rFonts w:cs="Times New Roman"/>
          <w:rtl/>
          <w:lang w:val="ar-SA"/>
        </w:rPr>
        <w:t xml:space="preserve">علی ارادة الخصوص </w:t>
      </w:r>
      <w:r>
        <w:rPr>
          <w:rFonts w:cs="Times New Roman"/>
          <w:rtl/>
          <w:lang w:val="ar-SA"/>
        </w:rPr>
        <w:t>على العموم</w:t>
      </w:r>
      <w:r>
        <w:rPr>
          <w:rFonts w:ascii="Al Nile" w:hAnsi="Al Nile"/>
          <w:rtl/>
          <w:lang w:val="ar-SA"/>
        </w:rPr>
        <w:t xml:space="preserve">. </w:t>
      </w:r>
      <w:r>
        <w:rPr>
          <w:rFonts w:cs="Times New Roman"/>
          <w:rtl/>
          <w:lang w:val="ar-SA"/>
        </w:rPr>
        <w:t xml:space="preserve">هذه النتيجة مع وجود كثرة التخصيص شاهدة على أن مجرد كثرة الاستعمال لا يوجب </w:t>
      </w:r>
      <w:r w:rsidR="00375F65">
        <w:rPr>
          <w:rFonts w:cs="Times New Roman"/>
          <w:rtl/>
          <w:lang w:val="ar-SA"/>
        </w:rPr>
        <w:t xml:space="preserve">تحقق </w:t>
      </w:r>
      <w:r>
        <w:rPr>
          <w:rFonts w:cs="Times New Roman"/>
          <w:rtl/>
          <w:lang w:val="ar-SA"/>
        </w:rPr>
        <w:t>المجاز</w:t>
      </w:r>
      <w:r w:rsidR="00375F65">
        <w:rPr>
          <w:rFonts w:cs="Times New Roman"/>
          <w:rtl/>
          <w:lang w:val="ar-SA"/>
        </w:rPr>
        <w:t>المشهورو انما</w:t>
      </w:r>
      <w:r>
        <w:rPr>
          <w:rFonts w:cs="Times New Roman"/>
          <w:rtl/>
          <w:lang w:val="ar-SA"/>
        </w:rPr>
        <w:t xml:space="preserve"> يوجبه كثرة الاستعمال التي لم تكن مع القرينة المتصلة وهي غير م</w:t>
      </w:r>
      <w:r w:rsidR="00375F65">
        <w:rPr>
          <w:rFonts w:cs="Times New Roman"/>
          <w:rtl/>
          <w:lang w:val="ar-SA"/>
        </w:rPr>
        <w:t>ت</w:t>
      </w:r>
      <w:r>
        <w:rPr>
          <w:rFonts w:cs="Times New Roman"/>
          <w:rtl/>
          <w:lang w:val="ar-SA"/>
        </w:rPr>
        <w:t>حققة في تخصيص العام</w:t>
      </w:r>
      <w:r>
        <w:rPr>
          <w:rFonts w:ascii="Al Nile" w:hAnsi="Al Nile"/>
          <w:rtl/>
          <w:lang w:val="ar-SA"/>
        </w:rPr>
        <w:t>.</w:t>
      </w:r>
    </w:p>
    <w:p w:rsidR="001A50AC" w:rsidRDefault="003A7994">
      <w:pPr>
        <w:pStyle w:val="a5"/>
        <w:rPr>
          <w:rFonts w:hint="default"/>
        </w:rPr>
      </w:pP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rtl/>
          <w:cs/>
        </w:rPr>
        <w:t>مع أن الاستعمال وإن كثر فيه</w:t>
      </w:r>
      <w:r>
        <w:rPr>
          <w:b/>
          <w:bCs/>
          <w:cs/>
        </w:rPr>
        <w:t xml:space="preserve">، </w:t>
      </w:r>
      <w:r>
        <w:rPr>
          <w:rFonts w:cs="Times New Roman"/>
          <w:b/>
          <w:bCs/>
          <w:rtl/>
          <w:cs/>
        </w:rPr>
        <w:t>إلا أنه كان مع القرينة المصحوبة</w:t>
      </w:r>
      <w:r>
        <w:rPr>
          <w:b/>
          <w:bCs/>
          <w:cs/>
        </w:rPr>
        <w:t xml:space="preserve">، </w:t>
      </w:r>
      <w:r>
        <w:rPr>
          <w:rFonts w:cs="Times New Roman"/>
          <w:b/>
          <w:bCs/>
          <w:rtl/>
          <w:cs/>
        </w:rPr>
        <w:t>وكثرة الاستعمال كذلك في المعنى المجازي لا يوجب صيرورته مشهورا فيه</w:t>
      </w:r>
      <w:r>
        <w:rPr>
          <w:b/>
          <w:bCs/>
          <w:cs/>
        </w:rPr>
        <w:t xml:space="preserve">، </w:t>
      </w:r>
      <w:r>
        <w:rPr>
          <w:rFonts w:cs="Times New Roman"/>
          <w:b/>
          <w:bCs/>
          <w:rtl/>
          <w:cs/>
        </w:rPr>
        <w:t>ليرجح أو يتوقف</w:t>
      </w:r>
      <w:r>
        <w:rPr>
          <w:b/>
          <w:bCs/>
          <w:cs/>
        </w:rPr>
        <w:t xml:space="preserve">، </w:t>
      </w:r>
      <w:r>
        <w:rPr>
          <w:rFonts w:cs="Times New Roman"/>
          <w:b/>
          <w:bCs/>
          <w:rtl/>
          <w:cs/>
        </w:rPr>
        <w:t>على الخلاف في المجاز المشهور</w:t>
      </w:r>
      <w:r>
        <w:rPr>
          <w:b/>
          <w:bCs/>
          <w:cs/>
        </w:rPr>
        <w:t xml:space="preserve">، </w:t>
      </w:r>
      <w:r>
        <w:rPr>
          <w:rFonts w:cs="Times New Roman"/>
          <w:b/>
          <w:bCs/>
          <w:rtl/>
          <w:cs/>
        </w:rPr>
        <w:t>كيف؟ وقد كثر استعمال العام في الخاص</w:t>
      </w:r>
      <w:r>
        <w:rPr>
          <w:b/>
          <w:bCs/>
          <w:cs/>
        </w:rPr>
        <w:t xml:space="preserve">، </w:t>
      </w:r>
      <w:r>
        <w:rPr>
          <w:rFonts w:cs="Times New Roman"/>
          <w:b/>
          <w:bCs/>
          <w:rtl/>
          <w:cs/>
        </w:rPr>
        <w:t>حتى قيل</w:t>
      </w:r>
      <w:r>
        <w:rPr>
          <w:rFonts w:ascii="Al Nile" w:hAnsi="Al Nile"/>
          <w:b/>
          <w:bCs/>
        </w:rPr>
        <w:t>: (</w:t>
      </w:r>
      <w:r>
        <w:rPr>
          <w:rFonts w:cs="Times New Roman"/>
          <w:b/>
          <w:bCs/>
          <w:rtl/>
          <w:cs/>
        </w:rPr>
        <w:t>ما من عام إلا وقد خص</w:t>
      </w:r>
      <w:r>
        <w:rPr>
          <w:rFonts w:ascii="Al Nile" w:hAnsi="Al Nile"/>
          <w:b/>
          <w:bCs/>
        </w:rPr>
        <w:t xml:space="preserve">) </w:t>
      </w:r>
      <w:r>
        <w:rPr>
          <w:rFonts w:cs="Times New Roman"/>
          <w:b/>
          <w:bCs/>
          <w:rtl/>
          <w:cs/>
        </w:rPr>
        <w:t>ولم ينثلم به ظهوره في العموم</w:t>
      </w:r>
      <w:r>
        <w:rPr>
          <w:b/>
          <w:bCs/>
          <w:cs/>
        </w:rPr>
        <w:t xml:space="preserve">، </w:t>
      </w:r>
      <w:r>
        <w:rPr>
          <w:rFonts w:cs="Times New Roman"/>
          <w:b/>
          <w:bCs/>
          <w:rtl/>
          <w:cs/>
        </w:rPr>
        <w:t>بل يحمل عليه ما لم تقم قرينة بالخصوص على إرادة الخصوص</w:t>
      </w:r>
      <w:r>
        <w:rPr>
          <w:rFonts w:ascii="Al Nile" w:hAnsi="Al Nile"/>
          <w:b/>
          <w:bCs/>
        </w:rPr>
        <w:t>.</w:t>
      </w:r>
      <w:r>
        <w:rPr>
          <w:rFonts w:ascii="Al Nile" w:hAnsi="Al Nile"/>
          <w:b/>
          <w:bCs/>
          <w:rtl/>
          <w:lang w:val="ar-SA"/>
        </w:rPr>
        <w:t>)</w:t>
      </w:r>
    </w:p>
    <w:p w:rsidR="001A50AC" w:rsidRDefault="003A7994">
      <w:pPr>
        <w:pStyle w:val="a5"/>
        <w:rPr>
          <w:rFonts w:hint="default"/>
        </w:rPr>
      </w:pPr>
      <w:r>
        <w:rPr>
          <w:rFonts w:cs="Times New Roman"/>
          <w:rtl/>
          <w:lang w:val="ar-SA"/>
        </w:rPr>
        <w:t>وصلّى الله على محمد وآله الطاهرين</w:t>
      </w:r>
      <w:r>
        <w:rPr>
          <w:rFonts w:ascii="Al Nile" w:hAnsi="Al Nile"/>
          <w:rtl/>
          <w:lang w:val="ar-SA"/>
        </w:rPr>
        <w:t>.</w:t>
      </w:r>
      <w:bookmarkStart w:id="0" w:name="_GoBack"/>
      <w:bookmarkEnd w:id="0"/>
    </w:p>
    <w:sectPr w:rsidR="001A50AC">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58D" w:rsidRDefault="001E558D">
      <w:r>
        <w:separator/>
      </w:r>
    </w:p>
  </w:endnote>
  <w:endnote w:type="continuationSeparator" w:id="0">
    <w:p w:rsidR="001E558D" w:rsidRDefault="001E5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94" w:rsidRDefault="003A7994">
    <w:pPr>
      <w:pStyle w:val="a4"/>
      <w:jc w:val="center"/>
    </w:pPr>
    <w:r>
      <w:fldChar w:fldCharType="begin"/>
    </w:r>
    <w:r>
      <w:instrText xml:space="preserve"> PAGE </w:instrText>
    </w:r>
    <w:r>
      <w:fldChar w:fldCharType="separate"/>
    </w:r>
    <w:r w:rsidR="00067BB1">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58D" w:rsidRDefault="001E558D">
      <w:r>
        <w:separator/>
      </w:r>
    </w:p>
  </w:footnote>
  <w:footnote w:type="continuationSeparator" w:id="0">
    <w:p w:rsidR="001E558D" w:rsidRDefault="001E5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94" w:rsidRDefault="003A799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A50AC"/>
    <w:rsid w:val="00067BB1"/>
    <w:rsid w:val="001A50AC"/>
    <w:rsid w:val="001E558D"/>
    <w:rsid w:val="00375F65"/>
    <w:rsid w:val="003A7994"/>
    <w:rsid w:val="00B22C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1216</TotalTime>
  <Pages>4</Pages>
  <Words>1059</Words>
  <Characters>6042</Characters>
  <Application>Microsoft Office Word</Application>
  <DocSecurity>0</DocSecurity>
  <Lines>50</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2022-09-25T19:46:00Z</dcterms:created>
  <dcterms:modified xsi:type="dcterms:W3CDTF">2022-09-29T12:42:00Z</dcterms:modified>
</cp:coreProperties>
</file>