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9A" w:rsidRDefault="00DA576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٣٩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٢٢</w:t>
      </w:r>
    </w:p>
    <w:p w:rsidR="00EA4E9A" w:rsidRDefault="00DA576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EA4E9A" w:rsidRDefault="00DA5768">
      <w:pPr>
        <w:pStyle w:val="a5"/>
        <w:rPr>
          <w:rFonts w:hint="default"/>
        </w:rPr>
      </w:pPr>
      <w:r>
        <w:rPr>
          <w:rFonts w:cs="Times New Roman"/>
          <w:rtl/>
          <w:lang w:val="ar-SA"/>
        </w:rPr>
        <w:t>قلنا تقريب طريقة الميرزا الشيرازي قدس سره حسب تقريرات الفوائد أن المطلوب الأصلي وما أخذ في متعلق الأمر حيثية عبادية</w:t>
      </w:r>
      <w:r>
        <w:rPr>
          <w:rFonts w:cs="Times New Roman"/>
          <w:rtl/>
          <w:lang w:val="ar-SA"/>
        </w:rPr>
        <w:t xml:space="preserve"> العمل وعبادية العمل متقومة بإظهار العبودية والخضوع والتذلل لله تعالى والدواعي القربية المعروفة على الألسنة من قصد الامتثال وقصد المصلحة ووو محقّقات ومحصّلات لعبادية العبادة ولم يتعلق بها أمر بل بها يظهر العبودية في مقام العمل فإن أتى المكلف بالصلاة بقصد ا</w:t>
      </w:r>
      <w:r>
        <w:rPr>
          <w:rFonts w:cs="Times New Roman"/>
          <w:rtl/>
          <w:lang w:val="ar-SA"/>
        </w:rPr>
        <w:t>لامتثال أو قصد المحبوبية تكون الصلاة صحيحةً ويحصل بها متعلق التكليف لأنه بقصد الامتثال أو المحبوبية ووو يتحقق إظهار العبودية وحالة التذلل لله تعالى</w:t>
      </w:r>
      <w:r>
        <w:rPr>
          <w:rFonts w:ascii="Al Nile" w:hAnsi="Al Nile"/>
          <w:rtl/>
          <w:lang w:val="ar-SA"/>
        </w:rPr>
        <w:t xml:space="preserve">. </w:t>
      </w:r>
    </w:p>
    <w:p w:rsidR="00EA4E9A" w:rsidRDefault="00DA5768" w:rsidP="000411D0">
      <w:pPr>
        <w:pStyle w:val="a5"/>
        <w:rPr>
          <w:rFonts w:hint="default"/>
        </w:rPr>
      </w:pPr>
      <w:r>
        <w:rPr>
          <w:rFonts w:cs="Times New Roman"/>
          <w:rtl/>
          <w:lang w:val="ar-SA"/>
        </w:rPr>
        <w:t>أشكل المحقق النائيني قدس سره على هذا التقريب بأن ما هو الملاك في عبادية العمل بالوجدان والارتكاز وبحسب الأ</w:t>
      </w:r>
      <w:r>
        <w:rPr>
          <w:rFonts w:cs="Times New Roman"/>
          <w:rtl/>
          <w:lang w:val="ar-SA"/>
        </w:rPr>
        <w:t xml:space="preserve">خبار الإتيان به بأحد الدواعي القربية المعروفة فإن أتى المكلف بالعمل بأحد هذه الدواعي القربية تحققت العبادية ولو فُرض محالاً عدم تحقق ذلك العنوان الملازم </w:t>
      </w:r>
      <w:r>
        <w:rPr>
          <w:rFonts w:ascii="Al Nile" w:hAnsi="Al Nile"/>
          <w:rtl/>
          <w:lang w:val="ar-SA"/>
        </w:rPr>
        <w:t xml:space="preserve">- </w:t>
      </w:r>
      <w:r>
        <w:rPr>
          <w:rFonts w:cs="Times New Roman"/>
          <w:rtl/>
          <w:lang w:val="ar-SA"/>
        </w:rPr>
        <w:t>أي عدم ال</w:t>
      </w:r>
      <w:r w:rsidR="000411D0">
        <w:rPr>
          <w:rFonts w:cs="Times New Roman"/>
          <w:rtl/>
          <w:lang w:val="ar-SA"/>
        </w:rPr>
        <w:t>تذلل واظهار العبودية</w:t>
      </w:r>
      <w:r>
        <w:rPr>
          <w:rFonts w:cs="Times New Roman"/>
          <w:rtl/>
          <w:lang w:val="ar-SA"/>
        </w:rPr>
        <w:t xml:space="preserve"> </w:t>
      </w:r>
      <w:r>
        <w:rPr>
          <w:rFonts w:ascii="Al Nile" w:hAnsi="Al Nile"/>
          <w:rtl/>
          <w:lang w:val="ar-SA"/>
        </w:rPr>
        <w:t xml:space="preserve">- </w:t>
      </w:r>
      <w:r>
        <w:rPr>
          <w:rFonts w:cs="Times New Roman"/>
          <w:rtl/>
          <w:lang w:val="ar-SA"/>
        </w:rPr>
        <w:t>وإن أتى بالعمل بدون تلك الدواعي لا تتحقق العبادية</w:t>
      </w:r>
      <w:r w:rsidR="000411D0">
        <w:rPr>
          <w:rFonts w:cs="Times New Roman"/>
          <w:rtl/>
          <w:lang w:val="ar-SA"/>
        </w:rPr>
        <w:t xml:space="preserve"> </w:t>
      </w:r>
      <w:r>
        <w:rPr>
          <w:rFonts w:ascii="Al Nile" w:hAnsi="Al Nile"/>
          <w:rtl/>
          <w:lang w:val="ar-SA"/>
        </w:rPr>
        <w:t xml:space="preserve">. </w:t>
      </w:r>
      <w:r>
        <w:rPr>
          <w:rFonts w:cs="Times New Roman"/>
          <w:rtl/>
          <w:lang w:val="ar-SA"/>
        </w:rPr>
        <w:t>فلا وجه لأن يقال بأخذ عنو</w:t>
      </w:r>
      <w:r>
        <w:rPr>
          <w:rFonts w:cs="Times New Roman"/>
          <w:rtl/>
          <w:lang w:val="ar-SA"/>
        </w:rPr>
        <w:t>ان التذلل والخشوع وإظهار العبودية لله تعالى في المتعلق</w:t>
      </w:r>
      <w:r>
        <w:rPr>
          <w:rFonts w:ascii="Al Nile" w:hAnsi="Al Nile"/>
          <w:rtl/>
          <w:lang w:val="ar-SA"/>
        </w:rPr>
        <w:t>.</w:t>
      </w:r>
    </w:p>
    <w:p w:rsidR="00EA4E9A" w:rsidRDefault="00DA5768">
      <w:pPr>
        <w:pStyle w:val="a5"/>
        <w:rPr>
          <w:rFonts w:hint="default"/>
        </w:rPr>
      </w:pPr>
      <w:r>
        <w:rPr>
          <w:rFonts w:cs="Times New Roman"/>
          <w:rtl/>
          <w:lang w:val="ar-SA"/>
        </w:rPr>
        <w:t>فاستند قدس سره في هذا الإشكال لإثبات أن المدار في العبادية على قصد الدواعي القربية بالارتكاز والأخبار</w:t>
      </w:r>
      <w:r>
        <w:rPr>
          <w:rFonts w:ascii="Al Nile" w:hAnsi="Al Nile"/>
          <w:rtl/>
          <w:lang w:val="ar-SA"/>
        </w:rPr>
        <w:t xml:space="preserve">. </w:t>
      </w:r>
    </w:p>
    <w:p w:rsidR="00EA4E9A" w:rsidRDefault="00DA5768">
      <w:pPr>
        <w:pStyle w:val="a5"/>
        <w:rPr>
          <w:rFonts w:hint="default"/>
        </w:rPr>
      </w:pPr>
      <w:r>
        <w:rPr>
          <w:rFonts w:cs="Times New Roman"/>
          <w:rtl/>
          <w:lang w:val="ar-SA"/>
        </w:rPr>
        <w:t>الإشكال بهذا المقدار قابل للجواب وبالنتيجة يُلتزم بالتقريب المذكور كما التزم الشيخ حسين الحلي قد</w:t>
      </w:r>
      <w:r>
        <w:rPr>
          <w:rFonts w:cs="Times New Roman"/>
          <w:rtl/>
          <w:lang w:val="ar-SA"/>
        </w:rPr>
        <w:t xml:space="preserve">س سره والجواب أنه وإن كان يبدو في أول الأمر أن قوام عبادية العمل قصد الأمر أو قصد المحبوبية لكن بالتأمل يتضح أن عبادية العمل بأن يأتي المكلف به بعنوان إظهار الخشوع لله تعالى فالمعنى الارتكازي للعبادة يرجع بالتأمل إلى الخضوع والخشوع والروايات قابلة للتوجيه </w:t>
      </w:r>
      <w:r>
        <w:rPr>
          <w:rFonts w:cs="Times New Roman"/>
          <w:rtl/>
          <w:lang w:val="ar-SA"/>
        </w:rPr>
        <w:t>على التقريب المذكور لأنها تشير إلى محققات العبادية وإن كان حقيقتها إظهار الخشوع</w:t>
      </w:r>
      <w:r>
        <w:rPr>
          <w:rFonts w:ascii="Al Nile" w:hAnsi="Al Nile"/>
          <w:rtl/>
          <w:lang w:val="ar-SA"/>
        </w:rPr>
        <w:t xml:space="preserve">. </w:t>
      </w:r>
      <w:r>
        <w:rPr>
          <w:rFonts w:cs="Times New Roman"/>
          <w:rtl/>
          <w:lang w:val="ar-SA"/>
        </w:rPr>
        <w:t>فإنا بعد أن عرفنا معنى العبادية بالارتكاز فما ورد في الروايات على خلاف المعنى الارتكازي يحمل على محققات المعنى الحقيقي لا أن يكون لها موضوعية</w:t>
      </w:r>
      <w:r>
        <w:rPr>
          <w:rFonts w:ascii="Al Nile" w:hAnsi="Al Nile"/>
          <w:rtl/>
          <w:lang w:val="ar-SA"/>
        </w:rPr>
        <w:t>.</w:t>
      </w:r>
    </w:p>
    <w:p w:rsidR="00EA4E9A" w:rsidRDefault="00DA5768">
      <w:pPr>
        <w:pStyle w:val="a5"/>
        <w:rPr>
          <w:rFonts w:hint="default"/>
        </w:rPr>
      </w:pPr>
      <w:r>
        <w:rPr>
          <w:rFonts w:cs="Times New Roman"/>
          <w:rtl/>
          <w:lang w:val="ar-SA"/>
        </w:rPr>
        <w:t>فيمكن الدفاع عن طريقة الميرزا ال</w:t>
      </w:r>
      <w:r>
        <w:rPr>
          <w:rFonts w:cs="Times New Roman"/>
          <w:rtl/>
          <w:lang w:val="ar-SA"/>
        </w:rPr>
        <w:t>شيرازي قدس سره في مقابل إشكال المحقق النائيني قدس سره لكن يلاحظ على هذا الدفاع بأنه لا دخل لحالة إظهار التذلل والخضوع في صدق عنوان العبادة</w:t>
      </w:r>
      <w:r>
        <w:rPr>
          <w:rFonts w:ascii="Al Nile" w:hAnsi="Al Nile"/>
          <w:rtl/>
          <w:lang w:val="ar-SA"/>
        </w:rPr>
        <w:t xml:space="preserve">. </w:t>
      </w:r>
      <w:r>
        <w:rPr>
          <w:rFonts w:cs="Times New Roman"/>
          <w:rtl/>
          <w:lang w:val="ar-SA"/>
        </w:rPr>
        <w:t>نعم، هناك بعض الأمور كالسجدة عباديتها ذاتية ولكن العبادية التي هي محل البحث هنا ونبحث عن مقوماتها ليست العبادية الذا</w:t>
      </w:r>
      <w:r>
        <w:rPr>
          <w:rFonts w:cs="Times New Roman"/>
          <w:rtl/>
          <w:lang w:val="ar-SA"/>
        </w:rPr>
        <w:t>تية للعمل بل يبحث عن مقومات العبادية في عمل ليست العبادية ذاتيةً له بل تحصل العبادية بتلك المقومات ويصير العمل عبادياً كالوضوء إذ ليس هو سوى غسلات ومسحات وليست عباديته ذاتيةً لكن المكلف إذا حقّق فيه ملاك العبادية صار عبادةً والملاك أن يأتي المكلف بالعمل بع</w:t>
      </w:r>
      <w:r>
        <w:rPr>
          <w:rFonts w:cs="Times New Roman"/>
          <w:rtl/>
          <w:lang w:val="ar-SA"/>
        </w:rPr>
        <w:t xml:space="preserve">نوان </w:t>
      </w:r>
      <w:r>
        <w:rPr>
          <w:rFonts w:ascii="Al Nile" w:hAnsi="Al Nile"/>
          <w:rtl/>
          <w:lang w:val="ar-SA"/>
        </w:rPr>
        <w:t>(</w:t>
      </w:r>
      <w:r>
        <w:rPr>
          <w:rFonts w:cs="Times New Roman"/>
          <w:rtl/>
          <w:lang w:val="ar-SA"/>
        </w:rPr>
        <w:t>لله تعالى</w:t>
      </w:r>
      <w:r>
        <w:rPr>
          <w:rFonts w:ascii="Al Nile" w:hAnsi="Al Nile"/>
          <w:rtl/>
          <w:lang w:val="ar-SA"/>
        </w:rPr>
        <w:t xml:space="preserve">) </w:t>
      </w:r>
      <w:r>
        <w:rPr>
          <w:rFonts w:cs="Times New Roman"/>
          <w:rtl/>
          <w:lang w:val="ar-SA"/>
        </w:rPr>
        <w:t xml:space="preserve">وهذا العنوان </w:t>
      </w:r>
      <w:r>
        <w:rPr>
          <w:rFonts w:cs="Times New Roman"/>
          <w:rtl/>
          <w:lang w:val="ar-SA"/>
        </w:rPr>
        <w:lastRenderedPageBreak/>
        <w:t>عنوان جامع قابل للانطباق على قصد الأمر وعلى قصد المحبوبية وعلى تحصيل رضا الله تعالى ومن الواضح أن إظهار الخشوع ليس مقوّماً للعبادية بل يكفي لصدقها أن يؤتى العمل لله تعالى في مقابل إتيانه لا لله بل للدواعي النفسانية كالوضوء للت</w:t>
      </w:r>
      <w:r>
        <w:rPr>
          <w:rFonts w:cs="Times New Roman"/>
          <w:rtl/>
          <w:lang w:val="ar-SA"/>
        </w:rPr>
        <w:t>برد</w:t>
      </w:r>
      <w:r>
        <w:rPr>
          <w:rFonts w:ascii="Al Nile" w:hAnsi="Al Nile"/>
          <w:rtl/>
          <w:lang w:val="ar-SA"/>
        </w:rPr>
        <w:t xml:space="preserve">.  </w:t>
      </w:r>
    </w:p>
    <w:p w:rsidR="00EA4E9A" w:rsidRDefault="00DA5768">
      <w:pPr>
        <w:pStyle w:val="a5"/>
        <w:rPr>
          <w:rFonts w:hint="default"/>
        </w:rPr>
      </w:pPr>
      <w:r>
        <w:rPr>
          <w:rFonts w:cs="Times New Roman"/>
          <w:rtl/>
          <w:lang w:val="ar-SA"/>
        </w:rPr>
        <w:t>إن قلت ما المانع أن يكون إظهار الخضوع والتذلل مثل قصد الامتثال وقصد المحبوبية من مصاديق إضافة العمل إلى الله ويوجب عبادية العمل قلنا ذكرنا في المباحث المتقدمة أن قصد التعظيم ليس عنواناً مستقلاً في قبال قصد المحبوبية وإنما يوجب إضافة العمل إلى الله إ</w:t>
      </w:r>
      <w:r>
        <w:rPr>
          <w:rFonts w:cs="Times New Roman"/>
          <w:rtl/>
          <w:lang w:val="ar-SA"/>
        </w:rPr>
        <w:t xml:space="preserve">ذا كان العمل </w:t>
      </w:r>
      <w:proofErr w:type="spellStart"/>
      <w:r w:rsidR="000411D0">
        <w:rPr>
          <w:rFonts w:cs="Times New Roman"/>
          <w:rtl/>
          <w:lang w:val="ar-SA" w:bidi="fa-IR"/>
        </w:rPr>
        <w:t>الذي</w:t>
      </w:r>
      <w:proofErr w:type="spellEnd"/>
      <w:r w:rsidR="000411D0">
        <w:rPr>
          <w:rFonts w:cs="Times New Roman"/>
          <w:rtl/>
          <w:lang w:val="ar-SA" w:bidi="fa-IR"/>
        </w:rPr>
        <w:t xml:space="preserve"> </w:t>
      </w:r>
      <w:proofErr w:type="spellStart"/>
      <w:r w:rsidR="000411D0">
        <w:rPr>
          <w:rFonts w:cs="Times New Roman"/>
          <w:rtl/>
          <w:lang w:val="ar-SA" w:bidi="fa-IR"/>
        </w:rPr>
        <w:t>يقصد</w:t>
      </w:r>
      <w:proofErr w:type="spellEnd"/>
      <w:r w:rsidR="000411D0">
        <w:rPr>
          <w:rFonts w:cs="Times New Roman"/>
          <w:rtl/>
          <w:lang w:val="ar-SA" w:bidi="fa-IR"/>
        </w:rPr>
        <w:t xml:space="preserve"> به </w:t>
      </w:r>
      <w:proofErr w:type="spellStart"/>
      <w:r w:rsidR="000411D0">
        <w:rPr>
          <w:rFonts w:cs="Times New Roman"/>
          <w:rtl/>
          <w:lang w:val="ar-SA" w:bidi="fa-IR"/>
        </w:rPr>
        <w:t>التعظيم</w:t>
      </w:r>
      <w:proofErr w:type="spellEnd"/>
      <w:r w:rsidR="000411D0">
        <w:rPr>
          <w:rFonts w:cs="Times New Roman"/>
          <w:rtl/>
          <w:lang w:val="ar-SA" w:bidi="fa-IR"/>
        </w:rPr>
        <w:t xml:space="preserve"> </w:t>
      </w:r>
      <w:r>
        <w:rPr>
          <w:rFonts w:cs="Times New Roman"/>
          <w:rtl/>
          <w:lang w:val="ar-SA"/>
        </w:rPr>
        <w:t>محبوباً له تعالى وأما إذا لم يكن محبوباً بل أتى المكلف به من عند نفسه بعنوان التعظيم لا يعتبر ذلك تعظيماً</w:t>
      </w:r>
      <w:r>
        <w:rPr>
          <w:rFonts w:ascii="Al Nile" w:hAnsi="Al Nile"/>
          <w:rtl/>
          <w:lang w:val="ar-SA"/>
        </w:rPr>
        <w:t xml:space="preserve">. </w:t>
      </w:r>
      <w:r w:rsidR="000411D0">
        <w:rPr>
          <w:rFonts w:ascii="Al Nile" w:hAnsi="Al Nile"/>
          <w:rtl/>
          <w:lang w:val="ar-SA"/>
        </w:rPr>
        <w:t>و</w:t>
      </w:r>
      <w:r>
        <w:rPr>
          <w:rFonts w:cs="Times New Roman"/>
          <w:rtl/>
          <w:lang w:val="ar-SA"/>
        </w:rPr>
        <w:t>الخضوع والتذلل كذلك إنما يكون موجباً لإضافة العمل لله إذا كان العمل في نفسه محبوباً وأما إذا لم يكن محبوباً وأراد المكلف إظهار الخضوع به</w:t>
      </w:r>
      <w:r>
        <w:rPr>
          <w:rFonts w:cs="Times New Roman"/>
          <w:rtl/>
          <w:lang w:val="ar-SA"/>
        </w:rPr>
        <w:t xml:space="preserve"> لا يوجب الإضافة</w:t>
      </w:r>
      <w:r>
        <w:rPr>
          <w:rFonts w:ascii="Al Nile" w:hAnsi="Al Nile"/>
          <w:rtl/>
          <w:lang w:val="ar-SA"/>
        </w:rPr>
        <w:t xml:space="preserve">. </w:t>
      </w:r>
      <w:r>
        <w:rPr>
          <w:rFonts w:cs="Times New Roman"/>
          <w:rtl/>
          <w:lang w:val="ar-SA"/>
        </w:rPr>
        <w:t>مثاله المعروف التكتّف في الصلاة الذي ابتدعه الثاني لعنه الله بعنوان الخضوع لله تعالى</w:t>
      </w:r>
      <w:r>
        <w:rPr>
          <w:rFonts w:ascii="Al Nile" w:hAnsi="Al Nile"/>
          <w:rtl/>
          <w:lang w:val="ar-SA"/>
        </w:rPr>
        <w:t>.</w:t>
      </w:r>
    </w:p>
    <w:p w:rsidR="00EA4E9A" w:rsidRDefault="00DA5768">
      <w:pPr>
        <w:pStyle w:val="a5"/>
        <w:rPr>
          <w:rFonts w:hint="default"/>
        </w:rPr>
      </w:pPr>
      <w:r>
        <w:rPr>
          <w:rFonts w:cs="Times New Roman"/>
          <w:rtl/>
          <w:lang w:val="ar-SA"/>
        </w:rPr>
        <w:t>فما هو قابل للأخذ في متعلق التكليف جامع إضافة العمل لله تعالى التي تحصل في ضمن قصد الامتثال وقصد المحبوبية وقصد تحصيل رضا الله تعالى وليس قصد التعظيم أو</w:t>
      </w:r>
      <w:r>
        <w:rPr>
          <w:rFonts w:cs="Times New Roman"/>
          <w:rtl/>
          <w:lang w:val="ar-SA"/>
        </w:rPr>
        <w:t xml:space="preserve"> إظهار الخضوع والتذلل من العناوين التي يمكن عدّها في عرض باقي الدواعي موجبةً لإضافة العمل لله</w:t>
      </w:r>
      <w:r>
        <w:rPr>
          <w:rFonts w:ascii="Al Nile" w:hAnsi="Al Nile"/>
          <w:rtl/>
          <w:lang w:val="ar-SA"/>
        </w:rPr>
        <w:t>.</w:t>
      </w:r>
    </w:p>
    <w:p w:rsidR="00EA4E9A" w:rsidRDefault="00DA5768" w:rsidP="00B22FC8">
      <w:pPr>
        <w:pStyle w:val="a5"/>
        <w:rPr>
          <w:rFonts w:hint="default"/>
        </w:rPr>
      </w:pPr>
      <w:r>
        <w:rPr>
          <w:rFonts w:cs="Times New Roman"/>
          <w:rtl/>
          <w:lang w:val="ar-SA"/>
        </w:rPr>
        <w:t>نتيجة البحث أنه إن لم ي</w:t>
      </w:r>
      <w:r w:rsidR="00B22FC8">
        <w:rPr>
          <w:rFonts w:cs="Times New Roman"/>
          <w:rtl/>
          <w:lang w:val="ar-SA"/>
        </w:rPr>
        <w:t>م</w:t>
      </w:r>
      <w:r>
        <w:rPr>
          <w:rFonts w:cs="Times New Roman"/>
          <w:rtl/>
          <w:lang w:val="ar-SA"/>
        </w:rPr>
        <w:t xml:space="preserve">كن أخذ قصد القربة في متعلق التكليف </w:t>
      </w:r>
      <w:r>
        <w:rPr>
          <w:rFonts w:cs="Times New Roman"/>
          <w:rtl/>
          <w:lang w:val="ar-SA"/>
        </w:rPr>
        <w:t>لا شطراً ولا شرطاً لا بأمر واحد ولا بأمرين لا يمكن الالتزام بالطريقة المحكية عن الميرزا الشيرازي</w:t>
      </w:r>
      <w:r>
        <w:rPr>
          <w:rFonts w:cs="Times New Roman"/>
          <w:rtl/>
          <w:lang w:val="ar-SA"/>
        </w:rPr>
        <w:t xml:space="preserve"> قدس سره أيضاً لا بتقريب الأجود ولا </w:t>
      </w:r>
      <w:r w:rsidR="00B22FC8">
        <w:rPr>
          <w:rFonts w:cs="Times New Roman"/>
          <w:rtl/>
          <w:lang w:val="ar-SA"/>
        </w:rPr>
        <w:t>ب</w:t>
      </w:r>
      <w:r>
        <w:rPr>
          <w:rFonts w:cs="Times New Roman"/>
          <w:rtl/>
          <w:lang w:val="ar-SA"/>
        </w:rPr>
        <w:t>تقريب الفوائد</w:t>
      </w:r>
      <w:r>
        <w:rPr>
          <w:rFonts w:ascii="Al Nile" w:hAnsi="Al Nile"/>
          <w:rtl/>
          <w:lang w:val="ar-SA"/>
        </w:rPr>
        <w:t xml:space="preserve">. </w:t>
      </w:r>
    </w:p>
    <w:p w:rsidR="00EA4E9A" w:rsidRDefault="00DA5768">
      <w:pPr>
        <w:pStyle w:val="a5"/>
        <w:rPr>
          <w:rFonts w:hint="default"/>
        </w:rPr>
      </w:pPr>
      <w:r>
        <w:rPr>
          <w:rFonts w:cs="Times New Roman"/>
          <w:rtl/>
          <w:lang w:val="ar-SA"/>
        </w:rPr>
        <w:t>أفاد السيد الخوئي قدس سره بعد بيان طريقة أخذ العنوان الملازم أنه لو تنزلنا والتزمنا بأن هذه الطريقة غير صحيحة ولكن مع ذلك يمكن للمولى في الموارد التي تعلق غرضه بإتيان العمل بالداعي القربي أن يبيّن توقف غر</w:t>
      </w:r>
      <w:r>
        <w:rPr>
          <w:rFonts w:cs="Times New Roman"/>
          <w:rtl/>
          <w:lang w:val="ar-SA"/>
        </w:rPr>
        <w:t>ضه على قصد القربة بالجملة الخبرية مثل أن يقول أولاً</w:t>
      </w:r>
      <w:r>
        <w:rPr>
          <w:rFonts w:ascii="Al Nile" w:hAnsi="Al Nile"/>
          <w:rtl/>
          <w:lang w:val="ar-SA"/>
        </w:rPr>
        <w:t>: (</w:t>
      </w:r>
      <w:r>
        <w:rPr>
          <w:rFonts w:cs="Times New Roman"/>
          <w:rtl/>
          <w:lang w:val="ar-SA"/>
        </w:rPr>
        <w:t>صلّ</w:t>
      </w:r>
      <w:r>
        <w:rPr>
          <w:rFonts w:ascii="Al Nile" w:hAnsi="Al Nile"/>
          <w:rtl/>
          <w:lang w:val="ar-SA"/>
        </w:rPr>
        <w:t xml:space="preserve">) </w:t>
      </w:r>
      <w:r>
        <w:rPr>
          <w:rFonts w:cs="Times New Roman"/>
          <w:rtl/>
          <w:lang w:val="ar-SA"/>
        </w:rPr>
        <w:t>ثم يقول</w:t>
      </w:r>
      <w:r>
        <w:rPr>
          <w:rFonts w:ascii="Al Nile" w:hAnsi="Al Nile"/>
          <w:rtl/>
          <w:lang w:val="ar-SA"/>
        </w:rPr>
        <w:t>: (</w:t>
      </w:r>
      <w:r>
        <w:rPr>
          <w:rFonts w:cs="Times New Roman"/>
          <w:rtl/>
          <w:lang w:val="ar-SA"/>
        </w:rPr>
        <w:t>لا يحصل الغرض من الصلاة المأمور بها إلا أن يؤتى بها بقصد القربة</w:t>
      </w:r>
      <w:r>
        <w:rPr>
          <w:rFonts w:ascii="Al Nile" w:hAnsi="Al Nile"/>
          <w:rtl/>
          <w:lang w:val="ar-SA"/>
        </w:rPr>
        <w:t>).</w:t>
      </w:r>
    </w:p>
    <w:p w:rsidR="00EA4E9A" w:rsidRDefault="00DA5768">
      <w:pPr>
        <w:pStyle w:val="a5"/>
        <w:rPr>
          <w:rFonts w:hint="default"/>
        </w:rPr>
      </w:pPr>
      <w:r>
        <w:rPr>
          <w:rFonts w:cs="Times New Roman"/>
          <w:rtl/>
          <w:lang w:val="ar-SA"/>
        </w:rPr>
        <w:t>توضيح ذلك أن هذا المقدار من بيان تضيّق الغرض بالجملة الخبرية فيه فائدة لأنه لو لم يصل هذا البيان من المولى وإن احتمل المك</w:t>
      </w:r>
      <w:r>
        <w:rPr>
          <w:rFonts w:cs="Times New Roman"/>
          <w:rtl/>
          <w:lang w:val="ar-SA"/>
        </w:rPr>
        <w:t xml:space="preserve">لف دخل قصد القربة في حصول الغرض لكن لا يحكم العقل في فرض الشك بلزوم رعاية هذا القيد بل يحتاج ذلك إلى بيان وإن كان يستفاد من كلام المحقق الآخوند قدس سره أن المكلف إن شك في حصول الغرض بقصد القربة أو بدونه يحكم العقل مستقلاً بلزوم المراعاة لكن الصحيح عدم حكم </w:t>
      </w:r>
      <w:r>
        <w:rPr>
          <w:rFonts w:cs="Times New Roman"/>
          <w:rtl/>
          <w:lang w:val="ar-SA"/>
        </w:rPr>
        <w:t>العقل بذلك كما تقدم توضيحه سابقاً فإن ما يجب مراعاته بحكم العقل تكاليف المولى وأوامره ونواهيه لا أكثر</w:t>
      </w:r>
      <w:r>
        <w:rPr>
          <w:rFonts w:ascii="Al Nile" w:hAnsi="Al Nile"/>
          <w:rtl/>
          <w:lang w:val="ar-SA"/>
        </w:rPr>
        <w:t>.</w:t>
      </w:r>
    </w:p>
    <w:p w:rsidR="00EA4E9A" w:rsidRDefault="00DA5768" w:rsidP="00B22FC8">
      <w:pPr>
        <w:pStyle w:val="a5"/>
        <w:rPr>
          <w:rFonts w:hint="default"/>
        </w:rPr>
      </w:pPr>
      <w:r>
        <w:rPr>
          <w:rFonts w:cs="Times New Roman"/>
          <w:rtl/>
          <w:lang w:val="ar-SA"/>
        </w:rPr>
        <w:t xml:space="preserve">نعم، فيما إذا </w:t>
      </w:r>
      <w:r w:rsidR="00B22FC8">
        <w:rPr>
          <w:rFonts w:cs="Times New Roman"/>
          <w:rtl/>
          <w:lang w:val="ar-SA"/>
        </w:rPr>
        <w:t>أ</w:t>
      </w:r>
      <w:r>
        <w:rPr>
          <w:rFonts w:cs="Times New Roman"/>
          <w:rtl/>
          <w:lang w:val="ar-SA"/>
        </w:rPr>
        <w:t xml:space="preserve">حرز وجود الغرض الإلزامي وإن لم يكن هناك أمر أو نهي من المولى يحكم العقل بلزوم تحصيل ذلك الغرض بالإتيان في الواجبات والترك في المحرّمات </w:t>
      </w:r>
      <w:r>
        <w:rPr>
          <w:rFonts w:cs="Times New Roman"/>
          <w:rtl/>
          <w:lang w:val="ar-SA"/>
        </w:rPr>
        <w:t xml:space="preserve">ولكن تحصيل الغرض لازم بالمقدار المعلوم للمكلف وإذا شك في سعة </w:t>
      </w:r>
      <w:r>
        <w:rPr>
          <w:rFonts w:cs="Times New Roman"/>
          <w:rtl/>
          <w:lang w:val="ar-SA"/>
        </w:rPr>
        <w:lastRenderedPageBreak/>
        <w:t>الغرض وضيقه لا يلزم أن يأتي بالعمل بنحو يحرز حصول الغرض بل يحكم العقل بالإتيان بمتعلق الأمر لا أكثر</w:t>
      </w:r>
      <w:r>
        <w:rPr>
          <w:rFonts w:ascii="Al Nile" w:hAnsi="Al Nile"/>
          <w:rtl/>
          <w:lang w:val="ar-SA"/>
        </w:rPr>
        <w:t>.</w:t>
      </w:r>
    </w:p>
    <w:p w:rsidR="00EA4E9A" w:rsidRDefault="00DA5768">
      <w:pPr>
        <w:pStyle w:val="a5"/>
        <w:rPr>
          <w:rFonts w:hint="default"/>
        </w:rPr>
      </w:pPr>
      <w:r>
        <w:rPr>
          <w:rFonts w:cs="Times New Roman"/>
          <w:rtl/>
          <w:lang w:val="ar-SA"/>
        </w:rPr>
        <w:t xml:space="preserve">فبلحاظ أن العقل لا حكم له في فرض الشك بلزوم مراعاة قصد القربة إذا أراد المولى الوصول إلى غرضه </w:t>
      </w:r>
      <w:r>
        <w:rPr>
          <w:rFonts w:cs="Times New Roman"/>
          <w:rtl/>
          <w:lang w:val="ar-SA"/>
        </w:rPr>
        <w:t>من إتيان العمل بقصد القربة بيّنه بالجملة الخبرية فهذه أيضاً طريقة لبيان شرطية أخذ القربة في الواجبات</w:t>
      </w:r>
      <w:r>
        <w:rPr>
          <w:rFonts w:ascii="Al Nile" w:hAnsi="Al Nile"/>
          <w:rtl/>
          <w:lang w:val="ar-SA"/>
        </w:rPr>
        <w:t xml:space="preserve">. </w:t>
      </w:r>
      <w:r>
        <w:rPr>
          <w:rFonts w:cs="Times New Roman"/>
          <w:rtl/>
          <w:lang w:val="ar-SA"/>
        </w:rPr>
        <w:t xml:space="preserve">نعم، من المعلوم أن هذه الطريقة ليست في عرض الطرق السابقة فإن الطرق السابقة كانت توجّه أخذ قصد القربة في متعلق التكليف ولكن هذه طريقة لبيان ضيق الغرض وسوق </w:t>
      </w:r>
      <w:r>
        <w:rPr>
          <w:rFonts w:cs="Times New Roman"/>
          <w:rtl/>
          <w:lang w:val="ar-SA"/>
        </w:rPr>
        <w:t>المكلف نحو العمل بقصد القربة بعد الاعتراف بأن قصد القربة غير قابل للأخذ في المتعلق</w:t>
      </w:r>
      <w:r>
        <w:rPr>
          <w:rFonts w:ascii="Al Nile" w:hAnsi="Al Nile"/>
          <w:rtl/>
          <w:lang w:val="ar-SA"/>
        </w:rPr>
        <w:t>.</w:t>
      </w:r>
    </w:p>
    <w:p w:rsidR="00EA4E9A" w:rsidRDefault="00DA5768">
      <w:pPr>
        <w:pStyle w:val="a5"/>
        <w:rPr>
          <w:rFonts w:hint="default"/>
        </w:rPr>
      </w:pPr>
      <w:r>
        <w:rPr>
          <w:rFonts w:cs="Times New Roman"/>
          <w:rtl/>
          <w:lang w:val="ar-SA"/>
        </w:rPr>
        <w:t>فلذا لا معنى للتمسك بإطلاق الخطاب في هذه الطريقة كالطرق السابقة لأنه على أساس تلك الطرق قصد القربة قابل للأخذ في نفس المتعلق فإذا لم يذكر المولى اعتباره في التكليف يتمسك با</w:t>
      </w:r>
      <w:r>
        <w:rPr>
          <w:rFonts w:cs="Times New Roman"/>
          <w:rtl/>
          <w:lang w:val="ar-SA"/>
        </w:rPr>
        <w:t>لإطلاق اللفظي لنفيه ولكن على أساس هذه الطريقة لا يمكن التمسك بالإطلاق إذ المفروض عدم إمكان أخذ القيد فهذه الطريقة قابلة للالتزام لكن بعنوان طريقة في طول الطرق السابقة لا عرضها</w:t>
      </w:r>
      <w:r>
        <w:rPr>
          <w:rFonts w:ascii="Al Nile" w:hAnsi="Al Nile"/>
          <w:rtl/>
          <w:lang w:val="ar-SA"/>
        </w:rPr>
        <w:t xml:space="preserve">. </w:t>
      </w:r>
    </w:p>
    <w:p w:rsidR="00EA4E9A" w:rsidRDefault="00DA5768">
      <w:pPr>
        <w:pStyle w:val="a5"/>
        <w:rPr>
          <w:rFonts w:hint="default"/>
        </w:rPr>
      </w:pPr>
      <w:r>
        <w:rPr>
          <w:rFonts w:cs="Times New Roman"/>
          <w:rtl/>
          <w:lang w:val="ar-SA"/>
        </w:rPr>
        <w:t>وبهذا يتم البحث عن النقاط الخمس لما أفاده المحقق الآخوند قدس سره في المقدمة ال</w:t>
      </w:r>
      <w:r>
        <w:rPr>
          <w:rFonts w:cs="Times New Roman"/>
          <w:rtl/>
          <w:lang w:val="ar-SA"/>
        </w:rPr>
        <w:t>ثانية</w:t>
      </w:r>
      <w:r>
        <w:rPr>
          <w:rFonts w:ascii="Al Nile" w:hAnsi="Al Nile"/>
          <w:rtl/>
          <w:lang w:val="ar-SA"/>
        </w:rPr>
        <w:t>.</w:t>
      </w:r>
    </w:p>
    <w:p w:rsidR="00EA4E9A" w:rsidRDefault="00DA5768">
      <w:pPr>
        <w:pStyle w:val="a5"/>
        <w:rPr>
          <w:rFonts w:hint="default"/>
        </w:rPr>
      </w:pPr>
      <w:r>
        <w:rPr>
          <w:rFonts w:cs="Times New Roman"/>
          <w:shd w:val="clear" w:color="auto" w:fill="FFFFFF"/>
          <w:rtl/>
          <w:lang w:val="ar-SA"/>
        </w:rPr>
        <w:t>وصلّى الله على</w:t>
      </w:r>
      <w:bookmarkStart w:id="0" w:name="_GoBack"/>
      <w:bookmarkEnd w:id="0"/>
      <w:r>
        <w:rPr>
          <w:rFonts w:cs="Times New Roman"/>
          <w:shd w:val="clear" w:color="auto" w:fill="FFFFFF"/>
          <w:rtl/>
          <w:lang w:val="ar-SA"/>
        </w:rPr>
        <w:t xml:space="preserve"> محمد وآله الطاهرين</w:t>
      </w:r>
      <w:r>
        <w:rPr>
          <w:rFonts w:ascii="Al Nile" w:hAnsi="Al Nile"/>
          <w:shd w:val="clear" w:color="auto" w:fill="FFFFFF"/>
          <w:rtl/>
          <w:lang w:val="ar-SA"/>
        </w:rPr>
        <w:t>.</w:t>
      </w:r>
    </w:p>
    <w:sectPr w:rsidR="00EA4E9A">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768" w:rsidRDefault="00DA5768">
      <w:r>
        <w:separator/>
      </w:r>
    </w:p>
  </w:endnote>
  <w:endnote w:type="continuationSeparator" w:id="0">
    <w:p w:rsidR="00DA5768" w:rsidRDefault="00DA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Cambria"/>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9A" w:rsidRDefault="00DA5768">
    <w:pPr>
      <w:pStyle w:val="a4"/>
      <w:jc w:val="center"/>
    </w:pPr>
    <w:r>
      <w:fldChar w:fldCharType="begin"/>
    </w:r>
    <w:r>
      <w:instrText xml:space="preserve"> PAGE </w:instrText>
    </w:r>
    <w:r w:rsidR="000411D0">
      <w:fldChar w:fldCharType="separate"/>
    </w:r>
    <w:r w:rsidR="00B22FC8">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768" w:rsidRDefault="00DA5768">
      <w:r>
        <w:separator/>
      </w:r>
    </w:p>
  </w:footnote>
  <w:footnote w:type="continuationSeparator" w:id="0">
    <w:p w:rsidR="00DA5768" w:rsidRDefault="00DA5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9A" w:rsidRDefault="00EA4E9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A4E9A"/>
    <w:rsid w:val="000411D0"/>
    <w:rsid w:val="00B22FC8"/>
    <w:rsid w:val="00DA5768"/>
    <w:rsid w:val="00EA4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850</Words>
  <Characters>4845</Characters>
  <Application>Microsoft Office Word</Application>
  <DocSecurity>0</DocSecurity>
  <Lines>40</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2022-12-21T18:36:00Z</dcterms:created>
  <dcterms:modified xsi:type="dcterms:W3CDTF">2022-12-21T19:02:00Z</dcterms:modified>
</cp:coreProperties>
</file>