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BBE" w:rsidRDefault="0089754D">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٤٠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٢٣</w:t>
      </w:r>
    </w:p>
    <w:p w:rsidR="00125BBE" w:rsidRDefault="0089754D">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125BBE" w:rsidRDefault="0089754D">
      <w:pPr>
        <w:pStyle w:val="a5"/>
        <w:rPr>
          <w:rFonts w:hint="default"/>
        </w:rPr>
      </w:pPr>
      <w:r>
        <w:rPr>
          <w:rFonts w:cs="Times New Roman"/>
          <w:rtl/>
          <w:lang w:val="ar-SA"/>
        </w:rPr>
        <w:t>قلنا المحقق الآخوند قدس سره استدل على عدم إمكان التمسك بإطلاق الخطاب لإثبات التوصلية بمقدمات ثلاث</w:t>
      </w:r>
      <w:r>
        <w:rPr>
          <w:rFonts w:ascii="Al Nile" w:hAnsi="Al Nile"/>
          <w:rtl/>
          <w:lang w:val="ar-SA"/>
        </w:rPr>
        <w:t xml:space="preserve">: </w:t>
      </w:r>
      <w:r>
        <w:rPr>
          <w:rFonts w:cs="Times New Roman"/>
          <w:rtl/>
          <w:lang w:val="ar-SA"/>
        </w:rPr>
        <w:t>الأولى</w:t>
      </w:r>
      <w:r>
        <w:rPr>
          <w:rFonts w:ascii="Al Nile" w:hAnsi="Al Nile"/>
          <w:rtl/>
          <w:lang w:val="ar-SA"/>
        </w:rPr>
        <w:t xml:space="preserve">: </w:t>
      </w:r>
      <w:r>
        <w:rPr>
          <w:rFonts w:cs="Times New Roman"/>
          <w:rtl/>
          <w:lang w:val="ar-SA"/>
        </w:rPr>
        <w:t>في تعريف</w:t>
      </w:r>
      <w:r>
        <w:rPr>
          <w:rFonts w:cs="Times New Roman"/>
          <w:rtl/>
          <w:lang w:val="ar-SA"/>
        </w:rPr>
        <w:t xml:space="preserve"> التعبدي والتوصلي وكانت تامةً والثانية في عدم إمكان أخذ القربة في متعلق التكليف وبحثنا عنها وكانت النتيجة إمكان الأخذ بنحو الجزئية</w:t>
      </w:r>
      <w:r>
        <w:rPr>
          <w:rFonts w:ascii="Al Nile" w:hAnsi="Al Nile"/>
          <w:rtl/>
          <w:lang w:val="ar-SA"/>
        </w:rPr>
        <w:t>.</w:t>
      </w:r>
    </w:p>
    <w:p w:rsidR="00125BBE" w:rsidRDefault="0089754D" w:rsidP="001360EF">
      <w:pPr>
        <w:pStyle w:val="a5"/>
        <w:rPr>
          <w:rFonts w:hint="default"/>
        </w:rPr>
      </w:pPr>
      <w:r>
        <w:rPr>
          <w:rFonts w:cs="Times New Roman"/>
          <w:rtl/>
          <w:lang w:val="ar-SA"/>
        </w:rPr>
        <w:t>وصل الكلام إلى المقدمة الثالثة ومحصلها أن</w:t>
      </w:r>
      <w:r>
        <w:rPr>
          <w:rFonts w:cs="Times New Roman"/>
          <w:rtl/>
          <w:cs/>
        </w:rPr>
        <w:t xml:space="preserve"> التمسك بالإطلاق لنفي اعتبار القيد يصح فيما إذا أمكن أخذ ذلك القيد في متعلق الأمر</w:t>
      </w:r>
      <w:r>
        <w:rPr>
          <w:rFonts w:ascii="Al Nile" w:hAnsi="Al Nile"/>
          <w:rtl/>
          <w:lang w:val="ar-SA"/>
        </w:rPr>
        <w:t xml:space="preserve"> </w:t>
      </w:r>
      <w:r>
        <w:rPr>
          <w:rFonts w:cs="Times New Roman"/>
          <w:rtl/>
          <w:cs/>
        </w:rPr>
        <w:t>و</w:t>
      </w:r>
      <w:r>
        <w:rPr>
          <w:rFonts w:cs="Times New Roman"/>
          <w:rtl/>
          <w:cs/>
        </w:rPr>
        <w:t xml:space="preserve">حيث </w:t>
      </w:r>
      <w:r>
        <w:rPr>
          <w:rFonts w:cs="Times New Roman"/>
          <w:rtl/>
          <w:lang w:val="ar-SA"/>
        </w:rPr>
        <w:t>بنى قدس سره</w:t>
      </w:r>
      <w:r>
        <w:rPr>
          <w:rFonts w:cs="Times New Roman"/>
          <w:rtl/>
          <w:cs/>
        </w:rPr>
        <w:t xml:space="preserve"> في المقدمة الثانية على أ</w:t>
      </w:r>
      <w:r w:rsidR="001360EF">
        <w:rPr>
          <w:rFonts w:cs="Times New Roman"/>
          <w:rtl/>
          <w:cs/>
        </w:rPr>
        <w:t xml:space="preserve">نه </w:t>
      </w:r>
      <w:r>
        <w:rPr>
          <w:rFonts w:cs="Times New Roman"/>
          <w:rtl/>
          <w:cs/>
        </w:rPr>
        <w:t>لا يمكن أخذ</w:t>
      </w:r>
      <w:r>
        <w:rPr>
          <w:rFonts w:cs="Times New Roman"/>
          <w:rtl/>
          <w:lang w:val="ar-SA"/>
        </w:rPr>
        <w:t xml:space="preserve"> قصد القربة</w:t>
      </w:r>
      <w:r>
        <w:rPr>
          <w:rFonts w:cs="Times New Roman"/>
          <w:rtl/>
          <w:cs/>
        </w:rPr>
        <w:t xml:space="preserve"> في متعلق التكليف </w:t>
      </w:r>
      <w:r>
        <w:rPr>
          <w:rFonts w:cs="Times New Roman"/>
          <w:rtl/>
          <w:lang w:val="ar-SA"/>
        </w:rPr>
        <w:t>فإذا</w:t>
      </w:r>
      <w:r>
        <w:rPr>
          <w:rFonts w:cs="Times New Roman"/>
          <w:rtl/>
          <w:cs/>
        </w:rPr>
        <w:t xml:space="preserve"> شككنا في اعتبار قصد القربة لا يمكننا التمسك بالإطلاق </w:t>
      </w:r>
      <w:r>
        <w:rPr>
          <w:rFonts w:cs="Times New Roman"/>
          <w:rtl/>
          <w:lang w:val="ar-SA"/>
        </w:rPr>
        <w:t>لنفيه</w:t>
      </w:r>
      <w:r>
        <w:rPr>
          <w:rFonts w:ascii="Al Nile" w:hAnsi="Al Nile"/>
        </w:rPr>
        <w:t>.</w:t>
      </w:r>
    </w:p>
    <w:p w:rsidR="00125BBE" w:rsidRDefault="0089754D">
      <w:pPr>
        <w:pStyle w:val="a5"/>
        <w:rPr>
          <w:rFonts w:hint="default"/>
        </w:rPr>
      </w:pPr>
      <w:r>
        <w:rPr>
          <w:rFonts w:cs="Times New Roman"/>
          <w:rtl/>
          <w:lang w:val="ar-SA"/>
        </w:rPr>
        <w:t>قلنا سابقاً أن هذه المقدمة تامة لأنه عندما لا يمكن أخذ قصد القربة في متعلق التكليف يكون متعلق التكليف في الو</w:t>
      </w:r>
      <w:r>
        <w:rPr>
          <w:rFonts w:cs="Times New Roman"/>
          <w:rtl/>
          <w:lang w:val="ar-SA"/>
        </w:rPr>
        <w:t>اجب التعبدي والتوصلي حسب مقام الثبوت ذات الفعل بلا قيد مثلاً في وجوب الزكاة سواء كان واجباً تعبدياً أو توصلياً يكون الوجوب متعلقاً بذات الزكاة إذ المفروض عدم إمكان أخذ قصد القربة في المتعلق وعليه إذا شككنا في أن الزكاة واجب تعبدي أو توصلي لا يمكن التمسك بإ</w:t>
      </w:r>
      <w:r>
        <w:rPr>
          <w:rFonts w:cs="Times New Roman"/>
          <w:rtl/>
          <w:lang w:val="ar-SA"/>
        </w:rPr>
        <w:t>طلاق الخطاب لإثبات التوصلية بأن يقال الإطلاق في مقام الإثبات يكشف عن الإطلاق في مقام الثبوت لأن المتعلق على كلا التقديرين التعبدية والتوصلية بلا قيد فلا وجه للتمسك بالإطلاق لنفي أحدهما وإثبات الآخر</w:t>
      </w:r>
      <w:r>
        <w:rPr>
          <w:rFonts w:ascii="Al Nile" w:hAnsi="Al Nile"/>
          <w:rtl/>
          <w:lang w:val="ar-SA"/>
        </w:rPr>
        <w:t>.</w:t>
      </w:r>
    </w:p>
    <w:p w:rsidR="00125BBE" w:rsidRDefault="0089754D">
      <w:pPr>
        <w:pStyle w:val="a5"/>
        <w:rPr>
          <w:rFonts w:hint="default"/>
        </w:rPr>
      </w:pPr>
      <w:r>
        <w:rPr>
          <w:rFonts w:cs="Times New Roman"/>
          <w:rtl/>
          <w:lang w:val="ar-SA"/>
        </w:rPr>
        <w:t>بهذا التوضيح اتضح أنه لا فرق في تمامية المقدمة الثالثة بي</w:t>
      </w:r>
      <w:r>
        <w:rPr>
          <w:rFonts w:cs="Times New Roman"/>
          <w:rtl/>
          <w:lang w:val="ar-SA"/>
        </w:rPr>
        <w:t xml:space="preserve">ن القول بأن تقابل الإطلاق والتقييد من تقابل الملكة وعدمها </w:t>
      </w:r>
      <w:r>
        <w:rPr>
          <w:rFonts w:ascii="Al Nile" w:hAnsi="Al Nile"/>
          <w:rtl/>
          <w:lang w:val="ar-SA"/>
        </w:rPr>
        <w:t xml:space="preserve">- </w:t>
      </w:r>
      <w:r>
        <w:rPr>
          <w:rFonts w:cs="Times New Roman"/>
          <w:rtl/>
          <w:lang w:val="ar-SA"/>
        </w:rPr>
        <w:t xml:space="preserve">كما هو مختار المحقق النائيني قدس سره </w:t>
      </w:r>
      <w:r>
        <w:rPr>
          <w:rFonts w:ascii="Al Nile" w:hAnsi="Al Nile"/>
          <w:rtl/>
          <w:lang w:val="ar-SA"/>
        </w:rPr>
        <w:t xml:space="preserve">- </w:t>
      </w:r>
      <w:r>
        <w:rPr>
          <w:rFonts w:cs="Times New Roman"/>
          <w:rtl/>
          <w:lang w:val="ar-SA"/>
        </w:rPr>
        <w:t xml:space="preserve">أو من قبيل تقابل السلب والإيجاب </w:t>
      </w:r>
      <w:r>
        <w:rPr>
          <w:rFonts w:ascii="Al Nile" w:hAnsi="Al Nile"/>
          <w:rtl/>
          <w:lang w:val="ar-SA"/>
        </w:rPr>
        <w:t xml:space="preserve">- </w:t>
      </w:r>
      <w:r>
        <w:rPr>
          <w:rFonts w:cs="Times New Roman"/>
          <w:rtl/>
          <w:lang w:val="ar-SA"/>
        </w:rPr>
        <w:t xml:space="preserve">كما هو المشهور ومختار المحقق الإصفهاني والميرزا التبريزي والسيد الصدر قدست أسرارهم </w:t>
      </w:r>
      <w:r>
        <w:rPr>
          <w:rFonts w:ascii="Al Nile" w:hAnsi="Al Nile"/>
          <w:rtl/>
          <w:lang w:val="ar-SA"/>
        </w:rPr>
        <w:t xml:space="preserve">- </w:t>
      </w:r>
      <w:r>
        <w:rPr>
          <w:rFonts w:cs="Times New Roman"/>
          <w:rtl/>
          <w:lang w:val="ar-SA"/>
        </w:rPr>
        <w:t xml:space="preserve">أو تقابل التضاد </w:t>
      </w:r>
      <w:r>
        <w:rPr>
          <w:rFonts w:ascii="Al Nile" w:hAnsi="Al Nile"/>
          <w:rtl/>
          <w:lang w:val="ar-SA"/>
        </w:rPr>
        <w:t xml:space="preserve">- </w:t>
      </w:r>
      <w:r>
        <w:rPr>
          <w:rFonts w:cs="Times New Roman"/>
          <w:rtl/>
          <w:lang w:val="ar-SA"/>
        </w:rPr>
        <w:t>كما هو مختار السيد ا</w:t>
      </w:r>
      <w:r>
        <w:rPr>
          <w:rFonts w:cs="Times New Roman"/>
          <w:rtl/>
          <w:lang w:val="ar-SA"/>
        </w:rPr>
        <w:t xml:space="preserve">لخوئي قدس سره </w:t>
      </w:r>
      <w:r>
        <w:rPr>
          <w:rFonts w:ascii="Al Nile" w:hAnsi="Al Nile"/>
          <w:rtl/>
          <w:lang w:val="ar-SA"/>
        </w:rPr>
        <w:t xml:space="preserve">- </w:t>
      </w:r>
      <w:r>
        <w:rPr>
          <w:rFonts w:cs="Times New Roman"/>
          <w:rtl/>
          <w:lang w:val="ar-SA"/>
        </w:rPr>
        <w:t>لا تأثير لهذا الخلاف في نحو التقابل في مطلب المحقق الآخوند قدس سره فلا حاجة إلى التعرض له في المقام والوجه في عدم التأثير أن المفروض عدم الفرق بين التوصلي والتعبدي حسب مقام الثبوت وكلاهما بلا قيد فلا فرق بين كون عدم القيد بنحو السلب والإيجا</w:t>
      </w:r>
      <w:r>
        <w:rPr>
          <w:rFonts w:cs="Times New Roman"/>
          <w:rtl/>
          <w:lang w:val="ar-SA"/>
        </w:rPr>
        <w:t>ب أو العدم والملكة أو التضاد على كل هذه المباني لا يمكن التمسك بالإطلاق لأن التمسك بالإطلاق في مقام الإثبات إنما يفيد فيما كان بين طرفي الترديد ثبوتاً فرق وأما مع عدم الفرق فلا تفاوت بين المباني المذكورة</w:t>
      </w:r>
      <w:r>
        <w:rPr>
          <w:rFonts w:ascii="Al Nile" w:hAnsi="Al Nile"/>
          <w:rtl/>
          <w:lang w:val="ar-SA"/>
        </w:rPr>
        <w:t>.</w:t>
      </w:r>
    </w:p>
    <w:p w:rsidR="00125BBE" w:rsidRDefault="0089754D">
      <w:pPr>
        <w:pStyle w:val="a5"/>
        <w:rPr>
          <w:rFonts w:hint="default"/>
        </w:rPr>
      </w:pPr>
      <w:r>
        <w:rPr>
          <w:rFonts w:cs="Times New Roman"/>
          <w:rtl/>
          <w:lang w:val="ar-SA"/>
        </w:rPr>
        <w:t xml:space="preserve">نعم، هناك فرق بين هذه المباني من جهة أنه على القول </w:t>
      </w:r>
      <w:r>
        <w:rPr>
          <w:rFonts w:cs="Times New Roman"/>
          <w:rtl/>
          <w:lang w:val="ar-SA"/>
        </w:rPr>
        <w:t>بأن التقابل تقابل الملكة وعدمها يقال إن لم يمكن التقييد في مورد حسب مقام الثبوت فلا يمكن الإطلاق أيضاً لكن على باقي المباني إن لم يمكن التقييد يكون الإطلاق ممكناً بل ضرورياً</w:t>
      </w:r>
      <w:r>
        <w:rPr>
          <w:rFonts w:ascii="Al Nile" w:hAnsi="Al Nile"/>
          <w:rtl/>
          <w:lang w:val="ar-SA"/>
        </w:rPr>
        <w:t>.</w:t>
      </w:r>
    </w:p>
    <w:p w:rsidR="00125BBE" w:rsidRDefault="0089754D">
      <w:pPr>
        <w:pStyle w:val="a5"/>
        <w:rPr>
          <w:rFonts w:hint="default"/>
        </w:rPr>
      </w:pPr>
      <w:r>
        <w:rPr>
          <w:rFonts w:cs="Times New Roman"/>
          <w:rtl/>
          <w:lang w:val="ar-SA"/>
        </w:rPr>
        <w:lastRenderedPageBreak/>
        <w:t xml:space="preserve">لكن يمكن المناقشة في هذا الفرق </w:t>
      </w:r>
      <w:r>
        <w:rPr>
          <w:rFonts w:ascii="Al Nile" w:hAnsi="Al Nile"/>
          <w:rtl/>
          <w:lang w:val="ar-SA"/>
        </w:rPr>
        <w:t xml:space="preserve">- </w:t>
      </w:r>
      <w:r>
        <w:rPr>
          <w:rFonts w:cs="Times New Roman"/>
          <w:rtl/>
          <w:lang w:val="ar-SA"/>
        </w:rPr>
        <w:t xml:space="preserve">كما في كلام السيد الخوئي قدس سره </w:t>
      </w:r>
      <w:r>
        <w:rPr>
          <w:rFonts w:ascii="Al Nile" w:hAnsi="Al Nile"/>
          <w:rtl/>
          <w:lang w:val="ar-SA"/>
        </w:rPr>
        <w:t xml:space="preserve">- </w:t>
      </w:r>
      <w:r>
        <w:rPr>
          <w:rFonts w:cs="Times New Roman"/>
          <w:rtl/>
          <w:lang w:val="ar-SA"/>
        </w:rPr>
        <w:t>بأن استحالة ا</w:t>
      </w:r>
      <w:r>
        <w:rPr>
          <w:rFonts w:cs="Times New Roman"/>
          <w:rtl/>
          <w:lang w:val="ar-SA"/>
        </w:rPr>
        <w:t>لتقييد على مبنى تقابل الملكة والعدم لا توجب استحالة الإطلاق لإشكالين نقضي وحلي</w:t>
      </w:r>
      <w:r>
        <w:rPr>
          <w:rFonts w:ascii="Al Nile" w:hAnsi="Al Nile"/>
          <w:rtl/>
          <w:lang w:val="ar-SA"/>
        </w:rPr>
        <w:t>:</w:t>
      </w:r>
    </w:p>
    <w:p w:rsidR="00125BBE" w:rsidRDefault="0089754D">
      <w:pPr>
        <w:pStyle w:val="a5"/>
        <w:rPr>
          <w:rFonts w:hint="default"/>
        </w:rPr>
      </w:pPr>
      <w:r>
        <w:rPr>
          <w:rFonts w:cs="Times New Roman"/>
          <w:rtl/>
          <w:lang w:val="ar-SA"/>
        </w:rPr>
        <w:t>أما الإشكال النقضي فبالعلم والجهل بالنسبة إلى ذات الله تعالى حيث يستحيل العلم بذاته لكن لا يستحيل الجهل بها بل يكون ضرورياً مع أن التقابل بين العلم والجهل تقابل الملكة وعدمها</w:t>
      </w:r>
      <w:r>
        <w:rPr>
          <w:rFonts w:ascii="Al Nile" w:hAnsi="Al Nile"/>
          <w:rtl/>
          <w:lang w:val="ar-SA"/>
        </w:rPr>
        <w:t>.</w:t>
      </w:r>
    </w:p>
    <w:p w:rsidR="00125BBE" w:rsidRDefault="0089754D">
      <w:pPr>
        <w:pStyle w:val="a5"/>
        <w:rPr>
          <w:rFonts w:hint="default"/>
        </w:rPr>
      </w:pPr>
      <w:r>
        <w:rPr>
          <w:rFonts w:cs="Times New Roman"/>
          <w:rtl/>
          <w:lang w:val="ar-SA"/>
        </w:rPr>
        <w:t>وأما الإشكال الحلي فهو أن القابلية المعتبرة في الملكة وعدمها القابلية النوعية لا الشخصية يعني لا يلزم أن تكون جميع أفراد الموضوع قابلةً للاتصاف بل يكفي قابلية بعضها وإن لم تكن الباقية قابلةً للاتصاف  بل كان اتصاف البعض محالاً كما في العلم والجهل بالنسبة إل</w:t>
      </w:r>
      <w:r>
        <w:rPr>
          <w:rFonts w:cs="Times New Roman"/>
          <w:rtl/>
          <w:lang w:val="ar-SA"/>
        </w:rPr>
        <w:t>ى ذات الله تعالى حيث يصدق عدم الملكة</w:t>
      </w:r>
      <w:r>
        <w:rPr>
          <w:rFonts w:ascii="Al Nile" w:hAnsi="Al Nile"/>
          <w:rtl/>
          <w:lang w:val="ar-SA"/>
        </w:rPr>
        <w:t xml:space="preserve">. </w:t>
      </w:r>
      <w:r>
        <w:rPr>
          <w:rFonts w:cs="Times New Roman"/>
          <w:rtl/>
          <w:lang w:val="ar-SA"/>
        </w:rPr>
        <w:t>والإطلاق والتقييد من هذا القبيل لأن قابلية نوع الموارد للتقييد كافية واستحالة التقييد في مورد لا توجب استحالة الإطلاق</w:t>
      </w:r>
      <w:r>
        <w:rPr>
          <w:rFonts w:ascii="Al Nile" w:hAnsi="Al Nile"/>
          <w:rtl/>
          <w:lang w:val="ar-SA"/>
        </w:rPr>
        <w:t>.</w:t>
      </w:r>
      <w:r>
        <w:rPr>
          <w:rFonts w:ascii="Al Nile" w:eastAsia="Al Nile" w:hAnsi="Al Nile" w:cs="Al Nile"/>
          <w:vertAlign w:val="superscript"/>
        </w:rPr>
        <w:footnoteReference w:id="2"/>
      </w:r>
    </w:p>
    <w:p w:rsidR="00125BBE" w:rsidRDefault="0089754D">
      <w:pPr>
        <w:pStyle w:val="a5"/>
        <w:rPr>
          <w:rFonts w:hint="default"/>
        </w:rPr>
      </w:pPr>
      <w:r>
        <w:rPr>
          <w:rFonts w:cs="Times New Roman"/>
          <w:rtl/>
          <w:lang w:val="ar-SA"/>
        </w:rPr>
        <w:t xml:space="preserve">فهذا الفرق أيضاً بين المباني في تقابل الإطلاق والتقييد غير تام ولو تم لا يؤثر في محل البحث وهو </w:t>
      </w:r>
      <w:r>
        <w:rPr>
          <w:rFonts w:cs="Times New Roman"/>
          <w:rtl/>
          <w:lang w:val="ar-SA"/>
        </w:rPr>
        <w:t>التمسك بالإطلاق لنفي التعبدية بالتوضيح المتقدم</w:t>
      </w:r>
      <w:r>
        <w:rPr>
          <w:rFonts w:ascii="Al Nile" w:hAnsi="Al Nile"/>
          <w:rtl/>
          <w:lang w:val="ar-SA"/>
        </w:rPr>
        <w:t>.</w:t>
      </w:r>
    </w:p>
    <w:p w:rsidR="00125BBE" w:rsidRDefault="0089754D">
      <w:pPr>
        <w:pStyle w:val="a5"/>
        <w:rPr>
          <w:rFonts w:hint="default"/>
        </w:rPr>
      </w:pPr>
      <w:r>
        <w:rPr>
          <w:rFonts w:cs="Times New Roman"/>
          <w:rtl/>
          <w:lang w:val="ar-SA"/>
        </w:rPr>
        <w:t>هذا كله بناءً على تمامية المقدمة الثانية التي ذكرها المحقق الآخوند قدس سره وهي أن أخذ قصد الأمر في متعلق التكليف غير ممكن</w:t>
      </w:r>
      <w:r>
        <w:rPr>
          <w:rFonts w:ascii="Al Nile" w:hAnsi="Al Nile"/>
          <w:rtl/>
          <w:lang w:val="ar-SA"/>
        </w:rPr>
        <w:t>.</w:t>
      </w:r>
    </w:p>
    <w:p w:rsidR="00125BBE" w:rsidRDefault="0089754D">
      <w:pPr>
        <w:pStyle w:val="a5"/>
        <w:rPr>
          <w:rFonts w:hint="default"/>
        </w:rPr>
      </w:pPr>
      <w:r>
        <w:rPr>
          <w:rFonts w:cs="Times New Roman"/>
          <w:rtl/>
          <w:lang w:val="ar-SA"/>
        </w:rPr>
        <w:t>وأما إذا لم نقبل ما أفاده في تلك المقدمة وقلنا بإمكان أخذ قصد القربة في متعلق الأمر ب</w:t>
      </w:r>
      <w:r>
        <w:rPr>
          <w:rFonts w:cs="Times New Roman"/>
          <w:rtl/>
          <w:lang w:val="ar-SA"/>
        </w:rPr>
        <w:t>نحو من الأنحاء بنحو الشرطية أو الجزئية بأمر واحد أو بأمرين بعنوان قصد الامتثال أو الجامع بينه وبين الدواعي القربية الأخرى أو العنوان الملازم فعند الشك في التعبدية والتوصلية يمكن التمسك بالإطلاق لكشف أن الواجب واجب توصلي</w:t>
      </w:r>
      <w:r>
        <w:rPr>
          <w:rFonts w:ascii="Al Nile" w:hAnsi="Al Nile"/>
          <w:rtl/>
          <w:lang w:val="ar-SA"/>
        </w:rPr>
        <w:t>.</w:t>
      </w:r>
    </w:p>
    <w:p w:rsidR="00125BBE" w:rsidRDefault="0089754D">
      <w:pPr>
        <w:pStyle w:val="a5"/>
        <w:rPr>
          <w:rFonts w:hint="default"/>
        </w:rPr>
      </w:pPr>
      <w:r>
        <w:rPr>
          <w:rFonts w:cs="Times New Roman"/>
          <w:rtl/>
          <w:lang w:val="ar-SA"/>
        </w:rPr>
        <w:t>لكن لابد من تبيين أن الإطلاق الذي ي</w:t>
      </w:r>
      <w:r>
        <w:rPr>
          <w:rFonts w:cs="Times New Roman"/>
          <w:rtl/>
          <w:lang w:val="ar-SA"/>
        </w:rPr>
        <w:t>تمسك به لإثبات التوصلية أي إطلاق إطلاق مادة المتعلق أو إطلاق الصيغة؟</w:t>
      </w:r>
    </w:p>
    <w:p w:rsidR="00125BBE" w:rsidRDefault="0089754D">
      <w:pPr>
        <w:pStyle w:val="a5"/>
        <w:rPr>
          <w:rFonts w:hint="default"/>
        </w:rPr>
      </w:pPr>
      <w:r>
        <w:rPr>
          <w:rFonts w:cs="Times New Roman"/>
          <w:rtl/>
          <w:lang w:val="ar-SA"/>
        </w:rPr>
        <w:t>أفاد الميرزا التبريزي قدس سره أنه إن قلنا في المقدمة الثانية بإمكان أخذ قصد القربة في الأمر الأول أمكن التمسك بإطلاق المادة في متعلق التكليف والقول بأن الإطلاق في مقام الإثبات يكشف عن الإ</w:t>
      </w:r>
      <w:r>
        <w:rPr>
          <w:rFonts w:cs="Times New Roman"/>
          <w:rtl/>
          <w:lang w:val="ar-SA"/>
        </w:rPr>
        <w:t>طلاق في مقام الثبوت فنكشف أن الواجب توصلي</w:t>
      </w:r>
      <w:r>
        <w:rPr>
          <w:rFonts w:ascii="Al Nile" w:hAnsi="Al Nile"/>
          <w:rtl/>
          <w:lang w:val="ar-SA"/>
        </w:rPr>
        <w:t>.</w:t>
      </w:r>
    </w:p>
    <w:p w:rsidR="00125BBE" w:rsidRDefault="0089754D">
      <w:pPr>
        <w:pStyle w:val="a5"/>
        <w:rPr>
          <w:rFonts w:hint="default"/>
        </w:rPr>
      </w:pPr>
      <w:r>
        <w:rPr>
          <w:rFonts w:cs="Times New Roman"/>
          <w:rtl/>
          <w:lang w:val="ar-SA"/>
        </w:rPr>
        <w:t>ولكن إن قلنا في تلك المقدمة بإمكان أخذ قصد الأمر في الأمر الثاني من باب متمم الجعل كما هو مختار المحقق النائيني قدس سره بالتوضيح المتقدم فلا يمكن التمسك بإطلاق المادة لمتعلق التكليف لأن متعلق الأمر الأول على هذا ا</w:t>
      </w:r>
      <w:r>
        <w:rPr>
          <w:rFonts w:cs="Times New Roman"/>
          <w:rtl/>
          <w:lang w:val="ar-SA"/>
        </w:rPr>
        <w:t>لقول ذات العمل سواء كان الواجب تعبدياً أو توصلياً يعني متعلق الأمر الأول ثبوتاً مطلق فلا معنى للتمسك بالإطلاق الإثباتي لمادة المتعلق لتعيين حصة الواجب التوصلي</w:t>
      </w:r>
      <w:r>
        <w:rPr>
          <w:rFonts w:ascii="Al Nile" w:hAnsi="Al Nile"/>
          <w:rtl/>
          <w:lang w:val="ar-SA"/>
        </w:rPr>
        <w:t xml:space="preserve">. </w:t>
      </w:r>
      <w:r>
        <w:rPr>
          <w:rFonts w:cs="Times New Roman"/>
          <w:rtl/>
          <w:lang w:val="ar-SA"/>
        </w:rPr>
        <w:lastRenderedPageBreak/>
        <w:t>والأمر الثاني لا نعلم بوجوده أصلاً لنتمسك بإطلاق مادته</w:t>
      </w:r>
      <w:r>
        <w:rPr>
          <w:rFonts w:ascii="Al Nile" w:hAnsi="Al Nile"/>
          <w:rtl/>
          <w:lang w:val="ar-SA"/>
        </w:rPr>
        <w:t xml:space="preserve">. </w:t>
      </w:r>
      <w:r>
        <w:rPr>
          <w:rFonts w:cs="Times New Roman"/>
          <w:rtl/>
          <w:lang w:val="ar-SA"/>
        </w:rPr>
        <w:t>فالتمسك بالإطلاق لنفي التعبدية لا يكون م</w:t>
      </w:r>
      <w:r>
        <w:rPr>
          <w:rFonts w:cs="Times New Roman"/>
          <w:rtl/>
          <w:lang w:val="ar-SA"/>
        </w:rPr>
        <w:t>ن باب التمسك بإطلاق المتعلق</w:t>
      </w:r>
      <w:r>
        <w:rPr>
          <w:rFonts w:ascii="Al Nile" w:hAnsi="Al Nile"/>
          <w:rtl/>
          <w:lang w:val="ar-SA"/>
        </w:rPr>
        <w:t>.</w:t>
      </w:r>
    </w:p>
    <w:p w:rsidR="00125BBE" w:rsidRDefault="0089754D">
      <w:pPr>
        <w:pStyle w:val="a5"/>
        <w:rPr>
          <w:rFonts w:hint="default"/>
        </w:rPr>
      </w:pPr>
      <w:r>
        <w:rPr>
          <w:rFonts w:cs="Times New Roman"/>
          <w:rtl/>
          <w:lang w:val="ar-SA"/>
        </w:rPr>
        <w:t>ولكن مع ذلك يمكن التمسك بإطلاق الصيغة مثلاً في الزكاة نشك في أنها واجب تعبدي أو توصلي فالأمر الأول على مبنى متمم الجعل على التعبدية متعقب بالأمر الثاني الذي يأمر بإتيان متعلق الأمر الأول بداعي الأمر وعلى التوصلية ليس متعقباً بأ</w:t>
      </w:r>
      <w:r>
        <w:rPr>
          <w:rFonts w:cs="Times New Roman"/>
          <w:rtl/>
          <w:lang w:val="ar-SA"/>
        </w:rPr>
        <w:t>مر ثانٍ وتم الجعل بالأمر الأول</w:t>
      </w:r>
      <w:r>
        <w:rPr>
          <w:rFonts w:ascii="Al Nile" w:hAnsi="Al Nile"/>
          <w:rtl/>
          <w:lang w:val="ar-SA"/>
        </w:rPr>
        <w:t xml:space="preserve">. </w:t>
      </w:r>
      <w:r>
        <w:rPr>
          <w:rFonts w:cs="Times New Roman"/>
          <w:rtl/>
          <w:lang w:val="ar-SA"/>
        </w:rPr>
        <w:t>فإذا شككنا في التعبدية والتوصلية يرجع الشك على المبنى المذكور إلى أن الأمر الأول متعقب بأمر ثانٍ أو لا؟ وهذا الترديد في الحقيقة ترديد في ثبوت الجعل فيمكن التمسك بإطلاق الطلب لنفي الجعل الثاني في مقام الثبوت كالتمسك بإطلاق ال</w:t>
      </w:r>
      <w:r>
        <w:rPr>
          <w:rFonts w:cs="Times New Roman"/>
          <w:rtl/>
          <w:lang w:val="ar-SA"/>
        </w:rPr>
        <w:t xml:space="preserve">طلب لإثبات الطلب الوجوبي لأنه بناءً على كون الفرق بين الوجوب والاستحباب بإطلاق الطلب وتقييده </w:t>
      </w:r>
      <w:r>
        <w:rPr>
          <w:rFonts w:ascii="Al Nile" w:hAnsi="Al Nile"/>
          <w:rtl/>
          <w:lang w:val="ar-SA"/>
        </w:rPr>
        <w:t xml:space="preserve">- </w:t>
      </w:r>
      <w:r>
        <w:rPr>
          <w:rFonts w:cs="Times New Roman"/>
          <w:rtl/>
          <w:lang w:val="ar-SA"/>
        </w:rPr>
        <w:t xml:space="preserve">كما هو مختار الميرزا التبريزي قدس سره </w:t>
      </w:r>
      <w:r>
        <w:rPr>
          <w:rFonts w:ascii="Al Nile" w:hAnsi="Al Nile"/>
          <w:rtl/>
          <w:lang w:val="ar-SA"/>
        </w:rPr>
        <w:t xml:space="preserve">- </w:t>
      </w:r>
      <w:r>
        <w:rPr>
          <w:rFonts w:cs="Times New Roman"/>
          <w:rtl/>
          <w:lang w:val="ar-SA"/>
        </w:rPr>
        <w:t>تكون صيغة الأمر دالةً على أصل الطلب ولكن باعتبار كون الطلب الوجوبي طلباً مطلقاً غير مقترن بالترخيص في الترك والطلب الاستح</w:t>
      </w:r>
      <w:r>
        <w:rPr>
          <w:rFonts w:cs="Times New Roman"/>
          <w:rtl/>
          <w:lang w:val="ar-SA"/>
        </w:rPr>
        <w:t>بابي طلباً مقيداً يكون إطلاق الطلب إثباتاً كاشفاً عن إطلاقه ثبوتاً وأنه غير مقترن بالترخيص</w:t>
      </w:r>
      <w:r>
        <w:rPr>
          <w:rFonts w:ascii="Al Nile" w:hAnsi="Al Nile"/>
          <w:rtl/>
          <w:lang w:val="ar-SA"/>
        </w:rPr>
        <w:t xml:space="preserve">. </w:t>
      </w:r>
      <w:r>
        <w:rPr>
          <w:rFonts w:cs="Times New Roman"/>
          <w:rtl/>
          <w:lang w:val="ar-SA"/>
        </w:rPr>
        <w:t>كذلك في المقام يكون إطلاق الطلب في الأمر بالزكاة وعدم تعقبه بأمر ثانٍ كاشفاً عن كون الأمر الأول غير متعقب ثبوتاً و</w:t>
      </w:r>
      <w:r w:rsidR="001360EF">
        <w:rPr>
          <w:rFonts w:cs="Times New Roman"/>
          <w:rtl/>
          <w:lang w:val="ar-SA"/>
        </w:rPr>
        <w:t xml:space="preserve">أنه </w:t>
      </w:r>
      <w:r>
        <w:rPr>
          <w:rFonts w:cs="Times New Roman"/>
          <w:rtl/>
          <w:lang w:val="ar-SA"/>
        </w:rPr>
        <w:t>تم الجعل به فيكون الواجب توصلياً لا تعبدياً</w:t>
      </w:r>
      <w:r>
        <w:rPr>
          <w:rFonts w:ascii="Al Nile" w:hAnsi="Al Nile"/>
          <w:rtl/>
          <w:lang w:val="ar-SA"/>
        </w:rPr>
        <w:t xml:space="preserve">. </w:t>
      </w:r>
    </w:p>
    <w:p w:rsidR="00125BBE" w:rsidRDefault="0089754D">
      <w:pPr>
        <w:pStyle w:val="a5"/>
        <w:rPr>
          <w:rFonts w:hint="default"/>
        </w:rPr>
      </w:pPr>
      <w:r>
        <w:rPr>
          <w:rFonts w:cs="Times New Roman"/>
          <w:rtl/>
          <w:lang w:val="ar-SA"/>
        </w:rPr>
        <w:t xml:space="preserve">فما </w:t>
      </w:r>
      <w:r>
        <w:rPr>
          <w:rFonts w:cs="Times New Roman"/>
          <w:rtl/>
          <w:lang w:val="ar-SA"/>
        </w:rPr>
        <w:t xml:space="preserve">أفاده المحقق الآخوند قدس سره تام على مختاره في المقدمة الثانية </w:t>
      </w:r>
      <w:r>
        <w:rPr>
          <w:rFonts w:ascii="Al Nile" w:hAnsi="Al Nile"/>
          <w:rtl/>
          <w:lang w:val="ar-SA"/>
        </w:rPr>
        <w:t xml:space="preserve">- </w:t>
      </w:r>
      <w:r>
        <w:rPr>
          <w:rFonts w:cs="Times New Roman"/>
          <w:rtl/>
          <w:lang w:val="ar-SA"/>
        </w:rPr>
        <w:t xml:space="preserve">من عدم إمكان أخذ قصد القربة في متعلق التكليف </w:t>
      </w:r>
      <w:r>
        <w:rPr>
          <w:rFonts w:ascii="Al Nile" w:hAnsi="Al Nile"/>
          <w:rtl/>
          <w:lang w:val="ar-SA"/>
        </w:rPr>
        <w:t xml:space="preserve">- </w:t>
      </w:r>
      <w:r>
        <w:rPr>
          <w:rFonts w:cs="Times New Roman"/>
          <w:rtl/>
          <w:lang w:val="ar-SA"/>
        </w:rPr>
        <w:t>لكن لا يتم بناءً على إمكان الأخذ بنحو من الأنحاء المتقدمة وبناءً عليه يمكن التمسك بالإطلاق اللفظي إطلاق المادة أو إطلاق صيغة الأمر</w:t>
      </w:r>
      <w:r>
        <w:rPr>
          <w:rFonts w:ascii="Al Nile" w:hAnsi="Al Nile"/>
          <w:rtl/>
          <w:lang w:val="ar-SA"/>
        </w:rPr>
        <w:t>.</w:t>
      </w:r>
    </w:p>
    <w:p w:rsidR="00125BBE" w:rsidRDefault="0089754D">
      <w:pPr>
        <w:pStyle w:val="a5"/>
        <w:rPr>
          <w:rFonts w:hint="default"/>
        </w:rPr>
      </w:pPr>
      <w:r>
        <w:rPr>
          <w:rFonts w:cs="Times New Roman"/>
          <w:shd w:val="clear" w:color="auto" w:fill="FFFFFF"/>
          <w:rtl/>
          <w:lang w:val="ar-SA"/>
        </w:rPr>
        <w:t>وصلّى الله ع</w:t>
      </w:r>
      <w:r>
        <w:rPr>
          <w:rFonts w:cs="Times New Roman"/>
          <w:shd w:val="clear" w:color="auto" w:fill="FFFFFF"/>
          <w:rtl/>
          <w:lang w:val="ar-SA"/>
        </w:rPr>
        <w:t>لى محمد وآله الطاهرين</w:t>
      </w:r>
      <w:r>
        <w:rPr>
          <w:rFonts w:ascii="Al Nile" w:hAnsi="Al Nile"/>
          <w:shd w:val="clear" w:color="auto" w:fill="FFFFFF"/>
          <w:rtl/>
          <w:lang w:val="ar-SA"/>
        </w:rPr>
        <w:t>.</w:t>
      </w:r>
      <w:bookmarkStart w:id="0" w:name="_GoBack"/>
      <w:bookmarkEnd w:id="0"/>
    </w:p>
    <w:sectPr w:rsidR="00125BBE">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54D" w:rsidRDefault="0089754D">
      <w:r>
        <w:separator/>
      </w:r>
    </w:p>
  </w:endnote>
  <w:endnote w:type="continuationSeparator" w:id="0">
    <w:p w:rsidR="0089754D" w:rsidRDefault="0089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Cambria"/>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BBE" w:rsidRDefault="0089754D">
    <w:pPr>
      <w:pStyle w:val="a4"/>
      <w:jc w:val="center"/>
    </w:pPr>
    <w:r>
      <w:fldChar w:fldCharType="begin"/>
    </w:r>
    <w:r>
      <w:instrText xml:space="preserve"> PAGE </w:instrText>
    </w:r>
    <w:r w:rsidR="001360EF">
      <w:fldChar w:fldCharType="separate"/>
    </w:r>
    <w:r w:rsidR="001360EF">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54D" w:rsidRDefault="0089754D">
      <w:r>
        <w:separator/>
      </w:r>
    </w:p>
  </w:footnote>
  <w:footnote w:type="continuationSeparator" w:id="0">
    <w:p w:rsidR="0089754D" w:rsidRDefault="0089754D">
      <w:r>
        <w:continuationSeparator/>
      </w:r>
    </w:p>
  </w:footnote>
  <w:footnote w:type="continuationNotice" w:id="1">
    <w:p w:rsidR="0089754D" w:rsidRDefault="0089754D"/>
  </w:footnote>
  <w:footnote w:id="2">
    <w:p w:rsidR="00125BBE" w:rsidRDefault="0089754D">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 xml:space="preserve">محاضرات في علم الأصول، ج٢، ص١٧٥ </w:t>
      </w:r>
      <w:r>
        <w:rPr>
          <w:rFonts w:eastAsia="Arial Unicode MS" w:cs="Arial Unicode MS"/>
          <w:rtl/>
          <w:lang w:val="ar-SA"/>
        </w:rPr>
        <w:t xml:space="preserve">- </w:t>
      </w:r>
      <w:r>
        <w:rPr>
          <w:rFonts w:ascii="Arial Unicode MS" w:eastAsia="Arial Unicode MS" w:hAnsi="Arial Unicode MS" w:cs="Times New Roman" w:hint="cs"/>
          <w:rtl/>
          <w:lang w:val="ar-SA"/>
        </w:rPr>
        <w:t>١٧٦</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BBE" w:rsidRDefault="00125BB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125BBE"/>
    <w:rsid w:val="00125BBE"/>
    <w:rsid w:val="001360EF"/>
    <w:rsid w:val="008975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844</Words>
  <Characters>4811</Characters>
  <Application>Microsoft Office Word</Application>
  <DocSecurity>0</DocSecurity>
  <Lines>40</Lines>
  <Paragraphs>11</Paragraphs>
  <ScaleCrop>false</ScaleCrop>
  <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2022-12-21T19:02:00Z</dcterms:created>
  <dcterms:modified xsi:type="dcterms:W3CDTF">2022-12-21T19:13:00Z</dcterms:modified>
</cp:coreProperties>
</file>