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ECF" w:rsidRDefault="00C806D2">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٢٦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٢</w:t>
      </w:r>
    </w:p>
    <w:p w:rsidR="008D0ECF" w:rsidRDefault="00C806D2">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8D0ECF" w:rsidRDefault="00C806D2">
      <w:pPr>
        <w:pStyle w:val="a5"/>
        <w:rPr>
          <w:rFonts w:hint="default"/>
        </w:rPr>
      </w:pPr>
      <w:r>
        <w:rPr>
          <w:rFonts w:cs="Times New Roman"/>
          <w:rtl/>
          <w:lang w:val="ar-SA"/>
        </w:rPr>
        <w:t>ما زال الكلام في المسألة الثالثة من مسائل بحث التعبدية والتوصلية وهي في الشك في سقوط</w:t>
      </w:r>
      <w:r>
        <w:rPr>
          <w:rFonts w:cs="Times New Roman"/>
          <w:rtl/>
          <w:cs/>
        </w:rPr>
        <w:t xml:space="preserve"> التكليف </w:t>
      </w:r>
      <w:r>
        <w:rPr>
          <w:rFonts w:cs="Times New Roman"/>
          <w:rtl/>
          <w:lang w:val="ar-SA"/>
        </w:rPr>
        <w:t xml:space="preserve">بالإتيان بالفرد المحرّم هل يسقط التكليف المتعلق بالطبيعي بالإتيان بالفرد المحرّم أو لا يسقط؟ </w:t>
      </w:r>
    </w:p>
    <w:p w:rsidR="008D0ECF" w:rsidRDefault="00C806D2">
      <w:pPr>
        <w:pStyle w:val="a5"/>
        <w:rPr>
          <w:rFonts w:hint="default"/>
        </w:rPr>
      </w:pPr>
      <w:r>
        <w:rPr>
          <w:rFonts w:cs="Times New Roman"/>
          <w:rtl/>
          <w:lang w:val="ar-SA"/>
        </w:rPr>
        <w:t xml:space="preserve">قلنا يقع البحث عن مقتضى الأصل في هذه المسألة أيضاً </w:t>
      </w:r>
      <w:r>
        <w:rPr>
          <w:rFonts w:ascii="Al Nile" w:hAnsi="Al Nile"/>
          <w:rtl/>
          <w:lang w:val="ar-SA"/>
        </w:rPr>
        <w:t xml:space="preserve">- </w:t>
      </w:r>
      <w:r>
        <w:rPr>
          <w:rFonts w:cs="Times New Roman"/>
          <w:rtl/>
          <w:lang w:val="ar-SA"/>
        </w:rPr>
        <w:t xml:space="preserve">كالمسألتين السابقتين </w:t>
      </w:r>
      <w:r>
        <w:rPr>
          <w:rFonts w:ascii="Al Nile" w:hAnsi="Al Nile"/>
          <w:rtl/>
          <w:lang w:val="ar-SA"/>
        </w:rPr>
        <w:t xml:space="preserve">- </w:t>
      </w:r>
      <w:r>
        <w:rPr>
          <w:rFonts w:cs="Times New Roman"/>
          <w:rtl/>
          <w:lang w:val="ar-SA"/>
        </w:rPr>
        <w:t>في مقامين وصل الكلام إلى المقام الثاني</w:t>
      </w:r>
      <w:r>
        <w:rPr>
          <w:rFonts w:ascii="Al Nile" w:hAnsi="Al Nile"/>
          <w:rtl/>
          <w:lang w:val="ar-SA"/>
        </w:rPr>
        <w:t xml:space="preserve">: </w:t>
      </w:r>
      <w:r>
        <w:rPr>
          <w:rFonts w:cs="Times New Roman"/>
          <w:rtl/>
          <w:lang w:val="ar-SA"/>
        </w:rPr>
        <w:t>في مقتضى الأصل العملي</w:t>
      </w:r>
    </w:p>
    <w:p w:rsidR="008D0ECF" w:rsidRDefault="00C806D2">
      <w:pPr>
        <w:pStyle w:val="a5"/>
        <w:rPr>
          <w:rFonts w:hint="default"/>
        </w:rPr>
      </w:pPr>
      <w:r>
        <w:rPr>
          <w:rFonts w:cs="Times New Roman"/>
          <w:rtl/>
          <w:lang w:val="ar-SA"/>
        </w:rPr>
        <w:t>كما قلنا في المقام الأول</w:t>
      </w:r>
      <w:r>
        <w:rPr>
          <w:rFonts w:cs="Times New Roman"/>
          <w:rtl/>
          <w:lang w:val="ar-SA"/>
        </w:rPr>
        <w:t xml:space="preserve"> من هذه المسألة الفرد المنهي عنه خارج عن دائرة متعلق التكليف سواء في التقدير الأول </w:t>
      </w:r>
      <w:r>
        <w:rPr>
          <w:rFonts w:ascii="Al Nile" w:hAnsi="Al Nile"/>
          <w:rtl/>
          <w:lang w:val="ar-SA"/>
        </w:rPr>
        <w:t xml:space="preserve">- </w:t>
      </w:r>
      <w:r>
        <w:rPr>
          <w:rFonts w:cs="Times New Roman"/>
          <w:rtl/>
          <w:lang w:val="ar-SA"/>
        </w:rPr>
        <w:t xml:space="preserve">وهو أن تكون النسبة بين المتعلقين العموم والخصوص المطلق </w:t>
      </w:r>
      <w:r>
        <w:rPr>
          <w:rFonts w:ascii="Al Nile" w:hAnsi="Al Nile"/>
          <w:rtl/>
          <w:lang w:val="ar-SA"/>
        </w:rPr>
        <w:t xml:space="preserve">- </w:t>
      </w:r>
      <w:r>
        <w:rPr>
          <w:rFonts w:cs="Times New Roman"/>
          <w:rtl/>
          <w:lang w:val="ar-SA"/>
        </w:rPr>
        <w:t xml:space="preserve">حيث إن خروج الفرد المنهي عنه واضح أو في التقدير الثاني </w:t>
      </w:r>
      <w:r>
        <w:rPr>
          <w:rFonts w:ascii="Al Nile" w:hAnsi="Al Nile"/>
          <w:rtl/>
          <w:lang w:val="ar-SA"/>
        </w:rPr>
        <w:t xml:space="preserve">- </w:t>
      </w:r>
      <w:r>
        <w:rPr>
          <w:rFonts w:cs="Times New Roman"/>
          <w:rtl/>
          <w:cs/>
        </w:rPr>
        <w:t xml:space="preserve">وهو أن تكون النسبة بين المتعلقين العموم والخصوص </w:t>
      </w:r>
      <w:r>
        <w:rPr>
          <w:rFonts w:cs="Times New Roman"/>
          <w:rtl/>
          <w:lang w:val="ar-SA"/>
        </w:rPr>
        <w:t>من وجه وأ</w:t>
      </w:r>
      <w:r>
        <w:rPr>
          <w:rFonts w:cs="Times New Roman"/>
          <w:rtl/>
          <w:lang w:val="ar-SA"/>
        </w:rPr>
        <w:t xml:space="preserve">ن تكون المسألة داخلةً في مسألة اجتماع الأمر والنهي </w:t>
      </w:r>
      <w:r>
        <w:rPr>
          <w:rFonts w:ascii="Al Nile" w:hAnsi="Al Nile"/>
        </w:rPr>
        <w:t>-</w:t>
      </w:r>
      <w:r>
        <w:rPr>
          <w:rFonts w:cs="Times New Roman"/>
          <w:rtl/>
          <w:lang w:val="ar-SA"/>
        </w:rPr>
        <w:t xml:space="preserve"> حيث إن المجمع بناءً على القول بامتناع اجتماع الأمر والنهي وتقديم جانب النهي خارج عن متعلق الأمر</w:t>
      </w:r>
      <w:r>
        <w:rPr>
          <w:rFonts w:ascii="Al Nile" w:hAnsi="Al Nile"/>
          <w:rtl/>
          <w:lang w:val="ar-SA"/>
        </w:rPr>
        <w:t xml:space="preserve">. </w:t>
      </w:r>
      <w:r>
        <w:rPr>
          <w:rFonts w:cs="Times New Roman"/>
          <w:rtl/>
          <w:lang w:val="ar-SA"/>
        </w:rPr>
        <w:t>نعم، بناءً على القول بجواز الاجتماع أو القول بامتناع الاجتماع وتقديم جانب الأمر يكون الأمر في هذا الفرد فع</w:t>
      </w:r>
      <w:r>
        <w:rPr>
          <w:rFonts w:cs="Times New Roman"/>
          <w:rtl/>
          <w:lang w:val="ar-SA"/>
        </w:rPr>
        <w:t>لياً</w:t>
      </w:r>
      <w:r>
        <w:rPr>
          <w:rFonts w:ascii="Al Nile" w:hAnsi="Al Nile"/>
          <w:rtl/>
          <w:lang w:val="ar-SA"/>
        </w:rPr>
        <w:t>.</w:t>
      </w:r>
    </w:p>
    <w:p w:rsidR="008D0ECF" w:rsidRDefault="00C806D2" w:rsidP="004A3097">
      <w:pPr>
        <w:pStyle w:val="a5"/>
        <w:rPr>
          <w:rFonts w:hint="default"/>
        </w:rPr>
      </w:pPr>
      <w:r>
        <w:rPr>
          <w:rFonts w:cs="Times New Roman"/>
          <w:rtl/>
          <w:lang w:val="ar-SA"/>
        </w:rPr>
        <w:t xml:space="preserve">ولكن بناءً على القول بالامتناع </w:t>
      </w:r>
      <w:r>
        <w:rPr>
          <w:rFonts w:cs="Times New Roman"/>
          <w:rtl/>
          <w:lang w:val="ar-SA"/>
        </w:rPr>
        <w:t>وتقديم جانب النهي يكون الفرد المحرّم خارجاً عن دائرة متعلق الأمر ولا يكون مأموراً به فلا وجه لسقوط التكليف المتعلق بالأفراد المباحة بالإتيان بالفرد المحرّم إلا وفاء الفرد المحرّم بالملاك أو ارتفاع م</w:t>
      </w:r>
      <w:r>
        <w:rPr>
          <w:rFonts w:cs="Times New Roman"/>
          <w:rtl/>
          <w:lang w:val="ar-SA"/>
        </w:rPr>
        <w:t>وضوع التكليف به فيكون الشك في سقوط التكليف وعدمه راجعاً إلى الشك في إطلاق التكليف واشتراطه فإن كان التكليف مشروطاً بعدم الإتيان بالفرد المنهي عنه لكونه وافياً بالملاك أو رافعاً لموضوع التكليف سقط التكليف بالإتيان به وإن كان مطلقاً بالنسبة إلى إتيان الفرد ا</w:t>
      </w:r>
      <w:r>
        <w:rPr>
          <w:rFonts w:cs="Times New Roman"/>
          <w:rtl/>
          <w:lang w:val="ar-SA"/>
        </w:rPr>
        <w:t xml:space="preserve">لمنهي عنه </w:t>
      </w:r>
      <w:r>
        <w:rPr>
          <w:rFonts w:cs="Times New Roman"/>
          <w:rtl/>
          <w:cs/>
        </w:rPr>
        <w:t xml:space="preserve">لعدم حمله للملاك ولا رفعه لموضوع التكليف </w:t>
      </w:r>
      <w:r>
        <w:rPr>
          <w:rFonts w:cs="Times New Roman"/>
          <w:rtl/>
          <w:lang w:val="ar-SA"/>
        </w:rPr>
        <w:t>لم يسقط التكليف به والشك في إطلاق التكليف واشتراطه إن كان بلحاظ حدوث التكليف كان الأصل الجاري أصل البراءة وإن كان بلحاظ بقاء التكليف بمعنى أنه في حدوثه مطلق لكن نحتمل اشتراطه بقاءً كان الأصل الجاري استصحاب</w:t>
      </w:r>
      <w:r>
        <w:rPr>
          <w:rFonts w:cs="Times New Roman"/>
          <w:rtl/>
          <w:lang w:val="ar-SA"/>
        </w:rPr>
        <w:t xml:space="preserve"> التكليف بناءً على جريان الاستصحاب في الشبهات الحكمية وقاعدة الاشتغال بناءً على عدم الجريان وكلا الأصلين موافقان للإطلاق ومقتضيان للتعبدية وعدم سقوط التكليف بالإتيان بالفرد المحرّم</w:t>
      </w:r>
      <w:r>
        <w:rPr>
          <w:rFonts w:ascii="Al Nile" w:hAnsi="Al Nile"/>
          <w:rtl/>
          <w:lang w:val="ar-SA"/>
        </w:rPr>
        <w:t>.</w:t>
      </w:r>
    </w:p>
    <w:p w:rsidR="008D0ECF" w:rsidRDefault="00C806D2" w:rsidP="00822B3E">
      <w:pPr>
        <w:pStyle w:val="a5"/>
        <w:rPr>
          <w:rFonts w:hint="default"/>
        </w:rPr>
      </w:pPr>
      <w:r>
        <w:rPr>
          <w:rFonts w:cs="Times New Roman"/>
          <w:rtl/>
          <w:lang w:val="ar-SA"/>
        </w:rPr>
        <w:t xml:space="preserve">بهذا البيان يتضح وجه ما أفاده الميرزا النائيني والسيد الخوئي قدس سرهما في </w:t>
      </w:r>
      <w:r>
        <w:rPr>
          <w:rFonts w:cs="Times New Roman"/>
          <w:rtl/>
          <w:lang w:val="ar-SA"/>
        </w:rPr>
        <w:t>هذه المسألة من أن مقتضى الأصل العملي التعبدية وعدم السقوط لأن الشك في السقوط في نظرهما من موارد الشك في إطلاق نفس التكليف واشتراطه ولا معنى لرجوع الشك إلى كون التكليف تعيينياً أو تخييرياً فإن تعلق التكليف بالجامع منتفٍ يقيناً لخروج الفرد المنهي عنه عن دائر</w:t>
      </w:r>
      <w:r>
        <w:rPr>
          <w:rFonts w:cs="Times New Roman"/>
          <w:rtl/>
          <w:lang w:val="ar-SA"/>
        </w:rPr>
        <w:t xml:space="preserve">ة التكليف بل الشك في إطلاق التكليف واشتراطه وهذا عندهما من موارد الشك في بقاء التكليف لا في حدوثه فيكون </w:t>
      </w:r>
      <w:r>
        <w:rPr>
          <w:rFonts w:cs="Times New Roman"/>
          <w:rtl/>
          <w:lang w:val="ar-SA"/>
        </w:rPr>
        <w:lastRenderedPageBreak/>
        <w:t>مجرى لقاعدة الاشتغال</w:t>
      </w:r>
      <w:r w:rsidR="004A3097">
        <w:rPr>
          <w:rFonts w:cs="Times New Roman"/>
          <w:rtl/>
          <w:lang w:val="ar-SA"/>
        </w:rPr>
        <w:t xml:space="preserve"> او استصحاب</w:t>
      </w:r>
      <w:r w:rsidR="00822B3E">
        <w:rPr>
          <w:rFonts w:cs="Times New Roman"/>
          <w:rtl/>
          <w:lang w:val="ar-SA"/>
        </w:rPr>
        <w:t xml:space="preserve"> التکليف</w:t>
      </w:r>
      <w:r w:rsidR="004A3097">
        <w:rPr>
          <w:rFonts w:cs="Times New Roman" w:hint="default"/>
        </w:rPr>
        <w:t xml:space="preserve"> </w:t>
      </w:r>
      <w:r>
        <w:rPr>
          <w:rFonts w:cs="Times New Roman"/>
          <w:rtl/>
          <w:lang w:val="ar-SA"/>
        </w:rPr>
        <w:t>وه</w:t>
      </w:r>
      <w:r w:rsidR="00822B3E">
        <w:rPr>
          <w:rFonts w:cs="Times New Roman"/>
          <w:rtl/>
          <w:lang w:val="ar-SA"/>
        </w:rPr>
        <w:t>ما</w:t>
      </w:r>
      <w:r>
        <w:rPr>
          <w:rFonts w:cs="Times New Roman"/>
          <w:rtl/>
          <w:lang w:val="ar-SA"/>
        </w:rPr>
        <w:t xml:space="preserve"> يقتض</w:t>
      </w:r>
      <w:r w:rsidR="00822B3E">
        <w:rPr>
          <w:rFonts w:cs="Times New Roman"/>
          <w:rtl/>
          <w:lang w:val="ar-SA"/>
        </w:rPr>
        <w:t>يان</w:t>
      </w:r>
      <w:r>
        <w:rPr>
          <w:rFonts w:cs="Times New Roman"/>
          <w:rtl/>
          <w:lang w:val="ar-SA"/>
        </w:rPr>
        <w:t xml:space="preserve"> التعبدية وعدم سقوط التكليف بالإتيان بالفرد المحرم</w:t>
      </w:r>
      <w:r>
        <w:rPr>
          <w:rFonts w:ascii="Al Nile" w:hAnsi="Al Nile"/>
          <w:rtl/>
          <w:lang w:val="ar-SA"/>
        </w:rPr>
        <w:t>.</w:t>
      </w:r>
    </w:p>
    <w:p w:rsidR="008D0ECF" w:rsidRDefault="00C806D2" w:rsidP="00822B3E">
      <w:pPr>
        <w:pStyle w:val="a5"/>
        <w:rPr>
          <w:rFonts w:hint="default"/>
        </w:rPr>
      </w:pPr>
      <w:r>
        <w:rPr>
          <w:rFonts w:cs="Times New Roman"/>
          <w:rtl/>
          <w:lang w:val="ar-SA"/>
        </w:rPr>
        <w:t xml:space="preserve">ولكن بلحاظ النكتة التي نقلناها </w:t>
      </w:r>
      <w:r>
        <w:rPr>
          <w:rFonts w:cs="Times New Roman"/>
          <w:rtl/>
          <w:cs/>
        </w:rPr>
        <w:t xml:space="preserve">عن السيد الصدر قدس سره </w:t>
      </w:r>
      <w:r>
        <w:rPr>
          <w:rFonts w:cs="Times New Roman"/>
          <w:rtl/>
          <w:lang w:val="ar-SA"/>
        </w:rPr>
        <w:t>في المسألة الأول</w:t>
      </w:r>
      <w:r>
        <w:rPr>
          <w:rFonts w:cs="Times New Roman"/>
          <w:rtl/>
          <w:lang w:val="ar-SA"/>
        </w:rPr>
        <w:t xml:space="preserve">ى </w:t>
      </w:r>
      <w:r>
        <w:rPr>
          <w:rFonts w:ascii="Al Nile" w:hAnsi="Al Nile"/>
          <w:rtl/>
          <w:lang w:val="ar-SA"/>
        </w:rPr>
        <w:t xml:space="preserve">- </w:t>
      </w:r>
      <w:r>
        <w:rPr>
          <w:rFonts w:cs="Times New Roman"/>
          <w:rtl/>
          <w:lang w:val="ar-SA"/>
        </w:rPr>
        <w:t xml:space="preserve">أي الشك في التعبدية والتوصلية بمعنى سقوط التكليف بفعل الغير </w:t>
      </w:r>
      <w:r>
        <w:rPr>
          <w:rFonts w:ascii="Al Nile" w:hAnsi="Al Nile"/>
          <w:rtl/>
          <w:lang w:val="ar-SA"/>
        </w:rPr>
        <w:t xml:space="preserve">- </w:t>
      </w:r>
      <w:r>
        <w:rPr>
          <w:rFonts w:cs="Times New Roman"/>
          <w:rtl/>
          <w:lang w:val="ar-SA"/>
        </w:rPr>
        <w:t xml:space="preserve">وقلنا أنها صحيحة لكن تحتاج إلى إصلاح وتكميل لا يمكن في </w:t>
      </w:r>
      <w:r>
        <w:rPr>
          <w:rFonts w:cs="Times New Roman"/>
          <w:rtl/>
          <w:lang w:val="ar-SA"/>
        </w:rPr>
        <w:t>المسألة</w:t>
      </w:r>
      <w:r w:rsidR="00822B3E">
        <w:rPr>
          <w:rFonts w:cs="Times New Roman"/>
          <w:rtl/>
          <w:lang w:val="ar-SA"/>
        </w:rPr>
        <w:t xml:space="preserve"> الثالثة</w:t>
      </w:r>
      <w:r>
        <w:rPr>
          <w:rFonts w:cs="Times New Roman"/>
          <w:rtl/>
          <w:lang w:val="ar-SA"/>
        </w:rPr>
        <w:t xml:space="preserve"> الحكم بأن مقتضى الأصل العملي التعبدية مطلقاً بل لابد من التفصيل بين التقدير الأول </w:t>
      </w:r>
      <w:r>
        <w:rPr>
          <w:rFonts w:ascii="Al Nile" w:hAnsi="Al Nile"/>
          <w:rtl/>
          <w:lang w:val="ar-SA"/>
        </w:rPr>
        <w:t xml:space="preserve">- </w:t>
      </w:r>
      <w:r>
        <w:rPr>
          <w:rFonts w:cs="Times New Roman"/>
          <w:rtl/>
          <w:lang w:val="ar-SA"/>
        </w:rPr>
        <w:t>وهو أن تكون النسبة بين العنوانين العموم</w:t>
      </w:r>
      <w:r>
        <w:rPr>
          <w:rFonts w:cs="Times New Roman"/>
          <w:rtl/>
          <w:lang w:val="ar-SA"/>
        </w:rPr>
        <w:t xml:space="preserve"> والخصوص المطلق </w:t>
      </w:r>
      <w:r>
        <w:rPr>
          <w:rFonts w:ascii="Al Nile" w:hAnsi="Al Nile"/>
          <w:rtl/>
          <w:lang w:val="ar-SA"/>
        </w:rPr>
        <w:t xml:space="preserve">- </w:t>
      </w:r>
      <w:r>
        <w:rPr>
          <w:rFonts w:cs="Times New Roman"/>
          <w:rtl/>
          <w:lang w:val="ar-SA"/>
        </w:rPr>
        <w:t xml:space="preserve">والتقدير الثاني </w:t>
      </w:r>
      <w:r>
        <w:rPr>
          <w:rFonts w:ascii="Al Nile" w:hAnsi="Al Nile"/>
          <w:rtl/>
          <w:lang w:val="ar-SA"/>
        </w:rPr>
        <w:t xml:space="preserve">- </w:t>
      </w:r>
      <w:r>
        <w:rPr>
          <w:rFonts w:cs="Times New Roman"/>
          <w:rtl/>
          <w:lang w:val="ar-SA"/>
        </w:rPr>
        <w:t xml:space="preserve">وهو أن تكون النسبة بين العنوانين العموم والخصوص من وجه وتدخل المسألة في مسألة اجتماع الأمر والنهي </w:t>
      </w:r>
      <w:r>
        <w:rPr>
          <w:rFonts w:ascii="Al Nile" w:hAnsi="Al Nile"/>
          <w:rtl/>
          <w:lang w:val="ar-SA"/>
        </w:rPr>
        <w:t xml:space="preserve">- </w:t>
      </w:r>
      <w:r>
        <w:rPr>
          <w:rFonts w:cs="Times New Roman"/>
          <w:rtl/>
          <w:lang w:val="ar-SA"/>
        </w:rPr>
        <w:t>وتلك النكتة هي أن سقوط التكليف بفعل الغير له ثلاثة مناشئ إما وفاء فعل الغير بالملاك أو زوال محبوبية فعل المكلف بفعل الغي</w:t>
      </w:r>
      <w:r>
        <w:rPr>
          <w:rFonts w:cs="Times New Roman"/>
          <w:rtl/>
          <w:lang w:val="ar-SA"/>
        </w:rPr>
        <w:t>ر أو عدم إمكان استيفاء الملاك مع بقائه بعد فعل الغير فإن كان منشأ السقوط وفاء فعل الغير بالملاك يكون التكليف مشروطاً في حدوثه بعدم قيام الغير بنحو الشرط المتأخر فقلنا لتكميل هذه النكتة أن</w:t>
      </w:r>
      <w:r>
        <w:rPr>
          <w:rFonts w:cs="Times New Roman"/>
          <w:rtl/>
          <w:lang w:val="ar-SA"/>
        </w:rPr>
        <w:t xml:space="preserve"> مجرد احتمال كون فعل الغير وافياً بالملاك كافٍ لعدم إحراز إطلاق التك</w:t>
      </w:r>
      <w:r>
        <w:rPr>
          <w:rFonts w:cs="Times New Roman"/>
          <w:rtl/>
          <w:lang w:val="ar-SA"/>
        </w:rPr>
        <w:t>ليف واحتمال اشتراطه حدوثاً</w:t>
      </w:r>
      <w:r>
        <w:rPr>
          <w:rFonts w:ascii="Al Nile" w:hAnsi="Al Nile"/>
          <w:rtl/>
          <w:lang w:val="ar-SA"/>
        </w:rPr>
        <w:t>.</w:t>
      </w:r>
    </w:p>
    <w:p w:rsidR="008D0ECF" w:rsidRDefault="00C806D2">
      <w:pPr>
        <w:pStyle w:val="a5"/>
        <w:rPr>
          <w:rFonts w:hint="default"/>
        </w:rPr>
      </w:pPr>
      <w:r>
        <w:rPr>
          <w:rFonts w:cs="Times New Roman"/>
          <w:rtl/>
          <w:lang w:val="ar-SA"/>
        </w:rPr>
        <w:t xml:space="preserve">فبلحاظ هذه النكتة مع تكميلها لابد من التفصيل بين التقديرين لأنه على التقدير الأول </w:t>
      </w:r>
      <w:r>
        <w:rPr>
          <w:rFonts w:ascii="Al Nile" w:hAnsi="Al Nile"/>
          <w:rtl/>
          <w:lang w:val="ar-SA"/>
        </w:rPr>
        <w:t xml:space="preserve">- </w:t>
      </w:r>
      <w:r>
        <w:rPr>
          <w:rFonts w:cs="Times New Roman"/>
          <w:rtl/>
          <w:lang w:val="ar-SA"/>
        </w:rPr>
        <w:t xml:space="preserve">الذي تكون النسبة فيه بين العنوانين العموم والخصوص المطلق كصلّ ولا تصلّ في الحمام أو اغسل ثوبك ولا تغسله بالماء المغصوب </w:t>
      </w:r>
      <w:r>
        <w:rPr>
          <w:rFonts w:ascii="Al Nile" w:hAnsi="Al Nile"/>
          <w:rtl/>
          <w:lang w:val="ar-SA"/>
        </w:rPr>
        <w:t xml:space="preserve">- </w:t>
      </w:r>
      <w:r>
        <w:rPr>
          <w:rFonts w:cs="Times New Roman"/>
          <w:rtl/>
          <w:lang w:val="ar-SA"/>
        </w:rPr>
        <w:t>يقدّم دليل النهي عن الف</w:t>
      </w:r>
      <w:r>
        <w:rPr>
          <w:rFonts w:cs="Times New Roman"/>
          <w:rtl/>
          <w:lang w:val="ar-SA"/>
        </w:rPr>
        <w:t xml:space="preserve">رد الخاص على دليل الأمر في مادة الاجتماع وعندما دل دليل النهي على حرمة مادة الاجتماع يدل بالالتزام على وجود المفسدة الملزمة المحضة أو الغالبة </w:t>
      </w:r>
      <w:r>
        <w:rPr>
          <w:rFonts w:ascii="Al Nile" w:hAnsi="Al Nile"/>
          <w:rtl/>
          <w:lang w:val="ar-SA"/>
        </w:rPr>
        <w:t xml:space="preserve">- </w:t>
      </w:r>
      <w:r>
        <w:rPr>
          <w:rFonts w:cs="Times New Roman"/>
          <w:rtl/>
          <w:lang w:val="ar-SA"/>
        </w:rPr>
        <w:t xml:space="preserve">على الأقل </w:t>
      </w:r>
      <w:r>
        <w:rPr>
          <w:rFonts w:ascii="Al Nile" w:hAnsi="Al Nile"/>
          <w:rtl/>
          <w:lang w:val="ar-SA"/>
        </w:rPr>
        <w:t xml:space="preserve">- </w:t>
      </w:r>
      <w:r>
        <w:rPr>
          <w:rFonts w:cs="Times New Roman"/>
          <w:rtl/>
          <w:lang w:val="ar-SA"/>
        </w:rPr>
        <w:t>في هذا الفرد المحرّم ومقتضى وجود المفسدة الغالبة فيه عدم وجود المصلحة الغالبة فيه لأن الفعل الواحد ل</w:t>
      </w:r>
      <w:r>
        <w:rPr>
          <w:rFonts w:cs="Times New Roman"/>
          <w:rtl/>
          <w:lang w:val="ar-SA"/>
        </w:rPr>
        <w:t xml:space="preserve">ا يمكن أن يكون واجداً للمفسدة الغالبة والمصلحة الغالبة فينتفي احتمال وفاء هذا الفرد بالملاك ويكون منشأ السقوط أمراً آخر إما ارتفاع الموضوع </w:t>
      </w:r>
      <w:r>
        <w:rPr>
          <w:rFonts w:ascii="Al Nile" w:hAnsi="Al Nile"/>
          <w:rtl/>
          <w:lang w:val="ar-SA"/>
        </w:rPr>
        <w:t xml:space="preserve">- </w:t>
      </w:r>
      <w:r>
        <w:rPr>
          <w:rFonts w:cs="Times New Roman"/>
          <w:rtl/>
          <w:lang w:val="ar-SA"/>
        </w:rPr>
        <w:t>كما في كلام المحقق النائيني قدس سره أو زوال المحبوبية أو عدم إمكان استيفاء الملاك وبالنتيجة لا يكون الشك في إطلاق ا</w:t>
      </w:r>
      <w:r>
        <w:rPr>
          <w:rFonts w:cs="Times New Roman"/>
          <w:rtl/>
          <w:lang w:val="ar-SA"/>
        </w:rPr>
        <w:t>لتكليف واشتراطه حدوثاً بل يكون الشك في بقاء التكليف والشك في البقاء مجرى قاعدة الاشتغال أو استصحاب التكليف لا البراءة فيكون مقتضى الأصل العملي في التقدير الأول التعبدية</w:t>
      </w:r>
      <w:r>
        <w:rPr>
          <w:rFonts w:ascii="Al Nile" w:hAnsi="Al Nile"/>
          <w:rtl/>
          <w:lang w:val="ar-SA"/>
        </w:rPr>
        <w:t>.</w:t>
      </w:r>
    </w:p>
    <w:p w:rsidR="008D0ECF" w:rsidRDefault="00C806D2" w:rsidP="00822B3E">
      <w:pPr>
        <w:pStyle w:val="a5"/>
        <w:rPr>
          <w:rFonts w:hint="default"/>
        </w:rPr>
      </w:pPr>
      <w:r>
        <w:rPr>
          <w:rFonts w:cs="Times New Roman"/>
          <w:rtl/>
          <w:lang w:val="ar-SA"/>
        </w:rPr>
        <w:t xml:space="preserve">وعلى التقدير الثاني </w:t>
      </w:r>
      <w:r>
        <w:rPr>
          <w:rFonts w:ascii="Al Nile" w:hAnsi="Al Nile"/>
          <w:rtl/>
          <w:lang w:val="ar-SA"/>
        </w:rPr>
        <w:t xml:space="preserve">- </w:t>
      </w:r>
      <w:r>
        <w:rPr>
          <w:rFonts w:cs="Times New Roman"/>
          <w:rtl/>
          <w:cs/>
        </w:rPr>
        <w:t xml:space="preserve">الذي تكون النسبة فيه بين العنوانين العموم والخصوص </w:t>
      </w:r>
      <w:r>
        <w:rPr>
          <w:rFonts w:cs="Times New Roman"/>
          <w:rtl/>
          <w:lang w:val="ar-SA"/>
        </w:rPr>
        <w:t>من وجه كالصلاة</w:t>
      </w:r>
      <w:r>
        <w:rPr>
          <w:rFonts w:cs="Times New Roman"/>
          <w:rtl/>
          <w:lang w:val="ar-SA"/>
        </w:rPr>
        <w:t xml:space="preserve"> في الدار المغصوبة </w:t>
      </w:r>
      <w:r>
        <w:rPr>
          <w:rFonts w:ascii="Al Nile" w:hAnsi="Al Nile"/>
          <w:rtl/>
          <w:lang w:val="ar-SA"/>
        </w:rPr>
        <w:t xml:space="preserve">- </w:t>
      </w:r>
      <w:r>
        <w:rPr>
          <w:rFonts w:cs="Times New Roman"/>
          <w:rtl/>
          <w:lang w:val="ar-SA"/>
        </w:rPr>
        <w:t>يكون الشك راجعاً إلى إطلاق التكليف واشتراطه في ناحية الحدوث لا البقاء لأن دليل النهي وإن كان بناءً على الامتناع وتقديم جانب النهي دالاً على أن حكم مادة الاجتماع الحرمة وليس الوجوب فعلياً ولكن مقتضى هذا الدليل ليس أكثر من أن مفسدة الغصب</w:t>
      </w:r>
      <w:r>
        <w:rPr>
          <w:rFonts w:cs="Times New Roman"/>
          <w:rtl/>
          <w:lang w:val="ar-SA"/>
        </w:rPr>
        <w:t xml:space="preserve"> في المجموع وبعد الكسر والانكسار غالبة وأما أن العمل من حيث الصلاتية ليس واجداً للمصلحة والملاك المناسب للوجوب فلا يقتضيه دليل النهي</w:t>
      </w:r>
      <w:r>
        <w:rPr>
          <w:rFonts w:ascii="Al Nile" w:hAnsi="Al Nile"/>
          <w:rtl/>
          <w:lang w:val="ar-SA"/>
        </w:rPr>
        <w:t xml:space="preserve">. </w:t>
      </w:r>
      <w:r>
        <w:rPr>
          <w:rFonts w:cs="Times New Roman"/>
          <w:rtl/>
          <w:lang w:val="ar-SA"/>
        </w:rPr>
        <w:t xml:space="preserve">بل أفاد المحقق الآخوند قدس سره أن مادة الاجتماع واجدة لملاك الأمر وملاك النهي معاً وإن أشكل عليه </w:t>
      </w:r>
      <w:r>
        <w:rPr>
          <w:rFonts w:cs="Times New Roman"/>
          <w:rtl/>
          <w:lang w:val="ar-SA"/>
        </w:rPr>
        <w:lastRenderedPageBreak/>
        <w:t>الأعلام بأنه مع تقديم جان</w:t>
      </w:r>
      <w:r>
        <w:rPr>
          <w:rFonts w:cs="Times New Roman"/>
          <w:rtl/>
          <w:lang w:val="ar-SA"/>
        </w:rPr>
        <w:t xml:space="preserve">ب النهي لا كاشف عن الملاك ولكن غاية ما يستفاد من إشكالهم هذا أنه لا كاشف عن المصلحة الغالبة </w:t>
      </w:r>
      <w:r w:rsidR="00822B3E">
        <w:rPr>
          <w:rFonts w:cs="Times New Roman"/>
          <w:rtl/>
          <w:lang w:val="ar-SA"/>
        </w:rPr>
        <w:t xml:space="preserve">بعد </w:t>
      </w:r>
      <w:r>
        <w:rPr>
          <w:rFonts w:cs="Times New Roman"/>
          <w:rtl/>
          <w:lang w:val="ar-SA"/>
        </w:rPr>
        <w:t>زوال الأمر ولكن ما زلنا نحتمل أن مادة الاجتماع من حيث الصلاتية واجد للمصلحة المناسبة لجعل الوجوب ومع وجود هذا الاحتمال يكون الشك في حدوث التكليف حيث يُحتمل وفاء هذ</w:t>
      </w:r>
      <w:r>
        <w:rPr>
          <w:rFonts w:cs="Times New Roman"/>
          <w:rtl/>
          <w:lang w:val="ar-SA"/>
        </w:rPr>
        <w:t>ا الفرد المحرّم بالمصلحة فيكون التكليف مشروطاً حدوثاً بعدم الإتيان بالفرد المحرّم والشك في حدوث التكليف مجرى أصل البراءة لا قاعدة الاشتغال ولا استصحاب بقاء التكليف</w:t>
      </w:r>
      <w:r>
        <w:rPr>
          <w:rFonts w:ascii="Al Nile" w:hAnsi="Al Nile"/>
          <w:rtl/>
          <w:lang w:val="ar-SA"/>
        </w:rPr>
        <w:t>.</w:t>
      </w:r>
    </w:p>
    <w:p w:rsidR="008D0ECF" w:rsidRDefault="00C806D2">
      <w:pPr>
        <w:pStyle w:val="a5"/>
        <w:rPr>
          <w:rFonts w:hint="default"/>
        </w:rPr>
      </w:pPr>
      <w:r>
        <w:rPr>
          <w:rFonts w:cs="Times New Roman"/>
          <w:rtl/>
          <w:lang w:val="ar-SA"/>
        </w:rPr>
        <w:t xml:space="preserve">فعلى التقدير الثاني </w:t>
      </w:r>
      <w:r>
        <w:rPr>
          <w:rFonts w:ascii="Al Nile" w:hAnsi="Al Nile"/>
          <w:rtl/>
          <w:lang w:val="ar-SA"/>
        </w:rPr>
        <w:t xml:space="preserve">- </w:t>
      </w:r>
      <w:r>
        <w:rPr>
          <w:rFonts w:cs="Times New Roman"/>
          <w:rtl/>
          <w:lang w:val="ar-SA"/>
        </w:rPr>
        <w:t xml:space="preserve">بخلاف التقدير الأول </w:t>
      </w:r>
      <w:r>
        <w:rPr>
          <w:rFonts w:ascii="Al Nile" w:hAnsi="Al Nile"/>
          <w:rtl/>
          <w:lang w:val="ar-SA"/>
        </w:rPr>
        <w:t xml:space="preserve">- </w:t>
      </w:r>
      <w:r>
        <w:rPr>
          <w:rFonts w:cs="Times New Roman"/>
          <w:rtl/>
          <w:lang w:val="ar-SA"/>
        </w:rPr>
        <w:t>يرجع الشك إلى حدوث التكليف ويكون مجرى للبراءة و</w:t>
      </w:r>
      <w:r>
        <w:rPr>
          <w:rFonts w:cs="Times New Roman"/>
          <w:rtl/>
          <w:lang w:val="ar-SA"/>
        </w:rPr>
        <w:t>النتيجة توصلية التكليف</w:t>
      </w:r>
      <w:r>
        <w:rPr>
          <w:rFonts w:ascii="Al Nile" w:hAnsi="Al Nile"/>
          <w:rtl/>
          <w:lang w:val="ar-SA"/>
        </w:rPr>
        <w:t>.</w:t>
      </w:r>
    </w:p>
    <w:p w:rsidR="008D0ECF" w:rsidRDefault="00C806D2">
      <w:pPr>
        <w:pStyle w:val="a5"/>
        <w:rPr>
          <w:rFonts w:hint="default"/>
        </w:rPr>
      </w:pPr>
      <w:r>
        <w:rPr>
          <w:rFonts w:cs="Times New Roman"/>
          <w:rtl/>
          <w:lang w:val="ar-SA"/>
        </w:rPr>
        <w:t>المسألة الرابعة</w:t>
      </w:r>
      <w:r>
        <w:rPr>
          <w:rFonts w:ascii="Al Nile" w:hAnsi="Al Nile"/>
          <w:rtl/>
          <w:lang w:val="ar-SA"/>
        </w:rPr>
        <w:t xml:space="preserve">: </w:t>
      </w:r>
      <w:r>
        <w:rPr>
          <w:rFonts w:cs="Times New Roman"/>
          <w:rtl/>
          <w:lang w:val="ar-SA"/>
        </w:rPr>
        <w:t>في الشك في التعبدية والتوصلية بمعنى اعتبار قصد القربة في صحة العمل وعدمه</w:t>
      </w:r>
    </w:p>
    <w:p w:rsidR="008D0ECF" w:rsidRDefault="00C806D2">
      <w:pPr>
        <w:pStyle w:val="a5"/>
        <w:rPr>
          <w:rFonts w:hint="default"/>
        </w:rPr>
      </w:pPr>
      <w:r>
        <w:rPr>
          <w:rFonts w:cs="Times New Roman"/>
          <w:rtl/>
          <w:lang w:val="ar-SA"/>
        </w:rPr>
        <w:t>إذا أحرز أصل الوجوب ولكن شكّ في أن الواجب من الواجبات التعبدية التي تحتاج لسقوطها إلى قصد القربة أو من الواجبات التوصلية التي لا تحتاج لسقوطها</w:t>
      </w:r>
      <w:r>
        <w:rPr>
          <w:rFonts w:cs="Times New Roman"/>
          <w:rtl/>
          <w:lang w:val="ar-SA"/>
        </w:rPr>
        <w:t xml:space="preserve"> إلى قصد القربة فما هو مقتضى الأصل؟</w:t>
      </w:r>
    </w:p>
    <w:p w:rsidR="008D0ECF" w:rsidRDefault="00C806D2">
      <w:pPr>
        <w:pStyle w:val="a5"/>
        <w:rPr>
          <w:rFonts w:hint="default"/>
        </w:rPr>
      </w:pPr>
      <w:r>
        <w:rPr>
          <w:rFonts w:cs="Times New Roman"/>
          <w:rtl/>
          <w:lang w:val="ar-SA"/>
        </w:rPr>
        <w:t xml:space="preserve">يقع البحث في هذه المسألة </w:t>
      </w:r>
      <w:r>
        <w:rPr>
          <w:rFonts w:ascii="Al Nile" w:hAnsi="Al Nile"/>
          <w:rtl/>
          <w:lang w:val="ar-SA"/>
        </w:rPr>
        <w:t xml:space="preserve">- </w:t>
      </w:r>
      <w:r>
        <w:rPr>
          <w:rFonts w:cs="Times New Roman"/>
          <w:rtl/>
          <w:lang w:val="ar-SA"/>
        </w:rPr>
        <w:t xml:space="preserve">كالمسائل السابقة </w:t>
      </w:r>
      <w:r>
        <w:rPr>
          <w:rFonts w:ascii="Al Nile" w:hAnsi="Al Nile"/>
          <w:rtl/>
          <w:lang w:val="ar-SA"/>
        </w:rPr>
        <w:t xml:space="preserve">- </w:t>
      </w:r>
      <w:r>
        <w:rPr>
          <w:rFonts w:cs="Times New Roman"/>
          <w:rtl/>
          <w:lang w:val="ar-SA"/>
        </w:rPr>
        <w:t>في مقامين</w:t>
      </w:r>
      <w:r>
        <w:rPr>
          <w:rFonts w:ascii="Al Nile" w:hAnsi="Al Nile"/>
          <w:rtl/>
          <w:lang w:val="ar-SA"/>
        </w:rPr>
        <w:t>:</w:t>
      </w:r>
    </w:p>
    <w:p w:rsidR="008D0ECF" w:rsidRDefault="00C806D2">
      <w:pPr>
        <w:pStyle w:val="a5"/>
        <w:rPr>
          <w:rFonts w:hint="default"/>
        </w:rPr>
      </w:pPr>
      <w:r>
        <w:rPr>
          <w:rFonts w:cs="Times New Roman"/>
          <w:rtl/>
          <w:lang w:val="ar-SA"/>
        </w:rPr>
        <w:t>المقام الأول</w:t>
      </w:r>
      <w:r>
        <w:rPr>
          <w:rFonts w:ascii="Al Nile" w:hAnsi="Al Nile"/>
          <w:rtl/>
          <w:lang w:val="ar-SA"/>
        </w:rPr>
        <w:t xml:space="preserve">: </w:t>
      </w:r>
      <w:r>
        <w:rPr>
          <w:rFonts w:cs="Times New Roman"/>
          <w:rtl/>
          <w:lang w:val="ar-SA"/>
        </w:rPr>
        <w:t>في مقتضى الأصل اللفظي</w:t>
      </w:r>
    </w:p>
    <w:p w:rsidR="008D0ECF" w:rsidRDefault="00C806D2" w:rsidP="00822B3E">
      <w:pPr>
        <w:pStyle w:val="a5"/>
        <w:rPr>
          <w:rFonts w:hint="default"/>
        </w:rPr>
      </w:pPr>
      <w:r>
        <w:rPr>
          <w:rFonts w:cs="Times New Roman"/>
          <w:rtl/>
          <w:lang w:val="ar-SA"/>
        </w:rPr>
        <w:t>بحث المحقق الآخوند قدس سره في الكفاية هنا في هذا المقام عن إطلاق الصيغة فقط وأفاد</w:t>
      </w:r>
      <w:r>
        <w:rPr>
          <w:rFonts w:ascii="Al Nile" w:hAnsi="Al Nile"/>
          <w:rtl/>
          <w:lang w:val="ar-SA"/>
        </w:rPr>
        <w:t xml:space="preserve">: </w:t>
      </w:r>
      <w:r>
        <w:rPr>
          <w:rFonts w:ascii="Al Nile" w:hAnsi="Al Nile"/>
          <w:b/>
          <w:bCs/>
          <w:rtl/>
          <w:lang w:val="ar-SA"/>
        </w:rPr>
        <w:t>(</w:t>
      </w:r>
      <w:r>
        <w:rPr>
          <w:rFonts w:cs="Times New Roman"/>
          <w:b/>
          <w:bCs/>
          <w:rtl/>
          <w:cs/>
        </w:rPr>
        <w:t>أن إطلاق الصيغة هل</w:t>
      </w:r>
      <w:r>
        <w:rPr>
          <w:rFonts w:hint="default"/>
          <w:rtl/>
        </w:rPr>
        <w:t>‏</w:t>
      </w:r>
      <w:r>
        <w:rPr>
          <w:rFonts w:ascii="Al Nile" w:hAnsi="Al Nile"/>
          <w:b/>
          <w:bCs/>
        </w:rPr>
        <w:t xml:space="preserve"> </w:t>
      </w:r>
      <w:r>
        <w:rPr>
          <w:rFonts w:cs="Times New Roman"/>
          <w:b/>
          <w:bCs/>
          <w:rtl/>
          <w:cs/>
        </w:rPr>
        <w:t>يقتضي</w:t>
      </w:r>
      <w:r>
        <w:rPr>
          <w:rFonts w:hint="default"/>
          <w:rtl/>
        </w:rPr>
        <w:t>‏</w:t>
      </w:r>
      <w:r>
        <w:rPr>
          <w:rFonts w:ascii="Al Nile" w:hAnsi="Al Nile"/>
          <w:b/>
          <w:bCs/>
        </w:rPr>
        <w:t xml:space="preserve"> </w:t>
      </w:r>
      <w:r>
        <w:rPr>
          <w:rFonts w:cs="Times New Roman"/>
          <w:b/>
          <w:bCs/>
          <w:rtl/>
          <w:cs/>
        </w:rPr>
        <w:t>كون</w:t>
      </w:r>
      <w:r>
        <w:rPr>
          <w:rFonts w:hint="default"/>
          <w:rtl/>
        </w:rPr>
        <w:t>‏</w:t>
      </w:r>
      <w:r>
        <w:rPr>
          <w:rFonts w:ascii="Al Nile" w:hAnsi="Al Nile"/>
          <w:b/>
          <w:bCs/>
        </w:rPr>
        <w:t xml:space="preserve"> </w:t>
      </w:r>
      <w:r>
        <w:rPr>
          <w:rFonts w:cs="Times New Roman"/>
          <w:b/>
          <w:bCs/>
          <w:rtl/>
          <w:cs/>
        </w:rPr>
        <w:t>الوجوب</w:t>
      </w:r>
      <w:r>
        <w:rPr>
          <w:rFonts w:hint="default"/>
          <w:rtl/>
        </w:rPr>
        <w:t>‏</w:t>
      </w:r>
      <w:r>
        <w:rPr>
          <w:rFonts w:ascii="Al Nile" w:hAnsi="Al Nile"/>
          <w:b/>
          <w:bCs/>
        </w:rPr>
        <w:t xml:space="preserve"> </w:t>
      </w:r>
      <w:r w:rsidR="00822B3E">
        <w:rPr>
          <w:rFonts w:ascii="Al Nile" w:hAnsi="Al Nile"/>
          <w:b/>
          <w:bCs/>
          <w:rtl/>
        </w:rPr>
        <w:t xml:space="preserve">توصلياً </w:t>
      </w:r>
      <w:r>
        <w:rPr>
          <w:rFonts w:cs="Times New Roman"/>
          <w:b/>
          <w:bCs/>
          <w:rtl/>
          <w:cs/>
        </w:rPr>
        <w:t xml:space="preserve">فيجزي إتيانه </w:t>
      </w:r>
      <w:r w:rsidR="00822B3E">
        <w:rPr>
          <w:rFonts w:cs="Times New Roman"/>
          <w:b/>
          <w:bCs/>
          <w:rtl/>
          <w:cs/>
        </w:rPr>
        <w:t xml:space="preserve">مطلقاً </w:t>
      </w:r>
      <w:r>
        <w:rPr>
          <w:rFonts w:cs="Times New Roman"/>
          <w:b/>
          <w:bCs/>
          <w:rtl/>
          <w:cs/>
        </w:rPr>
        <w:t>ولو بدون قصد القربة أو لا فلا بد من الرجوع فيما شك في تعبديته وتوصليته إلى الأصل</w:t>
      </w:r>
      <w:r>
        <w:rPr>
          <w:rFonts w:ascii="Al Nile" w:hAnsi="Al Nile"/>
          <w:b/>
          <w:bCs/>
          <w:rtl/>
          <w:lang w:val="ar-SA"/>
        </w:rPr>
        <w:t>.)</w:t>
      </w:r>
    </w:p>
    <w:p w:rsidR="008D0ECF" w:rsidRDefault="00C806D2">
      <w:pPr>
        <w:pStyle w:val="a5"/>
        <w:rPr>
          <w:rFonts w:hint="default"/>
        </w:rPr>
      </w:pPr>
      <w:r>
        <w:rPr>
          <w:rFonts w:cs="Times New Roman"/>
          <w:rtl/>
          <w:lang w:val="ar-SA"/>
        </w:rPr>
        <w:t>ولكن كما في كلام السيد الحكيم قدس سره في الحقائق وكلام غيره من الأعلام ليس مورد البحث في هذا المقام فقط إطلاق الخطاب والصيغة بل هناك وجوه أخرى استدل</w:t>
      </w:r>
      <w:r>
        <w:rPr>
          <w:rFonts w:cs="Times New Roman"/>
          <w:rtl/>
          <w:lang w:val="ar-SA"/>
        </w:rPr>
        <w:t xml:space="preserve"> بها للحكم بالتعبدية أو التوصلية مثلاً في كلام السيد الحكيم قدس سره أنه قد استدل بعضهم على أصل التعبدية بقوله تعالى</w:t>
      </w:r>
      <w:r>
        <w:rPr>
          <w:rFonts w:ascii="Al Nile" w:hAnsi="Al Nile"/>
          <w:rtl/>
          <w:lang w:val="ar-SA"/>
        </w:rPr>
        <w:t xml:space="preserve">: </w:t>
      </w:r>
      <w:r>
        <w:rPr>
          <w:rFonts w:ascii="Al Nile" w:hAnsi="Al Nile"/>
          <w:b/>
          <w:bCs/>
          <w:rtl/>
          <w:lang w:val="ar-SA"/>
        </w:rPr>
        <w:t>(</w:t>
      </w:r>
      <w:r>
        <w:rPr>
          <w:rFonts w:cs="Times New Roman"/>
          <w:b/>
          <w:bCs/>
          <w:rtl/>
          <w:lang w:val="ar-SA"/>
        </w:rPr>
        <w:t>وما أمروا إلا ليعبدوا الله مخلصين له الدين حنفاء</w:t>
      </w:r>
      <w:r>
        <w:rPr>
          <w:rFonts w:ascii="Al Nile" w:hAnsi="Al Nile"/>
          <w:b/>
          <w:bCs/>
          <w:rtl/>
          <w:lang w:val="ar-SA"/>
        </w:rPr>
        <w:t>)</w:t>
      </w:r>
      <w:r>
        <w:rPr>
          <w:rFonts w:cs="Times New Roman"/>
          <w:rtl/>
          <w:lang w:val="ar-SA"/>
        </w:rPr>
        <w:t xml:space="preserve"> أو بروايات مثل</w:t>
      </w:r>
      <w:r>
        <w:rPr>
          <w:rFonts w:ascii="Al Nile" w:hAnsi="Al Nile"/>
          <w:rtl/>
          <w:lang w:val="ar-SA"/>
        </w:rPr>
        <w:t xml:space="preserve">: </w:t>
      </w:r>
      <w:r>
        <w:rPr>
          <w:rFonts w:ascii="Al Nile" w:hAnsi="Al Nile"/>
          <w:b/>
          <w:bCs/>
          <w:rtl/>
          <w:lang w:val="ar-SA"/>
        </w:rPr>
        <w:t>(</w:t>
      </w:r>
      <w:r>
        <w:rPr>
          <w:rFonts w:cs="Times New Roman"/>
          <w:b/>
          <w:bCs/>
          <w:rtl/>
          <w:lang w:val="ar-SA"/>
        </w:rPr>
        <w:t>لا عمل إلا بالنية</w:t>
      </w:r>
      <w:r>
        <w:rPr>
          <w:rFonts w:ascii="Al Nile" w:hAnsi="Al Nile"/>
          <w:b/>
          <w:bCs/>
          <w:rtl/>
          <w:lang w:val="ar-SA"/>
        </w:rPr>
        <w:t xml:space="preserve">) </w:t>
      </w:r>
      <w:r>
        <w:rPr>
          <w:rFonts w:cs="Times New Roman"/>
          <w:rtl/>
          <w:lang w:val="ar-SA"/>
        </w:rPr>
        <w:t>بتقريب أن المراد بالنية قصد القربة</w:t>
      </w:r>
      <w:r>
        <w:rPr>
          <w:rFonts w:ascii="Al Nile" w:hAnsi="Al Nile"/>
          <w:rtl/>
          <w:lang w:val="ar-SA"/>
        </w:rPr>
        <w:t>.</w:t>
      </w:r>
    </w:p>
    <w:p w:rsidR="008D0ECF" w:rsidRDefault="00C806D2">
      <w:pPr>
        <w:pStyle w:val="a5"/>
        <w:rPr>
          <w:rFonts w:hint="default"/>
        </w:rPr>
      </w:pPr>
      <w:r>
        <w:rPr>
          <w:rFonts w:cs="Times New Roman"/>
          <w:rtl/>
          <w:lang w:val="ar-SA"/>
        </w:rPr>
        <w:t xml:space="preserve">فالأصل اللفظي </w:t>
      </w:r>
      <w:r>
        <w:rPr>
          <w:rFonts w:cs="Times New Roman"/>
          <w:rtl/>
          <w:lang w:val="ar-SA"/>
        </w:rPr>
        <w:t>المبحوث عنه في المقام الأول ليس منحصراً في إطلاق الصيغة وإن اكتفى به المحقق الآخوند قدس سره في الكفاية</w:t>
      </w:r>
      <w:r>
        <w:rPr>
          <w:rFonts w:ascii="Al Nile" w:hAnsi="Al Nile"/>
          <w:rtl/>
          <w:lang w:val="ar-SA"/>
        </w:rPr>
        <w:t>.</w:t>
      </w:r>
    </w:p>
    <w:p w:rsidR="008D0ECF" w:rsidRDefault="00C806D2">
      <w:pPr>
        <w:pStyle w:val="a5"/>
        <w:rPr>
          <w:rFonts w:hint="default"/>
        </w:rPr>
      </w:pPr>
      <w:r>
        <w:rPr>
          <w:rFonts w:cs="Times New Roman"/>
          <w:rtl/>
          <w:lang w:val="ar-SA"/>
        </w:rPr>
        <w:t xml:space="preserve">وأفاد السيد الحكيم قدس سره في توجيه عدم تعرض المحقق الآخوند قدس سره لغير الإطلاق  أن سائر الوجوه لابد أن يبحث عنها في الفقه هل يمكن إثبات التعبدية بهذه </w:t>
      </w:r>
      <w:r>
        <w:rPr>
          <w:rFonts w:cs="Times New Roman"/>
          <w:rtl/>
          <w:lang w:val="ar-SA"/>
        </w:rPr>
        <w:t>الآيات والروايات أو لا وقد بحث عنها الفقهاء في مباحث النية</w:t>
      </w:r>
      <w:r>
        <w:rPr>
          <w:rFonts w:ascii="Al Nile" w:hAnsi="Al Nile"/>
          <w:rtl/>
          <w:lang w:val="ar-SA"/>
        </w:rPr>
        <w:t xml:space="preserve">. </w:t>
      </w:r>
    </w:p>
    <w:p w:rsidR="008D0ECF" w:rsidRDefault="00C806D2">
      <w:pPr>
        <w:pStyle w:val="a5"/>
        <w:rPr>
          <w:rFonts w:hint="default"/>
        </w:rPr>
      </w:pPr>
      <w:r>
        <w:rPr>
          <w:rFonts w:cs="Times New Roman"/>
          <w:rtl/>
          <w:lang w:val="ar-SA"/>
        </w:rPr>
        <w:t>ولكن هذا التوجيه غير تام لأن البحث عن</w:t>
      </w:r>
      <w:r w:rsidR="00822B3E">
        <w:rPr>
          <w:rFonts w:cs="Times New Roman"/>
          <w:rtl/>
          <w:lang w:val="ar-SA"/>
        </w:rPr>
        <w:t xml:space="preserve"> حکم</w:t>
      </w:r>
      <w:r>
        <w:rPr>
          <w:rFonts w:cs="Times New Roman"/>
          <w:rtl/>
          <w:lang w:val="ar-SA"/>
        </w:rPr>
        <w:t xml:space="preserve"> الشك في التعبدية والتوصلية بالمعنى المذكور ودلالة الآيات والروايات في هذا البحث مسألة أصولية كباقي المباحث الأصولية كالبحث عن</w:t>
      </w:r>
      <w:r w:rsidR="00822B3E">
        <w:rPr>
          <w:rFonts w:cs="Times New Roman"/>
          <w:rtl/>
          <w:lang w:val="ar-SA"/>
        </w:rPr>
        <w:t xml:space="preserve"> حکم</w:t>
      </w:r>
      <w:r>
        <w:rPr>
          <w:rFonts w:cs="Times New Roman"/>
          <w:rtl/>
          <w:lang w:val="ar-SA"/>
        </w:rPr>
        <w:t xml:space="preserve"> الشك في التعيينية والتخييرية أو</w:t>
      </w:r>
      <w:r>
        <w:rPr>
          <w:rFonts w:cs="Times New Roman"/>
          <w:rtl/>
          <w:lang w:val="ar-SA"/>
        </w:rPr>
        <w:t xml:space="preserve"> العينية والكفائية</w:t>
      </w:r>
      <w:r>
        <w:rPr>
          <w:rFonts w:ascii="Al Nile" w:hAnsi="Al Nile"/>
          <w:rtl/>
          <w:lang w:val="ar-SA"/>
        </w:rPr>
        <w:t>.</w:t>
      </w:r>
    </w:p>
    <w:p w:rsidR="008D0ECF" w:rsidRDefault="00C806D2" w:rsidP="00822B3E">
      <w:pPr>
        <w:pStyle w:val="a5"/>
        <w:rPr>
          <w:rFonts w:hint="default"/>
        </w:rPr>
      </w:pPr>
      <w:r>
        <w:rPr>
          <w:rFonts w:cs="Times New Roman"/>
          <w:rtl/>
          <w:lang w:val="ar-SA"/>
        </w:rPr>
        <w:lastRenderedPageBreak/>
        <w:t>التوجيه الأفضل أن يقال</w:t>
      </w:r>
      <w:r>
        <w:rPr>
          <w:rFonts w:ascii="Al Nile" w:hAnsi="Al Nile"/>
          <w:rtl/>
          <w:lang w:val="ar-SA"/>
        </w:rPr>
        <w:t xml:space="preserve">: </w:t>
      </w:r>
      <w:r w:rsidR="00822B3E">
        <w:rPr>
          <w:rFonts w:ascii="Al Nile" w:hAnsi="Al Nile"/>
          <w:rtl/>
          <w:lang w:val="ar-SA"/>
        </w:rPr>
        <w:t xml:space="preserve">حيث ان </w:t>
      </w:r>
      <w:r>
        <w:rPr>
          <w:rFonts w:cs="Times New Roman"/>
          <w:rtl/>
          <w:lang w:val="ar-SA"/>
        </w:rPr>
        <w:t>سائر الوجوه غير تامة وضعفها واضح لذلك لم ير المحقق الآخوند قدس سره وجهاً للتعرض لها</w:t>
      </w:r>
      <w:r>
        <w:rPr>
          <w:rFonts w:ascii="Al Nile" w:hAnsi="Al Nile"/>
          <w:rtl/>
          <w:lang w:val="ar-SA"/>
        </w:rPr>
        <w:t xml:space="preserve">. </w:t>
      </w:r>
    </w:p>
    <w:p w:rsidR="008D0ECF" w:rsidRDefault="00C806D2">
      <w:pPr>
        <w:pStyle w:val="a5"/>
        <w:rPr>
          <w:rFonts w:hint="default"/>
          <w:shd w:val="clear" w:color="auto" w:fill="FFFFFF"/>
        </w:rPr>
      </w:pPr>
      <w:r>
        <w:rPr>
          <w:rFonts w:cs="Times New Roman"/>
          <w:rtl/>
          <w:lang w:val="ar-SA"/>
        </w:rPr>
        <w:t xml:space="preserve">ثم أشكل المحقق الإصفهاني والميرزا التبريزي قدس سرهما على المحقق الآخوند قدس سره بأن التعبدي والتوصلي ليس من تقسيمات الوجوب بل </w:t>
      </w:r>
      <w:r>
        <w:rPr>
          <w:rFonts w:cs="Times New Roman"/>
          <w:rtl/>
          <w:lang w:val="ar-SA"/>
        </w:rPr>
        <w:t>من تقسيمات الواجب فالواجب قد يكون تعبدياً وقد يكون توصلياً لأن قيد قصد القربة إذا أخذ يكون مأخوذاً في ناحية المادة لا الهيئة فلذا لنفي التعبدية يتمسك بإطلاق المادة لا الهيئة فالبحث عن هذا التقسيم وإن كان بحثاً مهماً لكن كان ينبغي البحث عنه في بحث مقدمة الو</w:t>
      </w:r>
      <w:r>
        <w:rPr>
          <w:rFonts w:cs="Times New Roman"/>
          <w:rtl/>
          <w:lang w:val="ar-SA"/>
        </w:rPr>
        <w:t xml:space="preserve">اجب وأقسام الواجب </w:t>
      </w:r>
      <w:r>
        <w:rPr>
          <w:rFonts w:ascii="Al Nile" w:hAnsi="Al Nile"/>
          <w:rtl/>
          <w:lang w:val="ar-SA"/>
        </w:rPr>
        <w:t xml:space="preserve">- </w:t>
      </w:r>
      <w:r>
        <w:rPr>
          <w:rFonts w:cs="Times New Roman"/>
          <w:rtl/>
          <w:lang w:val="ar-SA"/>
        </w:rPr>
        <w:t xml:space="preserve">كما فعل الشيخ الأعظم قدس سره في مطارح الأنظار </w:t>
      </w:r>
      <w:r>
        <w:rPr>
          <w:rFonts w:ascii="Al Nile" w:hAnsi="Al Nile"/>
          <w:rtl/>
          <w:lang w:val="ar-SA"/>
        </w:rPr>
        <w:t xml:space="preserve">- </w:t>
      </w:r>
      <w:r>
        <w:rPr>
          <w:rFonts w:cs="Times New Roman"/>
          <w:rtl/>
          <w:lang w:val="ar-SA"/>
        </w:rPr>
        <w:t>لا في بحث تقسيمات الوجوب</w:t>
      </w:r>
      <w:r>
        <w:rPr>
          <w:rFonts w:ascii="Al Nile" w:hAnsi="Al Nile"/>
          <w:rtl/>
          <w:lang w:val="ar-SA"/>
        </w:rPr>
        <w:t>.</w:t>
      </w:r>
    </w:p>
    <w:p w:rsidR="008D0ECF" w:rsidRDefault="00C806D2">
      <w:pPr>
        <w:pStyle w:val="a5"/>
        <w:rPr>
          <w:rFonts w:hint="default"/>
        </w:rPr>
      </w:pPr>
      <w:r>
        <w:rPr>
          <w:rFonts w:cs="Times New Roman"/>
          <w:shd w:val="clear" w:color="auto" w:fill="FFFFFF"/>
          <w:rtl/>
          <w:lang w:val="ar-SA"/>
        </w:rPr>
        <w:t>وصلّى الله على محمد وآله الطاهري</w:t>
      </w:r>
      <w:bookmarkStart w:id="0" w:name="_GoBack"/>
      <w:bookmarkEnd w:id="0"/>
      <w:r>
        <w:rPr>
          <w:rFonts w:cs="Times New Roman"/>
          <w:shd w:val="clear" w:color="auto" w:fill="FFFFFF"/>
          <w:rtl/>
          <w:lang w:val="ar-SA"/>
        </w:rPr>
        <w:t>ن</w:t>
      </w:r>
      <w:r>
        <w:rPr>
          <w:rFonts w:ascii="Al Nile" w:hAnsi="Al Nile"/>
          <w:shd w:val="clear" w:color="auto" w:fill="FFFFFF"/>
          <w:rtl/>
          <w:lang w:val="ar-SA"/>
        </w:rPr>
        <w:t>.</w:t>
      </w:r>
    </w:p>
    <w:sectPr w:rsidR="008D0ECF">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6D2" w:rsidRDefault="00C806D2">
      <w:r>
        <w:separator/>
      </w:r>
    </w:p>
  </w:endnote>
  <w:endnote w:type="continuationSeparator" w:id="0">
    <w:p w:rsidR="00C806D2" w:rsidRDefault="00C8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ECF" w:rsidRDefault="00C806D2">
    <w:pPr>
      <w:pStyle w:val="a4"/>
      <w:jc w:val="center"/>
    </w:pPr>
    <w:r>
      <w:fldChar w:fldCharType="begin"/>
    </w:r>
    <w:r>
      <w:instrText xml:space="preserve"> PAGE </w:instrText>
    </w:r>
    <w:r w:rsidR="004A3097">
      <w:fldChar w:fldCharType="separate"/>
    </w:r>
    <w:r w:rsidR="00822B3E">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6D2" w:rsidRDefault="00C806D2">
      <w:r>
        <w:separator/>
      </w:r>
    </w:p>
  </w:footnote>
  <w:footnote w:type="continuationSeparator" w:id="0">
    <w:p w:rsidR="00C806D2" w:rsidRDefault="00C806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ECF" w:rsidRDefault="008D0EC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D0ECF"/>
    <w:rsid w:val="004A3097"/>
    <w:rsid w:val="00822B3E"/>
    <w:rsid w:val="008D0ECF"/>
    <w:rsid w:val="00C806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1126</Words>
  <Characters>6423</Characters>
  <Application>Microsoft Office Word</Application>
  <DocSecurity>0</DocSecurity>
  <Lines>53</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2022-11-16T18:22:00Z</dcterms:created>
  <dcterms:modified xsi:type="dcterms:W3CDTF">2022-11-16T18:41:00Z</dcterms:modified>
</cp:coreProperties>
</file>