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CD5" w:rsidRDefault="00C94DEB">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٢٤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٣٠</w:t>
      </w:r>
    </w:p>
    <w:p w:rsidR="00A65CD5" w:rsidRDefault="00C94DEB">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A65CD5" w:rsidRDefault="00C94DEB">
      <w:pPr>
        <w:pStyle w:val="a5"/>
        <w:rPr>
          <w:rFonts w:hint="default"/>
        </w:rPr>
      </w:pPr>
      <w:r>
        <w:rPr>
          <w:rFonts w:cs="Times New Roman"/>
          <w:rtl/>
          <w:lang w:val="ar-SA"/>
        </w:rPr>
        <w:t>المسألة الثالثة من مسائل بحث التعبدية والتوصلية في الشك في سقوط</w:t>
      </w:r>
      <w:r>
        <w:rPr>
          <w:rFonts w:cs="Times New Roman"/>
          <w:rtl/>
          <w:cs/>
        </w:rPr>
        <w:t xml:space="preserve"> التكليف </w:t>
      </w:r>
      <w:r>
        <w:rPr>
          <w:rFonts w:cs="Times New Roman"/>
          <w:rtl/>
          <w:lang w:val="ar-SA"/>
        </w:rPr>
        <w:t xml:space="preserve">بالإتيان بالفرد المحرّم هل يسقط التكليف </w:t>
      </w:r>
      <w:r>
        <w:rPr>
          <w:rFonts w:cs="Times New Roman"/>
          <w:rtl/>
          <w:lang w:val="ar-SA"/>
        </w:rPr>
        <w:t>المتعلق بالطبيعي بالإتيان بالفرد المحرّم أو لا يسقط؟ مثلاً إذا غسل الثوب المتنجّس بالماء المغصوب أو دُفن الميّت المسلم في المكان المغصوب هل يكفي ذلك لسقوط التكليف أو لا؟</w:t>
      </w:r>
    </w:p>
    <w:p w:rsidR="00A65CD5" w:rsidRDefault="00C94DEB">
      <w:pPr>
        <w:pStyle w:val="a5"/>
        <w:rPr>
          <w:rFonts w:hint="default"/>
        </w:rPr>
      </w:pPr>
      <w:r>
        <w:rPr>
          <w:rFonts w:cs="Times New Roman"/>
          <w:rtl/>
          <w:lang w:val="ar-SA"/>
        </w:rPr>
        <w:t xml:space="preserve">البحث عن مقتضى الأصل في هذه المسألة أيضاً </w:t>
      </w:r>
      <w:r>
        <w:rPr>
          <w:rFonts w:ascii="Al Nile" w:hAnsi="Al Nile"/>
          <w:rtl/>
          <w:lang w:val="ar-SA"/>
        </w:rPr>
        <w:t xml:space="preserve">- </w:t>
      </w:r>
      <w:r>
        <w:rPr>
          <w:rFonts w:cs="Times New Roman"/>
          <w:rtl/>
          <w:lang w:val="ar-SA"/>
        </w:rPr>
        <w:t xml:space="preserve">كالمسألتين السابقتين </w:t>
      </w:r>
      <w:r>
        <w:rPr>
          <w:rFonts w:ascii="Al Nile" w:hAnsi="Al Nile"/>
          <w:rtl/>
          <w:lang w:val="ar-SA"/>
        </w:rPr>
        <w:t xml:space="preserve">- </w:t>
      </w:r>
      <w:r>
        <w:rPr>
          <w:rFonts w:cs="Times New Roman"/>
          <w:rtl/>
          <w:lang w:val="ar-SA"/>
        </w:rPr>
        <w:t>يقع في مقامين</w:t>
      </w:r>
      <w:r>
        <w:rPr>
          <w:rFonts w:ascii="Al Nile" w:hAnsi="Al Nile"/>
          <w:rtl/>
          <w:lang w:val="ar-SA"/>
        </w:rPr>
        <w:t>:</w:t>
      </w:r>
    </w:p>
    <w:p w:rsidR="00A65CD5" w:rsidRDefault="00C94DEB">
      <w:pPr>
        <w:pStyle w:val="a5"/>
        <w:rPr>
          <w:rFonts w:hint="default"/>
        </w:rPr>
      </w:pPr>
      <w:r>
        <w:rPr>
          <w:rFonts w:cs="Times New Roman"/>
          <w:rtl/>
          <w:lang w:val="ar-SA"/>
        </w:rPr>
        <w:t>المق</w:t>
      </w:r>
      <w:r>
        <w:rPr>
          <w:rFonts w:cs="Times New Roman"/>
          <w:rtl/>
          <w:lang w:val="ar-SA"/>
        </w:rPr>
        <w:t>ام الأول</w:t>
      </w:r>
      <w:r>
        <w:rPr>
          <w:rFonts w:ascii="Al Nile" w:hAnsi="Al Nile"/>
          <w:rtl/>
          <w:lang w:val="ar-SA"/>
        </w:rPr>
        <w:t xml:space="preserve">: </w:t>
      </w:r>
      <w:r>
        <w:rPr>
          <w:rFonts w:cs="Times New Roman"/>
          <w:rtl/>
          <w:lang w:val="ar-SA"/>
        </w:rPr>
        <w:t>في مقتضى الأصل اللفظي</w:t>
      </w:r>
    </w:p>
    <w:p w:rsidR="00A65CD5" w:rsidRDefault="00C94DEB">
      <w:pPr>
        <w:pStyle w:val="a5"/>
        <w:rPr>
          <w:rFonts w:hint="default"/>
        </w:rPr>
      </w:pPr>
      <w:r>
        <w:rPr>
          <w:rFonts w:cs="Times New Roman"/>
          <w:rtl/>
          <w:lang w:val="ar-SA"/>
        </w:rPr>
        <w:t xml:space="preserve">كما أفاد المحقق النائيني قدس سره لابد من البحث في هذا المقام على تقديرين لأن النسبة بين متعلق الوجوب ومتعلق الحرمة تارةً </w:t>
      </w:r>
      <w:r w:rsidR="00707332">
        <w:rPr>
          <w:rFonts w:cs="Times New Roman"/>
          <w:rtl/>
          <w:lang w:val="ar-SA"/>
        </w:rPr>
        <w:t xml:space="preserve">هي </w:t>
      </w:r>
      <w:r>
        <w:rPr>
          <w:rFonts w:cs="Times New Roman"/>
          <w:rtl/>
          <w:lang w:val="ar-SA"/>
        </w:rPr>
        <w:t>العموم والخصوص المطلق كما هو الحال في النهي عن العبادة حيث تعلق الحكم بالطبيعة ووقع النهي عن بعض أفراده</w:t>
      </w:r>
      <w:r>
        <w:rPr>
          <w:rFonts w:cs="Times New Roman"/>
          <w:rtl/>
          <w:lang w:val="ar-SA"/>
        </w:rPr>
        <w:t xml:space="preserve"> مثل الأمر بالصلاة والنهي عن الصلاة في الحمام أو الأمر بالصوم والنهي عن صوم العيدين وأخرى العموم والخصوص من وجه بأن تعلق الوجوب بعنوان والحرمة بعنوان آخر لكن بين العنوانين مورد اجتماع كالأمر بالصلاة والنهي عن الغصب والمجمع الصلاة في الدار المغصوبة وكالأمر </w:t>
      </w:r>
      <w:r>
        <w:rPr>
          <w:rFonts w:cs="Times New Roman"/>
          <w:rtl/>
          <w:lang w:val="ar-SA"/>
        </w:rPr>
        <w:t>بدفن الميت والنهي عن الغصب والمجمع الدفن في المكان المغصوب</w:t>
      </w:r>
      <w:r>
        <w:rPr>
          <w:rFonts w:ascii="Al Nile" w:hAnsi="Al Nile"/>
          <w:rtl/>
          <w:lang w:val="ar-SA"/>
        </w:rPr>
        <w:t>.</w:t>
      </w:r>
    </w:p>
    <w:p w:rsidR="00A65CD5" w:rsidRDefault="00C94DEB">
      <w:pPr>
        <w:pStyle w:val="a5"/>
        <w:rPr>
          <w:rFonts w:hint="default"/>
        </w:rPr>
      </w:pPr>
      <w:r>
        <w:rPr>
          <w:rFonts w:cs="Times New Roman"/>
          <w:rtl/>
          <w:lang w:val="ar-SA"/>
        </w:rPr>
        <w:t>فلابد من البحث عن الأصل اللفظي في كل من التقديرين</w:t>
      </w:r>
      <w:r>
        <w:rPr>
          <w:rFonts w:ascii="Al Nile" w:hAnsi="Al Nile"/>
          <w:rtl/>
          <w:lang w:val="ar-SA"/>
        </w:rPr>
        <w:t>.</w:t>
      </w:r>
    </w:p>
    <w:p w:rsidR="00A65CD5" w:rsidRDefault="00C94DEB">
      <w:pPr>
        <w:pStyle w:val="a5"/>
        <w:rPr>
          <w:rFonts w:hint="default"/>
        </w:rPr>
      </w:pPr>
      <w:r>
        <w:rPr>
          <w:rFonts w:cs="Times New Roman"/>
          <w:rtl/>
          <w:lang w:val="ar-SA"/>
        </w:rPr>
        <w:t>أفاد المحقق النائيني قدس سره أن مقتضى الأصل في كلا التقديرين التعبدية بمعنى عدم سقوط التكليف بالفرد المحرّم سواء في التقدير الأول أو في التقدير ا</w:t>
      </w:r>
      <w:r>
        <w:rPr>
          <w:rFonts w:cs="Times New Roman"/>
          <w:rtl/>
          <w:lang w:val="ar-SA"/>
        </w:rPr>
        <w:t>لثاني الذي هو مسألة اجتماع الأمر والنهي وسواء قلنا في تلك المسألة بجواز الاجتماع أو قلنا بعدم الجواز وسواء كان العمل المتعلق للوجوب من التوصليات بالمعنى المعروف وهي التي لا تعتبر فيها قصد القربة أو من التعبديات التي يعتبر فيها قصد القربة</w:t>
      </w:r>
      <w:r>
        <w:rPr>
          <w:rFonts w:ascii="Al Nile" w:hAnsi="Al Nile"/>
          <w:rtl/>
          <w:lang w:val="ar-SA"/>
        </w:rPr>
        <w:t xml:space="preserve">. </w:t>
      </w:r>
      <w:r>
        <w:rPr>
          <w:rFonts w:cs="Times New Roman"/>
          <w:rtl/>
          <w:lang w:val="ar-SA"/>
        </w:rPr>
        <w:t xml:space="preserve">هذا مختار المحقق </w:t>
      </w:r>
      <w:r>
        <w:rPr>
          <w:rFonts w:cs="Times New Roman"/>
          <w:rtl/>
          <w:lang w:val="ar-SA"/>
        </w:rPr>
        <w:t>النائيني قدس سره</w:t>
      </w:r>
      <w:r>
        <w:rPr>
          <w:rFonts w:ascii="Al Nile" w:hAnsi="Al Nile"/>
          <w:rtl/>
          <w:lang w:val="ar-SA"/>
        </w:rPr>
        <w:t>.</w:t>
      </w:r>
    </w:p>
    <w:p w:rsidR="00A65CD5" w:rsidRDefault="00C94DEB">
      <w:pPr>
        <w:pStyle w:val="a5"/>
        <w:rPr>
          <w:rFonts w:hint="default"/>
        </w:rPr>
      </w:pPr>
      <w:r>
        <w:rPr>
          <w:rFonts w:cs="Times New Roman"/>
          <w:rtl/>
          <w:lang w:val="ar-SA"/>
        </w:rPr>
        <w:t xml:space="preserve">في المقابل المحقق العراقي قدس سره حسبما في تقريرات بدائع الأفكار </w:t>
      </w:r>
      <w:r>
        <w:rPr>
          <w:rFonts w:ascii="Al Nile" w:hAnsi="Al Nile"/>
          <w:rtl/>
          <w:lang w:val="ar-SA"/>
        </w:rPr>
        <w:t xml:space="preserve">- </w:t>
      </w:r>
      <w:r>
        <w:rPr>
          <w:rFonts w:cs="Times New Roman"/>
          <w:rtl/>
          <w:lang w:val="ar-SA"/>
        </w:rPr>
        <w:t xml:space="preserve">لأنه في نهاية الأفكار والمقالات لم يتعرض للبحث عن التعبدي والتوصلي بغير المعنى المعروف لكن نقله محقق </w:t>
      </w:r>
      <w:r w:rsidR="00707332">
        <w:rPr>
          <w:rFonts w:cs="Times New Roman"/>
          <w:rtl/>
          <w:lang w:val="ar-SA"/>
        </w:rPr>
        <w:t xml:space="preserve">الکتاب </w:t>
      </w:r>
      <w:r>
        <w:rPr>
          <w:rFonts w:cs="Times New Roman"/>
          <w:rtl/>
          <w:lang w:val="ar-SA"/>
        </w:rPr>
        <w:t xml:space="preserve">في تعليقة النهاية عن البدائع </w:t>
      </w:r>
      <w:r>
        <w:rPr>
          <w:rFonts w:ascii="Al Nile" w:hAnsi="Al Nile"/>
          <w:rtl/>
          <w:lang w:val="ar-SA"/>
        </w:rPr>
        <w:t xml:space="preserve">- </w:t>
      </w:r>
      <w:r>
        <w:rPr>
          <w:rFonts w:cs="Times New Roman"/>
          <w:rtl/>
          <w:lang w:val="ar-SA"/>
        </w:rPr>
        <w:t xml:space="preserve">ذهب إلى أن مقتضى الأصل اللفظي التوصلية </w:t>
      </w:r>
      <w:r>
        <w:rPr>
          <w:rFonts w:cs="Times New Roman"/>
          <w:rtl/>
          <w:lang w:val="ar-SA"/>
        </w:rPr>
        <w:t>وسقوط التكليف بالإتيان بالفرد المحرّم سواء في التقدير الأول أو في التقدير الثاني وسواء قلنا بجواز الاجتماع أو قلنا بعدم الجواز وسواء كان العمل من التوصليات أو من التعبديات</w:t>
      </w:r>
      <w:r>
        <w:rPr>
          <w:rFonts w:ascii="Al Nile" w:hAnsi="Al Nile"/>
          <w:rtl/>
          <w:lang w:val="ar-SA"/>
        </w:rPr>
        <w:t xml:space="preserve">. </w:t>
      </w:r>
      <w:r>
        <w:rPr>
          <w:rFonts w:cs="Times New Roman"/>
          <w:rtl/>
          <w:lang w:val="ar-SA"/>
        </w:rPr>
        <w:t>هذا مختار المحقق العراقي قدس سره</w:t>
      </w:r>
      <w:r>
        <w:rPr>
          <w:rFonts w:ascii="Al Nile" w:hAnsi="Al Nile"/>
          <w:rtl/>
          <w:lang w:val="ar-SA"/>
        </w:rPr>
        <w:t>.</w:t>
      </w:r>
    </w:p>
    <w:p w:rsidR="00A65CD5" w:rsidRDefault="00C94DEB">
      <w:pPr>
        <w:pStyle w:val="a5"/>
        <w:rPr>
          <w:rFonts w:hint="default"/>
        </w:rPr>
      </w:pPr>
      <w:r>
        <w:rPr>
          <w:rFonts w:cs="Times New Roman"/>
          <w:rtl/>
          <w:lang w:val="ar-SA"/>
        </w:rPr>
        <w:t>وباقي الأعلام قالوا بالتفصيل والمستفاد من كلمات ا</w:t>
      </w:r>
      <w:r>
        <w:rPr>
          <w:rFonts w:cs="Times New Roman"/>
          <w:rtl/>
          <w:lang w:val="ar-SA"/>
        </w:rPr>
        <w:t xml:space="preserve">لمحقق الآخوند قدس سره أيضاً التفصيل بمعنى أنهم قبِلوا في التقدير الأول </w:t>
      </w:r>
      <w:r>
        <w:rPr>
          <w:rFonts w:ascii="Al Nile" w:hAnsi="Al Nile"/>
          <w:rtl/>
          <w:lang w:val="ar-SA"/>
        </w:rPr>
        <w:t xml:space="preserve">- </w:t>
      </w:r>
      <w:r>
        <w:rPr>
          <w:rFonts w:cs="Times New Roman"/>
          <w:rtl/>
          <w:lang w:val="ar-SA"/>
        </w:rPr>
        <w:t xml:space="preserve">الذي تكون النسبة بين المتعلقين العموم والخصوص المطلق </w:t>
      </w:r>
      <w:r>
        <w:rPr>
          <w:rFonts w:ascii="Al Nile" w:hAnsi="Al Nile"/>
          <w:rtl/>
          <w:lang w:val="ar-SA"/>
        </w:rPr>
        <w:t xml:space="preserve">- </w:t>
      </w:r>
      <w:r>
        <w:rPr>
          <w:rFonts w:cs="Times New Roman"/>
          <w:rtl/>
          <w:lang w:val="ar-SA"/>
        </w:rPr>
        <w:t xml:space="preserve">أن مقتضى الأصل اللفظي التعبدية وعدم </w:t>
      </w:r>
      <w:r>
        <w:rPr>
          <w:rFonts w:cs="Times New Roman"/>
          <w:rtl/>
          <w:lang w:val="ar-SA"/>
        </w:rPr>
        <w:lastRenderedPageBreak/>
        <w:t xml:space="preserve">التوصلية ولكن في التقدير الثاني </w:t>
      </w:r>
      <w:r>
        <w:rPr>
          <w:rFonts w:ascii="Al Nile" w:hAnsi="Al Nile"/>
          <w:rtl/>
          <w:lang w:val="ar-SA"/>
        </w:rPr>
        <w:t xml:space="preserve">- </w:t>
      </w:r>
      <w:r>
        <w:rPr>
          <w:rFonts w:cs="Times New Roman"/>
          <w:rtl/>
          <w:lang w:val="ar-SA"/>
        </w:rPr>
        <w:t xml:space="preserve">الذي تكون النسبة بين المتعلقين العموم والخصوص من وجه </w:t>
      </w:r>
      <w:r>
        <w:rPr>
          <w:rFonts w:ascii="Al Nile" w:hAnsi="Al Nile"/>
          <w:rtl/>
          <w:lang w:val="ar-SA"/>
        </w:rPr>
        <w:t xml:space="preserve">- </w:t>
      </w:r>
      <w:r>
        <w:rPr>
          <w:rFonts w:cs="Times New Roman"/>
          <w:rtl/>
          <w:lang w:val="ar-SA"/>
        </w:rPr>
        <w:t>هنا</w:t>
      </w:r>
      <w:r>
        <w:rPr>
          <w:rFonts w:cs="Times New Roman"/>
          <w:rtl/>
          <w:lang w:val="ar-SA"/>
        </w:rPr>
        <w:t xml:space="preserve"> المحقق الآخوند قدس سره قال بالتفصيل بنحو وقال الآخرون بالتفصيل بنحو آخر فقال المحقق الآخوند قدس سره أنا إن قلنا في مسألة اجتماع الأمر والنهي بجواز الاجتماع نحكم بصحة العمل في المجمع سواء كان العمل من التعبديات أو من التوصليات وكذا إن قلنا بالامتناع وتقديم</w:t>
      </w:r>
      <w:r>
        <w:rPr>
          <w:rFonts w:cs="Times New Roman"/>
          <w:rtl/>
          <w:lang w:val="ar-SA"/>
        </w:rPr>
        <w:t xml:space="preserve"> جانب الأمر فنحكم بصحة العمل أيضاً ولكن إن قلنا بالامتناع وتقديم جانب النهي فلابد من التفصيل بين التوصليات والتعبديات فإن كان العمل من التوصليات حكمنا بالصحة أيضاً وإن كان العمل من التعبديات نفصّل أيضاً بين ما إذا صدر تقصيراً ومع الالتفات إلى النهي فنحكم ب</w:t>
      </w:r>
      <w:r>
        <w:rPr>
          <w:rFonts w:cs="Times New Roman"/>
          <w:rtl/>
          <w:lang w:val="ar-SA"/>
        </w:rPr>
        <w:t>البطلان وبين ما إذا صدر قصوراً ومع الغفلة عن النهي فنحكم بالصحة</w:t>
      </w:r>
      <w:r>
        <w:rPr>
          <w:rFonts w:ascii="Al Nile" w:hAnsi="Al Nile"/>
          <w:rtl/>
          <w:lang w:val="ar-SA"/>
        </w:rPr>
        <w:t>.</w:t>
      </w:r>
    </w:p>
    <w:p w:rsidR="00A65CD5" w:rsidRDefault="00C94DEB">
      <w:pPr>
        <w:pStyle w:val="a5"/>
        <w:rPr>
          <w:rFonts w:hint="default"/>
        </w:rPr>
      </w:pPr>
      <w:r>
        <w:rPr>
          <w:rFonts w:cs="Times New Roman"/>
          <w:rtl/>
          <w:lang w:val="ar-SA"/>
        </w:rPr>
        <w:t>والنتيجة أنه في أكثر الموارد يحكم بالتوصلية وسقوط التكليف بالإتيان بالفرد المحرّم</w:t>
      </w:r>
      <w:r>
        <w:rPr>
          <w:rFonts w:ascii="Al Nile" w:hAnsi="Al Nile"/>
          <w:rtl/>
          <w:lang w:val="ar-SA"/>
        </w:rPr>
        <w:t>.</w:t>
      </w:r>
    </w:p>
    <w:p w:rsidR="00A65CD5" w:rsidRDefault="00C94DEB">
      <w:pPr>
        <w:pStyle w:val="a5"/>
        <w:rPr>
          <w:rFonts w:hint="default"/>
        </w:rPr>
      </w:pPr>
      <w:r>
        <w:rPr>
          <w:rFonts w:cs="Times New Roman"/>
          <w:rtl/>
          <w:lang w:val="ar-SA"/>
        </w:rPr>
        <w:t>هذا محصل ما أفاده المحقق الآخوند قدس سره في الأمر العاشر من الأمور العشرة التي ذكرها بعنوان مقدمات بحث اجتما</w:t>
      </w:r>
      <w:r>
        <w:rPr>
          <w:rFonts w:cs="Times New Roman"/>
          <w:rtl/>
          <w:lang w:val="ar-SA"/>
        </w:rPr>
        <w:t>ع الأمر والنهي</w:t>
      </w:r>
      <w:r>
        <w:rPr>
          <w:rFonts w:ascii="Al Nile" w:hAnsi="Al Nile"/>
          <w:rtl/>
          <w:lang w:val="ar-SA"/>
        </w:rPr>
        <w:t>.</w:t>
      </w:r>
    </w:p>
    <w:p w:rsidR="00A65CD5" w:rsidRDefault="00C94DEB" w:rsidP="00707332">
      <w:pPr>
        <w:pStyle w:val="a5"/>
        <w:rPr>
          <w:rFonts w:hint="default"/>
        </w:rPr>
      </w:pPr>
      <w:r>
        <w:rPr>
          <w:rFonts w:cs="Times New Roman"/>
          <w:rtl/>
          <w:lang w:val="ar-SA"/>
        </w:rPr>
        <w:t>والأعلام الآخرون كالسيد الخوئي والميرزا التبريزي قدس سرهما وغيرهما أيضاً قالوا بالتفصيل ولكن بنحو آخر حيث قالوا في بعض الموارد التي حكم المحقق الآخوند قدس سره فيها بالتوصلية وصحة العمل أنه لابد فيها من القول بالبطلان</w:t>
      </w:r>
      <w:r>
        <w:rPr>
          <w:rFonts w:ascii="Al Nile" w:hAnsi="Al Nile"/>
          <w:rtl/>
          <w:lang w:val="ar-SA"/>
        </w:rPr>
        <w:t xml:space="preserve">. </w:t>
      </w:r>
      <w:r>
        <w:rPr>
          <w:rFonts w:cs="Times New Roman"/>
          <w:rtl/>
          <w:lang w:val="ar-SA"/>
        </w:rPr>
        <w:t>فيما حكم قدس سره فيه ب</w:t>
      </w:r>
      <w:r>
        <w:rPr>
          <w:rFonts w:cs="Times New Roman"/>
          <w:rtl/>
          <w:lang w:val="ar-SA"/>
        </w:rPr>
        <w:t xml:space="preserve">البطلان </w:t>
      </w:r>
      <w:r>
        <w:rPr>
          <w:rFonts w:ascii="Al Nile" w:hAnsi="Al Nile"/>
          <w:rtl/>
          <w:lang w:val="ar-SA"/>
        </w:rPr>
        <w:t xml:space="preserve">- </w:t>
      </w:r>
      <w:r>
        <w:rPr>
          <w:rFonts w:cs="Times New Roman"/>
          <w:rtl/>
          <w:lang w:val="ar-SA"/>
        </w:rPr>
        <w:t xml:space="preserve">وهو فيما كان العمل من التعبديات وصدر العمل تقصيراً </w:t>
      </w:r>
      <w:r>
        <w:rPr>
          <w:rFonts w:ascii="Al Nile" w:hAnsi="Al Nile"/>
          <w:rtl/>
          <w:lang w:val="ar-SA"/>
        </w:rPr>
        <w:t xml:space="preserve">- </w:t>
      </w:r>
      <w:r>
        <w:rPr>
          <w:rFonts w:cs="Times New Roman"/>
          <w:rtl/>
          <w:lang w:val="ar-SA"/>
        </w:rPr>
        <w:t xml:space="preserve">قبِلوا البطلان لكن في بعض الموارد الأخرى التي حكم بالصحة قالوا </w:t>
      </w:r>
      <w:r w:rsidR="00707332">
        <w:rPr>
          <w:rFonts w:cs="Times New Roman"/>
          <w:rtl/>
          <w:lang w:val="ar-SA"/>
        </w:rPr>
        <w:t>بالبط</w:t>
      </w:r>
      <w:r>
        <w:rPr>
          <w:rFonts w:cs="Times New Roman"/>
          <w:rtl/>
          <w:lang w:val="ar-SA"/>
        </w:rPr>
        <w:t xml:space="preserve">لان </w:t>
      </w:r>
      <w:r w:rsidR="00707332">
        <w:rPr>
          <w:rFonts w:cs="Times New Roman"/>
          <w:rtl/>
          <w:lang w:val="ar-SA"/>
        </w:rPr>
        <w:t>فذکروا أن</w:t>
      </w:r>
      <w:r>
        <w:rPr>
          <w:rFonts w:cs="Times New Roman"/>
          <w:rtl/>
          <w:lang w:val="ar-SA"/>
        </w:rPr>
        <w:t xml:space="preserve"> مجرد كون الواجب توصلياً لا يوجب الحكم بسقوط التكليف بل يمكن أن يكون الواجب توصلياً ومع ذلك لا يكون العمل صحيحاً</w:t>
      </w:r>
      <w:r>
        <w:rPr>
          <w:rFonts w:ascii="Al Nile" w:hAnsi="Al Nile"/>
          <w:rtl/>
          <w:lang w:val="ar-SA"/>
        </w:rPr>
        <w:t>.</w:t>
      </w:r>
    </w:p>
    <w:p w:rsidR="00A65CD5" w:rsidRDefault="00C94DEB">
      <w:pPr>
        <w:pStyle w:val="a5"/>
        <w:rPr>
          <w:rFonts w:hint="default"/>
        </w:rPr>
      </w:pPr>
      <w:r>
        <w:rPr>
          <w:rFonts w:cs="Times New Roman"/>
          <w:rtl/>
          <w:lang w:val="ar-SA"/>
        </w:rPr>
        <w:t>هذه ا</w:t>
      </w:r>
      <w:r>
        <w:rPr>
          <w:rFonts w:cs="Times New Roman"/>
          <w:rtl/>
          <w:lang w:val="ar-SA"/>
        </w:rPr>
        <w:t>لأقوال المختلفة في المسألة</w:t>
      </w:r>
      <w:r>
        <w:rPr>
          <w:rFonts w:ascii="Al Nile" w:hAnsi="Al Nile"/>
          <w:rtl/>
          <w:lang w:val="ar-SA"/>
        </w:rPr>
        <w:t>.</w:t>
      </w:r>
    </w:p>
    <w:p w:rsidR="00A65CD5" w:rsidRDefault="00C94DEB">
      <w:pPr>
        <w:pStyle w:val="a5"/>
        <w:rPr>
          <w:rFonts w:hint="default"/>
        </w:rPr>
      </w:pPr>
      <w:r>
        <w:rPr>
          <w:rFonts w:cs="Times New Roman"/>
          <w:rtl/>
          <w:lang w:val="ar-SA"/>
        </w:rPr>
        <w:t>لابد من البحث كما أفاد المحقق النائيني قدس سره عن كل من التقديرين</w:t>
      </w:r>
      <w:r>
        <w:rPr>
          <w:rFonts w:ascii="Al Nile" w:hAnsi="Al Nile"/>
          <w:rtl/>
          <w:lang w:val="ar-SA"/>
        </w:rPr>
        <w:t xml:space="preserve">: </w:t>
      </w:r>
      <w:r>
        <w:rPr>
          <w:rFonts w:cs="Times New Roman"/>
          <w:rtl/>
          <w:lang w:val="ar-SA"/>
        </w:rPr>
        <w:t>الأول</w:t>
      </w:r>
      <w:r>
        <w:rPr>
          <w:rFonts w:ascii="Al Nile" w:hAnsi="Al Nile"/>
          <w:rtl/>
          <w:lang w:val="ar-SA"/>
        </w:rPr>
        <w:t xml:space="preserve">: </w:t>
      </w:r>
      <w:r>
        <w:rPr>
          <w:rFonts w:cs="Times New Roman"/>
          <w:rtl/>
          <w:lang w:val="ar-SA"/>
        </w:rPr>
        <w:t>فيما كانت النسبة بين المتعلقين العموم والخصوص المطلق والثاني</w:t>
      </w:r>
      <w:r>
        <w:rPr>
          <w:rFonts w:ascii="Al Nile" w:hAnsi="Al Nile"/>
          <w:rtl/>
          <w:lang w:val="ar-SA"/>
        </w:rPr>
        <w:t xml:space="preserve">: </w:t>
      </w:r>
      <w:r>
        <w:rPr>
          <w:rFonts w:cs="Times New Roman"/>
          <w:rtl/>
          <w:lang w:val="ar-SA"/>
        </w:rPr>
        <w:t>فيما كانت النسبة بينهما العموم والخصوص من وجه ما هو مقتضى الصناعة على كل من التقديرين؟</w:t>
      </w:r>
    </w:p>
    <w:p w:rsidR="00A65CD5" w:rsidRDefault="00C94DEB">
      <w:pPr>
        <w:pStyle w:val="a5"/>
        <w:rPr>
          <w:rFonts w:hint="default"/>
        </w:rPr>
      </w:pPr>
      <w:r>
        <w:rPr>
          <w:rFonts w:cs="Times New Roman"/>
          <w:rtl/>
          <w:lang w:val="ar-SA"/>
        </w:rPr>
        <w:t>على التقدير الأول كما إذا ورد دليل خاص في النهي عن غسل الثوب المتنجس بالماء المغصوب فأفاد المحقق النائيني قدس سره أنه لا إشكال في تضيّق دائرة الواجب بدليل النهي فلولا النهي كان مقتضى إطلاق الأمر كفاية كل فرد من أفراد الطبيعة ولكن دليل النهي يضيّق دائرة الو</w:t>
      </w:r>
      <w:r>
        <w:rPr>
          <w:rFonts w:cs="Times New Roman"/>
          <w:rtl/>
          <w:lang w:val="ar-SA"/>
        </w:rPr>
        <w:t xml:space="preserve">اجب ويخصّه بغير الفرد المحرّم فلا يكون الفرد المحرّم مصداقاً للواجب فلا إشكال في أن متعلق الوجوب خصوص الفرد الغير المحرم ويكون الشك في سقوط التكليف بالفرد المحرّم </w:t>
      </w:r>
      <w:r>
        <w:rPr>
          <w:rFonts w:ascii="Al Nile" w:hAnsi="Al Nile"/>
          <w:rtl/>
          <w:lang w:val="ar-SA"/>
        </w:rPr>
        <w:t xml:space="preserve">- </w:t>
      </w:r>
      <w:r>
        <w:rPr>
          <w:rFonts w:cs="Times New Roman"/>
          <w:rtl/>
          <w:lang w:val="ar-SA"/>
        </w:rPr>
        <w:t xml:space="preserve">وإن لم يكن متعلقاً للتكليف </w:t>
      </w:r>
      <w:r>
        <w:rPr>
          <w:rFonts w:ascii="Al Nile" w:hAnsi="Al Nile"/>
          <w:rtl/>
          <w:lang w:val="ar-SA"/>
        </w:rPr>
        <w:t xml:space="preserve">- </w:t>
      </w:r>
      <w:r>
        <w:rPr>
          <w:rFonts w:cs="Times New Roman"/>
          <w:rtl/>
          <w:lang w:val="ar-SA"/>
        </w:rPr>
        <w:t>راجعاً إلى أن التكليف المتعلق بالفرد الغير المحرّم مشروط بقاءً</w:t>
      </w:r>
      <w:r>
        <w:rPr>
          <w:rFonts w:cs="Times New Roman"/>
          <w:rtl/>
          <w:lang w:val="ar-SA"/>
        </w:rPr>
        <w:t xml:space="preserve"> بعدم الإتيان بالفرد المحرم أو غير مشروط به والأصل اللفظي المحكّم في موارد الشك في إطلاق التكليف واشتراطه هو إطلاق الحكم المقتضي لثبوت الحكم </w:t>
      </w:r>
      <w:r>
        <w:rPr>
          <w:rFonts w:cs="Times New Roman"/>
          <w:rtl/>
          <w:lang w:val="ar-SA"/>
        </w:rPr>
        <w:lastRenderedPageBreak/>
        <w:t>والتكليف سواء حصل الفرد المحرّم أو لم يحصل مثلاً في المثال يكون مقتضى إطلاق الأمر بغسل الثوب المتنجس أن الوجوب باقٍ</w:t>
      </w:r>
      <w:r>
        <w:rPr>
          <w:rFonts w:cs="Times New Roman"/>
          <w:rtl/>
          <w:lang w:val="ar-SA"/>
        </w:rPr>
        <w:t xml:space="preserve"> حتى لو غسل الثوب بالماء المغصوب فيكون مقتضى الأصل اللفظي </w:t>
      </w:r>
      <w:r>
        <w:rPr>
          <w:rFonts w:ascii="Al Nile" w:hAnsi="Al Nile"/>
          <w:rtl/>
          <w:lang w:val="ar-SA"/>
        </w:rPr>
        <w:t xml:space="preserve">- </w:t>
      </w:r>
      <w:r>
        <w:rPr>
          <w:rFonts w:cs="Times New Roman"/>
          <w:rtl/>
          <w:lang w:val="ar-SA"/>
        </w:rPr>
        <w:t xml:space="preserve">وهو إطلاق الحكم </w:t>
      </w:r>
      <w:r>
        <w:rPr>
          <w:rFonts w:ascii="Al Nile" w:hAnsi="Al Nile"/>
          <w:rtl/>
          <w:lang w:val="ar-SA"/>
        </w:rPr>
        <w:t xml:space="preserve">- </w:t>
      </w:r>
      <w:r>
        <w:rPr>
          <w:rFonts w:cs="Times New Roman"/>
          <w:rtl/>
          <w:lang w:val="ar-SA"/>
        </w:rPr>
        <w:t>التعبدية وعدم سقوط التكليف بالإتيان بالفرد المحرّم</w:t>
      </w:r>
      <w:r>
        <w:rPr>
          <w:rFonts w:ascii="Al Nile" w:hAnsi="Al Nile"/>
          <w:rtl/>
          <w:lang w:val="ar-SA"/>
        </w:rPr>
        <w:t>.</w:t>
      </w:r>
    </w:p>
    <w:p w:rsidR="00A65CD5" w:rsidRDefault="00C94DEB">
      <w:pPr>
        <w:pStyle w:val="a5"/>
        <w:rPr>
          <w:rFonts w:hint="default"/>
        </w:rPr>
      </w:pPr>
      <w:r>
        <w:rPr>
          <w:rFonts w:cs="Times New Roman"/>
          <w:rtl/>
          <w:lang w:val="ar-SA"/>
        </w:rPr>
        <w:t>هذا البيان للمحقق النائيني قدس سره وقع مقبولاً عند الأعلام واتفقوا على أن مقتضى الصناعة ما أفاده كما في باقي موارد العام والخا</w:t>
      </w:r>
      <w:r>
        <w:rPr>
          <w:rFonts w:cs="Times New Roman"/>
          <w:rtl/>
          <w:lang w:val="ar-SA"/>
        </w:rPr>
        <w:t>ص والمطلق والمقيد عندما يتعلق النهي ببعض الحصص يصير المتعلق ضيقاً ولا يبقى له عموم أو إطلاق وبتعبير المحقق الآخوند قدس سره في بحث العام والخاص أن الموضوع بعد ورود الخاص يعنون بأن يصدق عليه العنوان العام ولم يكن من مصاديق الخاص</w:t>
      </w:r>
      <w:r>
        <w:rPr>
          <w:rFonts w:ascii="Al Nile" w:hAnsi="Al Nile"/>
          <w:rtl/>
          <w:lang w:val="ar-SA"/>
        </w:rPr>
        <w:t>.</w:t>
      </w:r>
    </w:p>
    <w:p w:rsidR="00A65CD5" w:rsidRDefault="00C94DEB">
      <w:pPr>
        <w:pStyle w:val="a5"/>
        <w:rPr>
          <w:rFonts w:hint="default"/>
        </w:rPr>
      </w:pPr>
      <w:r>
        <w:rPr>
          <w:rFonts w:cs="Times New Roman"/>
          <w:rtl/>
          <w:lang w:val="ar-SA"/>
        </w:rPr>
        <w:t>والمخالف في المقام فقط المحق</w:t>
      </w:r>
      <w:r>
        <w:rPr>
          <w:rFonts w:cs="Times New Roman"/>
          <w:rtl/>
          <w:lang w:val="ar-SA"/>
        </w:rPr>
        <w:t xml:space="preserve">ق العراقي قدس سره حيث أفاد </w:t>
      </w:r>
      <w:r>
        <w:rPr>
          <w:rFonts w:ascii="Al Nile" w:hAnsi="Al Nile"/>
          <w:rtl/>
          <w:lang w:val="ar-SA"/>
        </w:rPr>
        <w:t xml:space="preserve">- </w:t>
      </w:r>
      <w:r>
        <w:rPr>
          <w:rFonts w:cs="Times New Roman"/>
          <w:rtl/>
          <w:lang w:val="ar-SA"/>
        </w:rPr>
        <w:t xml:space="preserve">كما أشرنا </w:t>
      </w:r>
      <w:r>
        <w:rPr>
          <w:rFonts w:ascii="Al Nile" w:hAnsi="Al Nile"/>
          <w:rtl/>
          <w:lang w:val="ar-SA"/>
        </w:rPr>
        <w:t xml:space="preserve">- </w:t>
      </w:r>
      <w:r>
        <w:rPr>
          <w:rFonts w:cs="Times New Roman"/>
          <w:rtl/>
          <w:lang w:val="ar-SA"/>
        </w:rPr>
        <w:t>أن مقتضى الأصل اللفظي التوصلية حتى في التقدير الأول لأن إطلاق المادة في خطاب الأمر يدل على وجود الملاك في الطبيعة مطلقاً حتى في الفرد المحرّم منه فإن اتصل بخطاب الأمر المقيّد المتصل منع عن انعقاد إطلاق المادة لاتصال</w:t>
      </w:r>
      <w:r>
        <w:rPr>
          <w:rFonts w:cs="Times New Roman"/>
          <w:rtl/>
          <w:lang w:val="ar-SA"/>
        </w:rPr>
        <w:t>ه وظهوره في التضييق والتقييد ولكن إن كان خطاب النهي  منفصلاً وإن كان النهي موجباً لتضييق دائرة متعلق التكليف وأن الفرد المحرّم خارج عنها لكن لا يؤثر في إطلاق المادة و</w:t>
      </w:r>
      <w:r w:rsidR="0070245F">
        <w:rPr>
          <w:rFonts w:cs="Times New Roman"/>
          <w:rtl/>
          <w:lang w:val="ar-SA"/>
        </w:rPr>
        <w:t xml:space="preserve">الدلالة علی </w:t>
      </w:r>
      <w:r>
        <w:rPr>
          <w:rFonts w:cs="Times New Roman"/>
          <w:rtl/>
          <w:lang w:val="ar-SA"/>
        </w:rPr>
        <w:t>وجود الملاك في جميع أفراد الطبيعة حتى الفرد المحرّم فإن غاية ما يقتضيه دليل النهي أن الحكم</w:t>
      </w:r>
      <w:r>
        <w:rPr>
          <w:rFonts w:cs="Times New Roman"/>
          <w:rtl/>
          <w:lang w:val="ar-SA"/>
        </w:rPr>
        <w:t xml:space="preserve"> الفعلي في المجمع هو الحرمة وأن المفسدة فيه أقوى من المصلحة لكن لا يتصرّف في دلالة إطلاق المادة على أن الفرد المحرم واجد للملاك ولا ينفي أصل وجود المصلحة فيه</w:t>
      </w:r>
      <w:r>
        <w:rPr>
          <w:rFonts w:ascii="Al Nile" w:hAnsi="Al Nile"/>
          <w:rtl/>
          <w:lang w:val="ar-SA"/>
        </w:rPr>
        <w:t>.</w:t>
      </w:r>
    </w:p>
    <w:p w:rsidR="00A65CD5" w:rsidRDefault="00C94DEB">
      <w:pPr>
        <w:pStyle w:val="a5"/>
        <w:rPr>
          <w:rFonts w:hint="default"/>
          <w:b/>
          <w:bCs/>
          <w:shd w:val="clear" w:color="auto" w:fill="FFFFFF"/>
        </w:rPr>
      </w:pPr>
      <w:r>
        <w:rPr>
          <w:rFonts w:cs="Times New Roman"/>
          <w:rtl/>
          <w:lang w:val="ar-SA"/>
        </w:rPr>
        <w:t>قال في بدائع الأفكار</w:t>
      </w:r>
      <w:r>
        <w:rPr>
          <w:rFonts w:ascii="Al Nile" w:hAnsi="Al Nile"/>
          <w:rtl/>
          <w:lang w:val="ar-SA"/>
        </w:rPr>
        <w:t xml:space="preserve">: </w:t>
      </w:r>
      <w:r>
        <w:rPr>
          <w:rFonts w:ascii="Al Nile" w:hAnsi="Al Nile"/>
          <w:b/>
          <w:bCs/>
          <w:rtl/>
          <w:lang w:val="ar-SA"/>
        </w:rPr>
        <w:t>(</w:t>
      </w:r>
      <w:r>
        <w:rPr>
          <w:rFonts w:cs="Times New Roman"/>
          <w:b/>
          <w:bCs/>
          <w:shd w:val="clear" w:color="auto" w:fill="FFFFFF"/>
          <w:rtl/>
          <w:lang w:val="ar-SA"/>
        </w:rPr>
        <w:t>الموضع الثالث</w:t>
      </w:r>
      <w:r>
        <w:rPr>
          <w:rFonts w:ascii="Al Nile" w:hAnsi="Al Nile"/>
          <w:b/>
          <w:bCs/>
          <w:shd w:val="clear" w:color="auto" w:fill="FFFFFF"/>
          <w:rtl/>
          <w:lang w:val="ar-SA"/>
        </w:rPr>
        <w:t xml:space="preserve">: </w:t>
      </w:r>
      <w:r>
        <w:rPr>
          <w:rFonts w:cs="Times New Roman"/>
          <w:b/>
          <w:bCs/>
          <w:shd w:val="clear" w:color="auto" w:fill="FFFFFF"/>
          <w:rtl/>
          <w:lang w:val="ar-SA"/>
        </w:rPr>
        <w:t>في أن اطلاق الخطاب هل يقتضي كفاية الامتثال بالفرد المحرم أو</w:t>
      </w:r>
      <w:r>
        <w:rPr>
          <w:rFonts w:cs="Times New Roman"/>
          <w:b/>
          <w:bCs/>
          <w:shd w:val="clear" w:color="auto" w:fill="FFFFFF"/>
          <w:rtl/>
          <w:lang w:val="ar-SA"/>
        </w:rPr>
        <w:t xml:space="preserve"> لا يقتضي ذلك</w:t>
      </w:r>
      <w:r>
        <w:rPr>
          <w:rFonts w:ascii="Al Nile" w:hAnsi="Al Nile"/>
          <w:b/>
          <w:bCs/>
          <w:shd w:val="clear" w:color="auto" w:fill="FFFFFF"/>
          <w:rtl/>
          <w:lang w:val="ar-SA"/>
        </w:rPr>
        <w:t xml:space="preserve"> </w:t>
      </w:r>
      <w:r>
        <w:rPr>
          <w:rFonts w:cs="Times New Roman"/>
          <w:b/>
          <w:bCs/>
          <w:shd w:val="clear" w:color="auto" w:fill="FFFFFF"/>
          <w:rtl/>
          <w:lang w:val="ar-SA"/>
        </w:rPr>
        <w:t>والتحقيق يقتضي بالأول مطلقا سواء كان بين متعلق الامر ومتعلق النهى عموم من وجه</w:t>
      </w:r>
      <w:r>
        <w:rPr>
          <w:rFonts w:ascii="Al Nile" w:hAnsi="Al Nile"/>
          <w:b/>
          <w:bCs/>
          <w:shd w:val="clear" w:color="auto" w:fill="FFFFFF"/>
          <w:rtl/>
          <w:lang w:val="ar-SA"/>
        </w:rPr>
        <w:t xml:space="preserve"> </w:t>
      </w:r>
      <w:r>
        <w:rPr>
          <w:rFonts w:cs="Times New Roman"/>
          <w:b/>
          <w:bCs/>
          <w:shd w:val="clear" w:color="auto" w:fill="FFFFFF"/>
          <w:rtl/>
          <w:lang w:val="ar-SA"/>
        </w:rPr>
        <w:t>أم عموم مطلق وسواء قلنا بجواز الاجتماع أم بامتناعه وذلك لأن إطلاق الخطاب يكشف</w:t>
      </w:r>
      <w:r>
        <w:rPr>
          <w:rFonts w:ascii="Al Nile" w:hAnsi="Al Nile"/>
          <w:b/>
          <w:bCs/>
          <w:shd w:val="clear" w:color="auto" w:fill="FFFFFF"/>
          <w:rtl/>
          <w:lang w:val="ar-SA"/>
        </w:rPr>
        <w:t xml:space="preserve"> </w:t>
      </w:r>
      <w:r>
        <w:rPr>
          <w:rFonts w:cs="Times New Roman"/>
          <w:b/>
          <w:bCs/>
          <w:shd w:val="clear" w:color="auto" w:fill="FFFFFF"/>
          <w:rtl/>
          <w:lang w:val="ar-SA"/>
        </w:rPr>
        <w:t>عن وجود المصلحة الملزمة في متعلقة مطلقا ولو كان بعض افراده محرماً</w:t>
      </w:r>
      <w:r>
        <w:rPr>
          <w:rFonts w:ascii="Al Nile" w:hAnsi="Al Nile"/>
          <w:b/>
          <w:bCs/>
          <w:shd w:val="clear" w:color="auto" w:fill="FFFFFF"/>
          <w:rtl/>
          <w:lang w:val="ar-SA"/>
        </w:rPr>
        <w:t>.</w:t>
      </w:r>
      <w:r>
        <w:rPr>
          <w:rFonts w:cs="Times New Roman"/>
          <w:b/>
          <w:bCs/>
          <w:shd w:val="clear" w:color="auto" w:fill="FFFFFF"/>
          <w:rtl/>
          <w:lang w:val="ar-SA"/>
        </w:rPr>
        <w:t xml:space="preserve"> غاية الأمر</w:t>
      </w:r>
      <w:r>
        <w:rPr>
          <w:rFonts w:ascii="Al Nile" w:hAnsi="Al Nile"/>
          <w:b/>
          <w:bCs/>
          <w:shd w:val="clear" w:color="auto" w:fill="FFFFFF"/>
          <w:rtl/>
        </w:rPr>
        <w:t xml:space="preserve"> </w:t>
      </w:r>
      <w:r>
        <w:rPr>
          <w:rFonts w:cs="Times New Roman"/>
          <w:b/>
          <w:bCs/>
          <w:shd w:val="clear" w:color="auto" w:fill="FFFFFF"/>
          <w:rtl/>
          <w:lang w:val="ar-SA"/>
        </w:rPr>
        <w:t xml:space="preserve">أن ملاك </w:t>
      </w:r>
      <w:r>
        <w:rPr>
          <w:rFonts w:cs="Times New Roman"/>
          <w:b/>
          <w:bCs/>
          <w:shd w:val="clear" w:color="auto" w:fill="FFFFFF"/>
          <w:rtl/>
          <w:lang w:val="ar-SA"/>
        </w:rPr>
        <w:t>النهى لغلبته على ملاك الامر يوجب فعلية النهى عن الفرد الذي اجتمعا فيه وتنتفي</w:t>
      </w:r>
      <w:r>
        <w:rPr>
          <w:rFonts w:ascii="Al Nile" w:hAnsi="Al Nile"/>
          <w:b/>
          <w:bCs/>
          <w:shd w:val="clear" w:color="auto" w:fill="FFFFFF"/>
          <w:rtl/>
          <w:lang w:val="ar-SA"/>
        </w:rPr>
        <w:t xml:space="preserve"> </w:t>
      </w:r>
      <w:r>
        <w:rPr>
          <w:rFonts w:cs="Times New Roman"/>
          <w:b/>
          <w:bCs/>
          <w:shd w:val="clear" w:color="auto" w:fill="FFFFFF"/>
          <w:rtl/>
          <w:lang w:val="ar-SA"/>
        </w:rPr>
        <w:t>فعلية الأمر وذلك لا يستلزم انتفاء ملاك الأمر ومعه يحصل بالفرد المحرم الغرض الداعي</w:t>
      </w:r>
      <w:r>
        <w:rPr>
          <w:rFonts w:ascii="Al Nile" w:hAnsi="Al Nile"/>
          <w:b/>
          <w:bCs/>
          <w:shd w:val="clear" w:color="auto" w:fill="FFFFFF"/>
          <w:rtl/>
          <w:lang w:val="ar-SA"/>
        </w:rPr>
        <w:t xml:space="preserve"> </w:t>
      </w:r>
      <w:r>
        <w:rPr>
          <w:rFonts w:cs="Times New Roman"/>
          <w:b/>
          <w:bCs/>
          <w:shd w:val="clear" w:color="auto" w:fill="FFFFFF"/>
          <w:rtl/>
          <w:lang w:val="ar-SA"/>
        </w:rPr>
        <w:t>إلى أصل الخطاب فيسقط بانتفاء الموضوع لا بالامتثال</w:t>
      </w:r>
      <w:r>
        <w:rPr>
          <w:rFonts w:ascii="Al Nile" w:hAnsi="Al Nile"/>
          <w:b/>
          <w:bCs/>
          <w:shd w:val="clear" w:color="auto" w:fill="FFFFFF"/>
          <w:rtl/>
          <w:lang w:val="ar-SA"/>
        </w:rPr>
        <w:t>.)</w:t>
      </w:r>
    </w:p>
    <w:p w:rsidR="00A65CD5" w:rsidRDefault="00C94DEB">
      <w:pPr>
        <w:pStyle w:val="a5"/>
        <w:rPr>
          <w:rFonts w:hint="default"/>
          <w:shd w:val="clear" w:color="auto" w:fill="FFFFFF"/>
        </w:rPr>
      </w:pPr>
      <w:r>
        <w:rPr>
          <w:rFonts w:cs="Times New Roman"/>
          <w:shd w:val="clear" w:color="auto" w:fill="FFFFFF"/>
          <w:rtl/>
          <w:lang w:val="ar-SA"/>
        </w:rPr>
        <w:t xml:space="preserve">يلاحظ على ما أفاد بمناقشتين لكن قبل بيان </w:t>
      </w:r>
      <w:r>
        <w:rPr>
          <w:rFonts w:cs="Times New Roman"/>
          <w:shd w:val="clear" w:color="auto" w:fill="FFFFFF"/>
          <w:rtl/>
          <w:lang w:val="ar-SA"/>
        </w:rPr>
        <w:t>المناقشتين لابد من توضيح ما أفاد حتى يتضح عدم ورود بعض المناقشات عليه</w:t>
      </w:r>
      <w:r>
        <w:rPr>
          <w:rFonts w:ascii="Al Nile" w:hAnsi="Al Nile"/>
          <w:shd w:val="clear" w:color="auto" w:fill="FFFFFF"/>
          <w:rtl/>
          <w:lang w:val="ar-SA"/>
        </w:rPr>
        <w:t>.</w:t>
      </w:r>
    </w:p>
    <w:p w:rsidR="00A65CD5" w:rsidRDefault="00C94DEB" w:rsidP="0070245F">
      <w:pPr>
        <w:pStyle w:val="a5"/>
        <w:rPr>
          <w:rFonts w:hint="default"/>
          <w:shd w:val="clear" w:color="auto" w:fill="FFFFFF"/>
        </w:rPr>
      </w:pPr>
      <w:r>
        <w:rPr>
          <w:rFonts w:cs="Times New Roman"/>
          <w:shd w:val="clear" w:color="auto" w:fill="FFFFFF"/>
          <w:rtl/>
          <w:lang w:val="ar-SA"/>
        </w:rPr>
        <w:t>ليس مراده قدس سره باقتضاء إطلاق المادة لوجود الملاك في جميع أف</w:t>
      </w:r>
      <w:r w:rsidR="0070245F">
        <w:rPr>
          <w:rFonts w:cs="Times New Roman"/>
          <w:shd w:val="clear" w:color="auto" w:fill="FFFFFF"/>
          <w:rtl/>
          <w:lang w:val="ar-SA"/>
        </w:rPr>
        <w:t>ر</w:t>
      </w:r>
      <w:r>
        <w:rPr>
          <w:rFonts w:cs="Times New Roman"/>
          <w:shd w:val="clear" w:color="auto" w:fill="FFFFFF"/>
          <w:rtl/>
          <w:lang w:val="ar-SA"/>
        </w:rPr>
        <w:t>اد الطبيعة حتى الفرد المحرم أن ذلك بدلالة خطاب الأمر</w:t>
      </w:r>
      <w:r>
        <w:rPr>
          <w:rFonts w:cs="Times New Roman"/>
          <w:shd w:val="clear" w:color="auto" w:fill="FFFFFF"/>
          <w:rtl/>
          <w:lang w:val="ar-SA"/>
        </w:rPr>
        <w:t xml:space="preserve">في طول دلالته على ثبوت الحكم والتكليف وبعبارة أخرى ليس مراده الدلالة </w:t>
      </w:r>
      <w:r>
        <w:rPr>
          <w:rFonts w:cs="Times New Roman"/>
          <w:shd w:val="clear" w:color="auto" w:fill="FFFFFF"/>
          <w:rtl/>
          <w:lang w:val="ar-SA"/>
        </w:rPr>
        <w:t xml:space="preserve">الالتزامية كما يظهر من توضيحه في الموضع الثاني فإنه قدس سره صرّح هناك بأن خطاب الأمر له دلالات متعددة </w:t>
      </w:r>
      <w:r w:rsidR="0070245F">
        <w:rPr>
          <w:rFonts w:cs="Times New Roman"/>
          <w:shd w:val="clear" w:color="auto" w:fill="FFFFFF"/>
          <w:rtl/>
          <w:lang w:val="ar-SA"/>
        </w:rPr>
        <w:t xml:space="preserve">بعضها </w:t>
      </w:r>
      <w:r>
        <w:rPr>
          <w:rFonts w:cs="Times New Roman"/>
          <w:shd w:val="clear" w:color="auto" w:fill="FFFFFF"/>
          <w:rtl/>
          <w:lang w:val="ar-SA"/>
        </w:rPr>
        <w:t>في عرض البعض</w:t>
      </w:r>
      <w:r>
        <w:rPr>
          <w:rFonts w:ascii="Al Nile" w:hAnsi="Al Nile"/>
          <w:shd w:val="clear" w:color="auto" w:fill="FFFFFF"/>
          <w:rtl/>
          <w:lang w:val="ar-SA"/>
        </w:rPr>
        <w:t xml:space="preserve">: </w:t>
      </w:r>
      <w:r>
        <w:rPr>
          <w:rFonts w:cs="Times New Roman"/>
          <w:shd w:val="clear" w:color="auto" w:fill="FFFFFF"/>
          <w:rtl/>
          <w:lang w:val="ar-SA"/>
        </w:rPr>
        <w:t>الأولى</w:t>
      </w:r>
      <w:r>
        <w:rPr>
          <w:rFonts w:ascii="Al Nile" w:hAnsi="Al Nile"/>
          <w:shd w:val="clear" w:color="auto" w:fill="FFFFFF"/>
          <w:rtl/>
          <w:lang w:val="ar-SA"/>
        </w:rPr>
        <w:t xml:space="preserve">: </w:t>
      </w:r>
      <w:r>
        <w:rPr>
          <w:rFonts w:cs="Times New Roman"/>
          <w:shd w:val="clear" w:color="auto" w:fill="FFFFFF"/>
          <w:rtl/>
          <w:lang w:val="ar-SA"/>
        </w:rPr>
        <w:t>الدلالة على تعلق التكليف بالطبيعي والثانية</w:t>
      </w:r>
      <w:r>
        <w:rPr>
          <w:rFonts w:ascii="Al Nile" w:hAnsi="Al Nile"/>
          <w:shd w:val="clear" w:color="auto" w:fill="FFFFFF"/>
          <w:rtl/>
          <w:lang w:val="ar-SA"/>
        </w:rPr>
        <w:t xml:space="preserve">: </w:t>
      </w:r>
      <w:r>
        <w:rPr>
          <w:rFonts w:cs="Times New Roman"/>
          <w:shd w:val="clear" w:color="auto" w:fill="FFFFFF"/>
          <w:rtl/>
          <w:lang w:val="ar-SA"/>
        </w:rPr>
        <w:lastRenderedPageBreak/>
        <w:t xml:space="preserve">الدلالة على أن حامل الملاك هو الطبيعي لا الحصة حيث </w:t>
      </w:r>
      <w:r w:rsidR="0070245F">
        <w:rPr>
          <w:rFonts w:cs="Times New Roman"/>
          <w:shd w:val="clear" w:color="auto" w:fill="FFFFFF"/>
          <w:rtl/>
          <w:lang w:val="ar-SA"/>
        </w:rPr>
        <w:t xml:space="preserve">ان المولی </w:t>
      </w:r>
      <w:r>
        <w:rPr>
          <w:rFonts w:cs="Times New Roman"/>
          <w:shd w:val="clear" w:color="auto" w:fill="FFFFFF"/>
          <w:rtl/>
          <w:lang w:val="ar-SA"/>
        </w:rPr>
        <w:t>ذكر في مقام بيان المتعلق الطبيعة</w:t>
      </w:r>
      <w:r w:rsidR="0070245F">
        <w:rPr>
          <w:rFonts w:cs="Times New Roman"/>
          <w:shd w:val="clear" w:color="auto" w:fill="FFFFFF"/>
          <w:rtl/>
          <w:lang w:val="ar-SA"/>
        </w:rPr>
        <w:t xml:space="preserve"> فقط</w:t>
      </w:r>
      <w:r>
        <w:rPr>
          <w:rFonts w:cs="Times New Roman"/>
          <w:shd w:val="clear" w:color="auto" w:fill="FFFFFF"/>
          <w:rtl/>
          <w:lang w:val="ar-SA"/>
        </w:rPr>
        <w:t xml:space="preserve"> ولم </w:t>
      </w:r>
      <w:r>
        <w:rPr>
          <w:rFonts w:cs="Times New Roman"/>
          <w:shd w:val="clear" w:color="auto" w:fill="FFFFFF"/>
          <w:rtl/>
          <w:lang w:val="ar-SA"/>
        </w:rPr>
        <w:t>يذكر قيداً</w:t>
      </w:r>
      <w:r w:rsidR="0070245F">
        <w:rPr>
          <w:rFonts w:cs="Times New Roman"/>
          <w:shd w:val="clear" w:color="auto" w:fill="FFFFFF"/>
          <w:rtl/>
          <w:lang w:val="ar-SA"/>
        </w:rPr>
        <w:t xml:space="preserve"> لها</w:t>
      </w:r>
      <w:r>
        <w:rPr>
          <w:rFonts w:cs="Times New Roman"/>
          <w:shd w:val="clear" w:color="auto" w:fill="FFFFFF"/>
          <w:rtl/>
          <w:lang w:val="ar-SA"/>
        </w:rPr>
        <w:t xml:space="preserve"> فهذا يدل على أن الحامل للملاك الطبيعة لا الحصة فهذه الدلالة الثانية في عرض الدلالة الأولى لا أن تكون في طولها ومن قبيل الدلالة الالتزامية</w:t>
      </w:r>
      <w:r>
        <w:rPr>
          <w:rFonts w:ascii="Al Nile" w:hAnsi="Al Nile"/>
          <w:shd w:val="clear" w:color="auto" w:fill="FFFFFF"/>
          <w:rtl/>
          <w:lang w:val="ar-SA"/>
        </w:rPr>
        <w:t>.</w:t>
      </w:r>
    </w:p>
    <w:p w:rsidR="00A65CD5" w:rsidRDefault="00C94DEB">
      <w:pPr>
        <w:pStyle w:val="a5"/>
        <w:rPr>
          <w:rFonts w:hint="default"/>
          <w:shd w:val="clear" w:color="auto" w:fill="FFFFFF"/>
        </w:rPr>
      </w:pPr>
      <w:r>
        <w:rPr>
          <w:rFonts w:cs="Times New Roman"/>
          <w:shd w:val="clear" w:color="auto" w:fill="FFFFFF"/>
          <w:rtl/>
          <w:lang w:val="ar-SA"/>
        </w:rPr>
        <w:t>بهذا التوضيح تبيّن أنه لا يرد عليه قدس سره</w:t>
      </w:r>
      <w:r w:rsidR="0070245F">
        <w:rPr>
          <w:rFonts w:cs="Times New Roman"/>
          <w:shd w:val="clear" w:color="auto" w:fill="FFFFFF"/>
          <w:rtl/>
          <w:lang w:val="ar-SA"/>
        </w:rPr>
        <w:t xml:space="preserve"> الاشکال</w:t>
      </w:r>
      <w:r>
        <w:rPr>
          <w:rFonts w:cs="Times New Roman"/>
          <w:shd w:val="clear" w:color="auto" w:fill="FFFFFF"/>
          <w:rtl/>
          <w:lang w:val="ar-SA"/>
        </w:rPr>
        <w:t xml:space="preserve"> بأن خطاب الأمر وإن كان دالاً على وجود الملاك في الطبيعي لكن هذه</w:t>
      </w:r>
      <w:r>
        <w:rPr>
          <w:rFonts w:cs="Times New Roman"/>
          <w:shd w:val="clear" w:color="auto" w:fill="FFFFFF"/>
          <w:rtl/>
          <w:lang w:val="ar-SA"/>
        </w:rPr>
        <w:t xml:space="preserve"> الدلالة في طول دلالته على ثبوت الحكم وعندما صارت الدلالة المطابقية ضيقةً بورود النهي وسقطت بالنسبة إلى الفرد المحرّم فالدلالة الالتزامية أيضاً تسقط بالنسبة إليه ولا يمكن أن يقال بأن الفرد المحرّم واجد للملاك</w:t>
      </w:r>
      <w:r>
        <w:rPr>
          <w:rFonts w:ascii="Al Nile" w:hAnsi="Al Nile"/>
          <w:shd w:val="clear" w:color="auto" w:fill="FFFFFF"/>
          <w:rtl/>
          <w:lang w:val="ar-SA"/>
        </w:rPr>
        <w:t>.</w:t>
      </w:r>
    </w:p>
    <w:p w:rsidR="00A65CD5" w:rsidRDefault="00C94DEB" w:rsidP="00D54C73">
      <w:pPr>
        <w:pStyle w:val="a5"/>
        <w:rPr>
          <w:rFonts w:hint="default"/>
          <w:shd w:val="clear" w:color="auto" w:fill="FFFFFF"/>
        </w:rPr>
      </w:pPr>
      <w:r>
        <w:rPr>
          <w:rFonts w:cs="Times New Roman"/>
          <w:shd w:val="clear" w:color="auto" w:fill="FFFFFF"/>
          <w:rtl/>
          <w:lang w:val="ar-SA"/>
        </w:rPr>
        <w:t xml:space="preserve">فلا يرد عليه هذا الإشكال </w:t>
      </w:r>
      <w:r w:rsidR="0070245F">
        <w:rPr>
          <w:rFonts w:cs="Times New Roman"/>
          <w:shd w:val="clear" w:color="auto" w:fill="FFFFFF"/>
          <w:rtl/>
          <w:lang w:val="ar-SA"/>
        </w:rPr>
        <w:t xml:space="preserve"> ل</w:t>
      </w:r>
      <w:r>
        <w:rPr>
          <w:rFonts w:cs="Times New Roman"/>
          <w:shd w:val="clear" w:color="auto" w:fill="FFFFFF"/>
          <w:rtl/>
          <w:lang w:val="ar-SA"/>
        </w:rPr>
        <w:t xml:space="preserve">أنه إذا كانت هناك دلالتان مستقلتان </w:t>
      </w:r>
      <w:r w:rsidR="0070245F">
        <w:rPr>
          <w:rFonts w:cs="Times New Roman"/>
          <w:shd w:val="clear" w:color="auto" w:fill="FFFFFF"/>
          <w:rtl/>
          <w:lang w:val="ar-SA"/>
        </w:rPr>
        <w:t>بع</w:t>
      </w:r>
      <w:proofErr w:type="spellStart"/>
      <w:r w:rsidR="00D54C73">
        <w:rPr>
          <w:rFonts w:cs="Times New Roman"/>
          <w:shd w:val="clear" w:color="auto" w:fill="FFFFFF"/>
          <w:rtl/>
          <w:lang w:val="ar-SA" w:bidi="fa-IR"/>
        </w:rPr>
        <w:t>ضها</w:t>
      </w:r>
      <w:proofErr w:type="spellEnd"/>
      <w:r w:rsidR="00D54C73">
        <w:rPr>
          <w:rFonts w:cs="Times New Roman"/>
          <w:shd w:val="clear" w:color="auto" w:fill="FFFFFF"/>
          <w:rtl/>
          <w:lang w:val="ar-SA" w:bidi="fa-IR"/>
        </w:rPr>
        <w:t xml:space="preserve"> </w:t>
      </w:r>
      <w:r>
        <w:rPr>
          <w:rFonts w:cs="Times New Roman"/>
          <w:shd w:val="clear" w:color="auto" w:fill="FFFFFF"/>
          <w:rtl/>
          <w:lang w:val="ar-SA"/>
        </w:rPr>
        <w:t>في عرض البعض</w:t>
      </w:r>
      <w:r w:rsidR="00D54C73">
        <w:rPr>
          <w:rFonts w:cs="Times New Roman"/>
          <w:shd w:val="clear" w:color="auto" w:fill="FFFFFF"/>
          <w:rtl/>
          <w:lang w:val="ar-SA"/>
        </w:rPr>
        <w:t xml:space="preserve"> </w:t>
      </w:r>
      <w:r w:rsidR="00D54C73">
        <w:rPr>
          <w:rFonts w:cs="Times New Roman"/>
          <w:shd w:val="clear" w:color="auto" w:fill="FFFFFF"/>
          <w:rtl/>
          <w:lang w:val="ar-SA"/>
        </w:rPr>
        <w:t>كما صرّح</w:t>
      </w:r>
      <w:r w:rsidR="00D54C73">
        <w:rPr>
          <w:rFonts w:cs="Times New Roman"/>
          <w:shd w:val="clear" w:color="auto" w:fill="FFFFFF"/>
          <w:rtl/>
          <w:lang w:val="ar-SA"/>
        </w:rPr>
        <w:t xml:space="preserve"> به</w:t>
      </w:r>
      <w:r w:rsidR="00D54C73">
        <w:rPr>
          <w:rFonts w:cs="Times New Roman"/>
          <w:shd w:val="clear" w:color="auto" w:fill="FFFFFF"/>
          <w:rtl/>
          <w:lang w:val="ar-SA"/>
        </w:rPr>
        <w:t xml:space="preserve"> في الموضع الثاني</w:t>
      </w:r>
      <w:r>
        <w:rPr>
          <w:rFonts w:cs="Times New Roman"/>
          <w:shd w:val="clear" w:color="auto" w:fill="FFFFFF"/>
          <w:rtl/>
          <w:lang w:val="ar-SA"/>
        </w:rPr>
        <w:t xml:space="preserve"> </w:t>
      </w:r>
      <w:r w:rsidR="00D54C73">
        <w:rPr>
          <w:rFonts w:cs="Times New Roman"/>
          <w:shd w:val="clear" w:color="auto" w:fill="FFFFFF"/>
          <w:rtl/>
          <w:lang w:val="ar-SA"/>
        </w:rPr>
        <w:t>ف</w:t>
      </w:r>
      <w:r>
        <w:rPr>
          <w:rFonts w:cs="Times New Roman"/>
          <w:shd w:val="clear" w:color="auto" w:fill="FFFFFF"/>
          <w:rtl/>
          <w:lang w:val="ar-SA"/>
        </w:rPr>
        <w:t>سقوط إحد</w:t>
      </w:r>
      <w:r w:rsidR="00D54C73">
        <w:rPr>
          <w:rFonts w:cs="Times New Roman"/>
          <w:shd w:val="clear" w:color="auto" w:fill="FFFFFF"/>
          <w:rtl/>
          <w:lang w:val="ar-SA"/>
        </w:rPr>
        <w:t>ي</w:t>
      </w:r>
      <w:r>
        <w:rPr>
          <w:rFonts w:cs="Times New Roman"/>
          <w:shd w:val="clear" w:color="auto" w:fill="FFFFFF"/>
          <w:rtl/>
          <w:lang w:val="ar-SA"/>
        </w:rPr>
        <w:t>هما لا يوجب سقوط الأخرى</w:t>
      </w:r>
      <w:r>
        <w:rPr>
          <w:rFonts w:ascii="Al Nile" w:hAnsi="Al Nile"/>
          <w:shd w:val="clear" w:color="auto" w:fill="FFFFFF"/>
          <w:rtl/>
          <w:lang w:val="ar-SA"/>
        </w:rPr>
        <w:t>.</w:t>
      </w:r>
    </w:p>
    <w:p w:rsidR="00A65CD5" w:rsidRDefault="00C94DEB">
      <w:pPr>
        <w:pStyle w:val="a5"/>
        <w:rPr>
          <w:rFonts w:hint="default"/>
          <w:shd w:val="clear" w:color="auto" w:fill="FFFFFF"/>
        </w:rPr>
      </w:pPr>
      <w:r>
        <w:rPr>
          <w:rFonts w:cs="Times New Roman"/>
          <w:shd w:val="clear" w:color="auto" w:fill="FFFFFF"/>
          <w:rtl/>
          <w:lang w:val="ar-SA"/>
        </w:rPr>
        <w:t>ولكن مع ذلك ترد عليه مناقشتان</w:t>
      </w:r>
      <w:r>
        <w:rPr>
          <w:rFonts w:ascii="Al Nile" w:hAnsi="Al Nile"/>
          <w:shd w:val="clear" w:color="auto" w:fill="FFFFFF"/>
          <w:rtl/>
          <w:lang w:val="ar-SA"/>
        </w:rPr>
        <w:t>:</w:t>
      </w:r>
    </w:p>
    <w:p w:rsidR="00A65CD5" w:rsidRDefault="00C94DEB">
      <w:pPr>
        <w:pStyle w:val="a5"/>
        <w:rPr>
          <w:rFonts w:hint="default"/>
          <w:shd w:val="clear" w:color="auto" w:fill="FFFFFF"/>
        </w:rPr>
      </w:pPr>
      <w:r>
        <w:rPr>
          <w:rFonts w:cs="Times New Roman"/>
          <w:shd w:val="clear" w:color="auto" w:fill="FFFFFF"/>
          <w:rtl/>
          <w:lang w:val="ar-SA"/>
        </w:rPr>
        <w:t>الأولى</w:t>
      </w:r>
      <w:r>
        <w:rPr>
          <w:rFonts w:ascii="Al Nile" w:hAnsi="Al Nile"/>
          <w:shd w:val="clear" w:color="auto" w:fill="FFFFFF"/>
          <w:rtl/>
          <w:lang w:val="ar-SA"/>
        </w:rPr>
        <w:t xml:space="preserve">: </w:t>
      </w:r>
      <w:r>
        <w:rPr>
          <w:rFonts w:cs="Times New Roman"/>
          <w:shd w:val="clear" w:color="auto" w:fill="FFFFFF"/>
          <w:rtl/>
          <w:lang w:val="ar-SA"/>
        </w:rPr>
        <w:t>أنه لا دلالة مستقلة للخطاب على وجود الملاك في الطبيعي لأن الخطابات الشرعية لم تصدر لبيان وجود الملاك بل المهم للمكلفين هو بيان الح</w:t>
      </w:r>
      <w:r>
        <w:rPr>
          <w:rFonts w:cs="Times New Roman"/>
          <w:shd w:val="clear" w:color="auto" w:fill="FFFFFF"/>
          <w:rtl/>
          <w:lang w:val="ar-SA"/>
        </w:rPr>
        <w:t>كم والتكليف وليس الخطاب في مقام بيان الملاك فدلالة الخطاب على وجود الملاك ليست بالدلالة المطابقية بل من باب الدلالة الالتزامية بناءً على مذهب العدلية من تبعية الأحكام للمصالح والمفاسد الواقعية وعندما كانت الدلالة التزاميةً يعود الإشكال المتقدم</w:t>
      </w:r>
      <w:r>
        <w:rPr>
          <w:rFonts w:ascii="Al Nile" w:hAnsi="Al Nile"/>
          <w:shd w:val="clear" w:color="auto" w:fill="FFFFFF"/>
          <w:rtl/>
          <w:lang w:val="ar-SA"/>
        </w:rPr>
        <w:t>.</w:t>
      </w:r>
    </w:p>
    <w:p w:rsidR="00A65CD5" w:rsidRDefault="00C94DEB">
      <w:pPr>
        <w:pStyle w:val="a5"/>
        <w:rPr>
          <w:rFonts w:hint="default"/>
        </w:rPr>
      </w:pPr>
      <w:r>
        <w:rPr>
          <w:rFonts w:cs="Times New Roman"/>
          <w:shd w:val="clear" w:color="auto" w:fill="FFFFFF"/>
          <w:rtl/>
          <w:lang w:val="ar-SA"/>
        </w:rPr>
        <w:t>المناقشة ال</w:t>
      </w:r>
      <w:r>
        <w:rPr>
          <w:rFonts w:cs="Times New Roman"/>
          <w:shd w:val="clear" w:color="auto" w:fill="FFFFFF"/>
          <w:rtl/>
          <w:lang w:val="ar-SA"/>
        </w:rPr>
        <w:t>ثانية</w:t>
      </w:r>
      <w:r>
        <w:rPr>
          <w:rFonts w:ascii="Al Nile" w:hAnsi="Al Nile"/>
          <w:shd w:val="clear" w:color="auto" w:fill="FFFFFF"/>
          <w:rtl/>
          <w:lang w:val="ar-SA"/>
        </w:rPr>
        <w:t xml:space="preserve">: </w:t>
      </w:r>
      <w:r>
        <w:rPr>
          <w:rFonts w:cs="Times New Roman"/>
          <w:shd w:val="clear" w:color="auto" w:fill="FFFFFF"/>
          <w:rtl/>
          <w:lang w:val="ar-SA"/>
        </w:rPr>
        <w:t>لو سلمنا أن الدلالة على الملاك دلالة التزامية وقلنا أن الدلالة الالتزامية غير تابعة للدلالة المطابقية في الحجية وإن كانت تابعةً لها في أصل الثبوت كما هو مختار المحقق النائيني قدس سره مع ذلك لا يمكن أن يكشف في التقدير الأول كون المجمع واجداً للملاك ف</w:t>
      </w:r>
      <w:r>
        <w:rPr>
          <w:rFonts w:cs="Times New Roman"/>
          <w:shd w:val="clear" w:color="auto" w:fill="FFFFFF"/>
          <w:rtl/>
          <w:lang w:val="ar-SA"/>
        </w:rPr>
        <w:t>لذلك المحقق النائيني قدس سره مع قوله بالمبنى المذكور لم يلتزم بذلك فهذا كاشف عن كون هذا التقدير واجداً لخصوصية بلحاظها لا يمكن أن يتمسك بإطلاق المادة لوجود الملاك وسيأتي بيان تلك الخصوصية إن شاء الله تعالى</w:t>
      </w:r>
      <w:r>
        <w:rPr>
          <w:rFonts w:ascii="Al Nile" w:hAnsi="Al Nile"/>
          <w:shd w:val="clear" w:color="auto" w:fill="FFFFFF"/>
          <w:rtl/>
          <w:lang w:val="ar-SA"/>
        </w:rPr>
        <w:t xml:space="preserve">.                </w:t>
      </w:r>
    </w:p>
    <w:p w:rsidR="00A65CD5" w:rsidRDefault="00C94DEB">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bookmarkStart w:id="0" w:name="_GoBack"/>
      <w:bookmarkEnd w:id="0"/>
    </w:p>
    <w:sectPr w:rsidR="00A65CD5">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DEB" w:rsidRDefault="00C94DEB">
      <w:r>
        <w:separator/>
      </w:r>
    </w:p>
  </w:endnote>
  <w:endnote w:type="continuationSeparator" w:id="0">
    <w:p w:rsidR="00C94DEB" w:rsidRDefault="00C9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CD5" w:rsidRDefault="00C94DEB">
    <w:pPr>
      <w:pStyle w:val="a4"/>
      <w:jc w:val="center"/>
    </w:pPr>
    <w:r>
      <w:fldChar w:fldCharType="begin"/>
    </w:r>
    <w:r>
      <w:instrText xml:space="preserve"> PAGE </w:instrText>
    </w:r>
    <w:r w:rsidR="00707332">
      <w:fldChar w:fldCharType="separate"/>
    </w:r>
    <w:r w:rsidR="00D54C73">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DEB" w:rsidRDefault="00C94DEB">
      <w:r>
        <w:separator/>
      </w:r>
    </w:p>
  </w:footnote>
  <w:footnote w:type="continuationSeparator" w:id="0">
    <w:p w:rsidR="00C94DEB" w:rsidRDefault="00C94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CD5" w:rsidRDefault="00A65CD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65CD5"/>
    <w:rsid w:val="0070245F"/>
    <w:rsid w:val="00707332"/>
    <w:rsid w:val="00A65CD5"/>
    <w:rsid w:val="00C94DEB"/>
    <w:rsid w:val="00D54C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4</Pages>
  <Words>1270</Words>
  <Characters>7239</Characters>
  <Application>Microsoft Office Word</Application>
  <DocSecurity>0</DocSecurity>
  <Lines>60</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2022-11-16T08:10:00Z</dcterms:created>
  <dcterms:modified xsi:type="dcterms:W3CDTF">2022-11-16T13:09:00Z</dcterms:modified>
</cp:coreProperties>
</file>