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66D" w:rsidRDefault="00315793">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٣٣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١١</w:t>
      </w:r>
    </w:p>
    <w:p w:rsidR="00B1566D" w:rsidRDefault="00315793">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B1566D" w:rsidRDefault="00315793" w:rsidP="00DD7753">
      <w:pPr>
        <w:pStyle w:val="a5"/>
        <w:rPr>
          <w:rFonts w:hint="default"/>
        </w:rPr>
      </w:pPr>
      <w:r>
        <w:rPr>
          <w:rFonts w:cs="Times New Roman"/>
          <w:rtl/>
          <w:lang w:val="ar-SA"/>
        </w:rPr>
        <w:t>ما زال الكلام في المسألة ال</w:t>
      </w:r>
      <w:r w:rsidR="00DD7753">
        <w:rPr>
          <w:rFonts w:cs="Times New Roman"/>
          <w:rtl/>
          <w:lang w:val="ar-SA"/>
        </w:rPr>
        <w:t>رابعة</w:t>
      </w:r>
      <w:r>
        <w:rPr>
          <w:rFonts w:cs="Times New Roman"/>
          <w:rtl/>
          <w:lang w:val="ar-SA"/>
        </w:rPr>
        <w:t xml:space="preserve"> من مسائل بحث التعبدية والتوصلية وهي في الشك في التعبدية والتوصلية بمعنى اعتبار قصد القربة في صحة العمل وعدمه</w:t>
      </w:r>
      <w:r>
        <w:rPr>
          <w:rFonts w:ascii="Al Nile" w:hAnsi="Al Nile"/>
          <w:rtl/>
          <w:lang w:val="ar-SA"/>
        </w:rPr>
        <w:t>.</w:t>
      </w:r>
    </w:p>
    <w:p w:rsidR="00B1566D" w:rsidRDefault="00315793">
      <w:pPr>
        <w:pStyle w:val="a5"/>
        <w:rPr>
          <w:rFonts w:hint="default"/>
        </w:rPr>
      </w:pPr>
      <w:r>
        <w:rPr>
          <w:rFonts w:cs="Times New Roman"/>
          <w:rtl/>
          <w:lang w:val="ar-SA"/>
        </w:rPr>
        <w:t xml:space="preserve">قلنا بالتأمل فيما أفاده المحقق الآخوند قدس سره في </w:t>
      </w:r>
      <w:r>
        <w:rPr>
          <w:rFonts w:cs="Times New Roman"/>
          <w:rtl/>
          <w:cs/>
        </w:rPr>
        <w:t xml:space="preserve">المقدمة الثانية </w:t>
      </w:r>
      <w:r>
        <w:rPr>
          <w:rFonts w:ascii="Al Nile" w:hAnsi="Al Nile"/>
        </w:rPr>
        <w:t xml:space="preserve">- </w:t>
      </w:r>
      <w:r>
        <w:rPr>
          <w:rFonts w:cs="Times New Roman"/>
          <w:rtl/>
          <w:cs/>
        </w:rPr>
        <w:t xml:space="preserve">وهي العمدة في هذه المسألة </w:t>
      </w:r>
      <w:r>
        <w:rPr>
          <w:rFonts w:ascii="Al Nile" w:hAnsi="Al Nile"/>
        </w:rPr>
        <w:t>-</w:t>
      </w:r>
      <w:r>
        <w:rPr>
          <w:rFonts w:cs="Times New Roman"/>
          <w:rtl/>
          <w:lang w:val="ar-SA"/>
        </w:rPr>
        <w:t xml:space="preserve"> يتضح أن ما أفاد يرجع إلى خمس نقاط</w:t>
      </w:r>
      <w:r>
        <w:rPr>
          <w:rFonts w:ascii="Al Nile" w:hAnsi="Al Nile"/>
          <w:rtl/>
          <w:lang w:val="ar-SA"/>
        </w:rPr>
        <w:t>:</w:t>
      </w:r>
    </w:p>
    <w:p w:rsidR="00B1566D" w:rsidRDefault="00315793">
      <w:pPr>
        <w:pStyle w:val="a5"/>
        <w:rPr>
          <w:rFonts w:hint="default"/>
        </w:rPr>
      </w:pPr>
      <w:r>
        <w:rPr>
          <w:rFonts w:cs="Times New Roman"/>
          <w:rtl/>
          <w:lang w:val="ar-SA"/>
        </w:rPr>
        <w:t>النقطة الثالثة</w:t>
      </w:r>
      <w:r>
        <w:rPr>
          <w:rFonts w:ascii="Al Nile" w:hAnsi="Al Nile"/>
          <w:rtl/>
          <w:lang w:val="ar-SA"/>
        </w:rPr>
        <w:t xml:space="preserve">: </w:t>
      </w:r>
      <w:r>
        <w:rPr>
          <w:rFonts w:cs="Times New Roman"/>
          <w:rtl/>
          <w:lang w:val="ar-SA"/>
        </w:rPr>
        <w:t>أن أخذ قصد الأمر في متعلق التكليف بنحو الجزئية غير ممكن وذكر لذلك دليلين</w:t>
      </w:r>
      <w:r>
        <w:rPr>
          <w:rFonts w:ascii="Al Nile" w:hAnsi="Al Nile"/>
          <w:rtl/>
          <w:lang w:val="ar-SA"/>
        </w:rPr>
        <w:t>:</w:t>
      </w:r>
    </w:p>
    <w:p w:rsidR="00B1566D" w:rsidRDefault="00315793">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الفعل وإن كان بسبب الإرادة والقصد اختيارياً لكن نفس الإرادة والقصد غير اختيارية لأنها لو كانت اختياريةً لكان ذلك بتعلق إرادة أخرى بها فننقل الكلام إلى تلك الإرادة هل هي اختيارية بتعلق إرادة إخرى أو لا فإن لم تكن عن إرادة يكون الفعل اضطرارياً وإن كانت عن إرادة ننقل الكلام إلى تلك الإرادة وهكذا يتسلسل</w:t>
      </w:r>
      <w:r>
        <w:rPr>
          <w:rFonts w:ascii="Al Nile" w:hAnsi="Al Nile"/>
          <w:rtl/>
          <w:lang w:val="ar-SA"/>
        </w:rPr>
        <w:t xml:space="preserve">. </w:t>
      </w:r>
      <w:r>
        <w:rPr>
          <w:rFonts w:cs="Times New Roman"/>
          <w:rtl/>
          <w:lang w:val="ar-SA"/>
        </w:rPr>
        <w:t>فالإرادة غير اختيارية فلا يمكن أخذها في متعلق التكليف لأنها لو كانت جزءاً لزم تعلق التكليف بغير المقدور</w:t>
      </w:r>
      <w:r>
        <w:rPr>
          <w:rFonts w:ascii="Al Nile" w:hAnsi="Al Nile"/>
          <w:rtl/>
          <w:lang w:val="ar-SA"/>
        </w:rPr>
        <w:t>.</w:t>
      </w:r>
    </w:p>
    <w:p w:rsidR="00B1566D" w:rsidRDefault="00315793">
      <w:pPr>
        <w:pStyle w:val="a5"/>
        <w:rPr>
          <w:rFonts w:hint="default"/>
        </w:rPr>
      </w:pPr>
      <w:r>
        <w:rPr>
          <w:rFonts w:cs="Times New Roman"/>
          <w:rtl/>
          <w:lang w:val="ar-SA"/>
        </w:rPr>
        <w:t>قلنا سابقاً أن هذا الدليل غير تام وإشكاله ورد في كلام المحقق الآخوند قدس سره في بحث التجري وحاصله أن كون الفعل اختيارياً ليس بتعلق الإرادة به ليقال أن الإرادة والقصد ليست اختياريةً بل كون الفعل اختيارياً وإرادياً بالتمكن من تركه والتمكن من الترك موجود في الإرادة والقصد لأن المكلف له أن يترك القصد بالتأمل في مقدماته</w:t>
      </w:r>
      <w:r>
        <w:rPr>
          <w:rFonts w:ascii="Al Nile" w:hAnsi="Al Nile"/>
          <w:rtl/>
          <w:lang w:val="ar-SA"/>
        </w:rPr>
        <w:t>.</w:t>
      </w:r>
    </w:p>
    <w:p w:rsidR="00B1566D" w:rsidRDefault="00315793" w:rsidP="00DD7753">
      <w:pPr>
        <w:pStyle w:val="a5"/>
        <w:rPr>
          <w:rFonts w:hint="default"/>
        </w:rPr>
      </w:pPr>
      <w:r>
        <w:rPr>
          <w:rFonts w:cs="Times New Roman"/>
          <w:rtl/>
          <w:lang w:val="ar-SA"/>
        </w:rPr>
        <w:t>الثاني</w:t>
      </w:r>
      <w:r>
        <w:rPr>
          <w:rFonts w:ascii="Al Nile" w:hAnsi="Al Nile"/>
          <w:rtl/>
          <w:lang w:val="ar-SA"/>
        </w:rPr>
        <w:t xml:space="preserve">: - </w:t>
      </w:r>
      <w:r>
        <w:rPr>
          <w:rFonts w:cs="Times New Roman"/>
          <w:rtl/>
          <w:lang w:val="ar-SA"/>
        </w:rPr>
        <w:t>وهو عمدة دليله قدس سره ولم يشكل عليه و</w:t>
      </w:r>
      <w:r w:rsidR="00DD7753">
        <w:rPr>
          <w:rFonts w:cs="Times New Roman"/>
          <w:rtl/>
          <w:lang w:val="ar-SA"/>
        </w:rPr>
        <w:t xml:space="preserve">وافقه </w:t>
      </w:r>
      <w:r>
        <w:rPr>
          <w:rFonts w:cs="Times New Roman"/>
          <w:rtl/>
          <w:lang w:val="ar-SA"/>
        </w:rPr>
        <w:t xml:space="preserve">جملة من الأعلام كالمحقق الإصفهاني والسيد الحكيم قدس سرهما </w:t>
      </w:r>
      <w:r>
        <w:rPr>
          <w:rFonts w:ascii="Al Nile" w:hAnsi="Al Nile"/>
          <w:rtl/>
          <w:lang w:val="ar-SA"/>
        </w:rPr>
        <w:t xml:space="preserve">- </w:t>
      </w:r>
      <w:r>
        <w:rPr>
          <w:rFonts w:cs="Times New Roman"/>
          <w:rtl/>
          <w:lang w:val="ar-SA"/>
        </w:rPr>
        <w:t>محصله أنه في الموارد التي يكون متعلق التكليف فيها عملاً مركباً من أجزاء لا يكفي مجرد انبساط الأمر على الأجزاء ليصح العمل بعنوان العبادة ويتحقق الامتثال بل لابد أن يؤتى بجميع الأجزاء بداعي الأمر فإن أتى المكلف ببعض الأجزاء بداعي الأمر المتعلق بها وترك الباقي لا يفيد مثلاً في الصلاة إن أتى المكلف بالركوع والسجود بداعي الأمر فقط ولم يأت بالتكبيرة بداعي الأمر لا يفيد</w:t>
      </w:r>
      <w:r>
        <w:rPr>
          <w:rFonts w:ascii="Al Nile" w:hAnsi="Al Nile"/>
          <w:rtl/>
          <w:lang w:val="ar-SA"/>
        </w:rPr>
        <w:t xml:space="preserve">. </w:t>
      </w:r>
      <w:r>
        <w:rPr>
          <w:rFonts w:cs="Times New Roman"/>
          <w:rtl/>
          <w:lang w:val="ar-SA"/>
        </w:rPr>
        <w:t>بتعبير المحقق الآخوند قدس سره</w:t>
      </w:r>
      <w:r>
        <w:rPr>
          <w:rFonts w:ascii="Al Nile" w:hAnsi="Al Nile"/>
          <w:rtl/>
          <w:lang w:val="ar-SA"/>
        </w:rPr>
        <w:t xml:space="preserve">: </w:t>
      </w:r>
      <w:r>
        <w:rPr>
          <w:rFonts w:ascii="Al Nile" w:hAnsi="Al Nile"/>
          <w:b/>
          <w:bCs/>
          <w:rtl/>
          <w:lang w:val="ar-SA"/>
        </w:rPr>
        <w:t>(</w:t>
      </w:r>
      <w:r>
        <w:rPr>
          <w:rFonts w:cs="Times New Roman"/>
          <w:b/>
          <w:bCs/>
          <w:rtl/>
          <w:lang w:val="ar-SA"/>
        </w:rPr>
        <w:t>إنما يصح الإتيان بجزء الواجب بداعي وجوبه في ضمن إتيانه يعني إتيان الكل بهذا الداعي</w:t>
      </w:r>
      <w:r>
        <w:rPr>
          <w:rFonts w:ascii="Al Nile" w:hAnsi="Al Nile"/>
          <w:b/>
          <w:bCs/>
          <w:rtl/>
          <w:lang w:val="ar-SA"/>
        </w:rPr>
        <w:t>.)</w:t>
      </w:r>
    </w:p>
    <w:p w:rsidR="00B1566D" w:rsidRDefault="00315793">
      <w:pPr>
        <w:pStyle w:val="a5"/>
        <w:rPr>
          <w:rFonts w:hint="default"/>
        </w:rPr>
      </w:pPr>
      <w:r>
        <w:rPr>
          <w:rFonts w:cs="Times New Roman"/>
          <w:rtl/>
          <w:lang w:val="ar-SA"/>
        </w:rPr>
        <w:t xml:space="preserve">في محل البحث أيضاً الأمر تعلق بذات الصلاة وبقصد الأمر والمكلف وإن كان قادراً على الإتيان بذات الصلاة بداعي الأمر المتعلق بها لكن لا يقدر على الإتيان بالجزء الآخر وهو قصد الأمر بداعي الأمر وتوضيح ذلك كما أفاد المحقق الإصفهاني قدس سره أن قصد الأمر بداعي الأمر معناه أن الأمر علة لمحركية نفسه والشيء لا يكون علةً لعلية نفسه كما لا يكون علةً لنفسه للزوم محذور تقدم </w:t>
      </w:r>
      <w:r>
        <w:rPr>
          <w:rFonts w:cs="Times New Roman"/>
          <w:rtl/>
          <w:lang w:val="ar-SA"/>
        </w:rPr>
        <w:lastRenderedPageBreak/>
        <w:t>الشيء على نفسه لذا وإن كان الإتيان بذات الصلاة بداعي الأمر ممكناً للأمر الضمني بها لكن لا يمكن الإتيان بالجزء الآخر بداعي الأمر فلا يتحقق الامتثال</w:t>
      </w:r>
      <w:r>
        <w:rPr>
          <w:rFonts w:ascii="Al Nile" w:hAnsi="Al Nile"/>
          <w:rtl/>
          <w:lang w:val="ar-SA"/>
        </w:rPr>
        <w:t>.</w:t>
      </w:r>
    </w:p>
    <w:p w:rsidR="00B1566D" w:rsidRDefault="00315793" w:rsidP="0093207A">
      <w:pPr>
        <w:pStyle w:val="a5"/>
        <w:rPr>
          <w:rFonts w:hint="default"/>
        </w:rPr>
      </w:pPr>
      <w:r>
        <w:rPr>
          <w:rFonts w:cs="Times New Roman"/>
          <w:rtl/>
          <w:lang w:val="ar-SA"/>
        </w:rPr>
        <w:t>ناقش هذا الدليل السيد الخوئي والميرزا التبريزي قدس سرهما بأنا نسلّم الكبرى وهي أن الإتيان ببعض المأمور به بداعي الأمر به لا يفيد إلا في صورة الإتيان بالكل بداعي الأمر</w:t>
      </w:r>
      <w:r>
        <w:rPr>
          <w:rFonts w:ascii="Al Nile" w:hAnsi="Al Nile"/>
          <w:rtl/>
          <w:lang w:val="ar-SA"/>
        </w:rPr>
        <w:t xml:space="preserve">. </w:t>
      </w:r>
      <w:r>
        <w:rPr>
          <w:rFonts w:cs="Times New Roman"/>
          <w:rtl/>
          <w:lang w:val="ar-SA"/>
        </w:rPr>
        <w:t>هذا صحيح لكن فيما إذا كانت أجزاء المركب في عرض واحد وبعضها مثل بعض مثلاً كانت كلها أجزاءً خارجيةً جوارحيةً كالركوع والسجود والقراءة والتكبيرة ففي هذه الموارد ما لم يؤت بالجميع لا يفيد لكن فيما كانت الأجزاء بحيث إن أتي ببعضها بداعي الأمر تحقق الباقي  بنفسه فيكون الإتيان بالبعض بداعي الأمر مفيداً</w:t>
      </w:r>
      <w:r>
        <w:rPr>
          <w:rFonts w:ascii="Al Nile" w:hAnsi="Al Nile"/>
          <w:rtl/>
          <w:lang w:val="ar-SA"/>
        </w:rPr>
        <w:t>.</w:t>
      </w:r>
    </w:p>
    <w:p w:rsidR="00B1566D" w:rsidRDefault="00315793">
      <w:pPr>
        <w:pStyle w:val="a5"/>
        <w:rPr>
          <w:rFonts w:hint="default"/>
        </w:rPr>
      </w:pPr>
      <w:r>
        <w:rPr>
          <w:rFonts w:cs="Times New Roman"/>
          <w:rtl/>
          <w:lang w:val="ar-SA"/>
        </w:rPr>
        <w:t xml:space="preserve">وأضاف الميرزا التبريزي قدس سره إلى ذلك مورداً آخر وهو ما إذا كانت بقية الأجزاء حين الإتيان بالبعض حاصلةً كما إذا لم يكن </w:t>
      </w:r>
      <w:proofErr w:type="spellStart"/>
      <w:r w:rsidR="0093207A">
        <w:rPr>
          <w:rFonts w:cs="Times New Roman"/>
          <w:rtl/>
          <w:lang w:val="ar-SA" w:bidi="fa-IR"/>
        </w:rPr>
        <w:t>ال</w:t>
      </w:r>
      <w:proofErr w:type="spellEnd"/>
      <w:r>
        <w:rPr>
          <w:rFonts w:cs="Times New Roman"/>
          <w:rtl/>
          <w:lang w:val="ar-SA"/>
        </w:rPr>
        <w:t>صبي في أول نهار شهر رمضان بالغاً فصام وأمسك بقصد القربة وبلغ عند الزوال فبعد البلوغ يتوجه إليه الأمر بالصوم وتكون داعويته بمقدار ما بين الزوال إلى الغروب وإن كان متعلق الأمر الوجوبي الإمساك من طلوع الفجر إلى الغروب ففي هذا المورد يأتي المكلف بالإمساك من الزوال إلى الغروب بداعي الأمر والحال أنه لم يأتي بباقي الأجزاء وهو الإمساك من طلوع الفجر إلى الزوال بداعي الأمر بعبارة أخرى</w:t>
      </w:r>
      <w:r>
        <w:rPr>
          <w:rFonts w:ascii="Al Nile" w:hAnsi="Al Nile"/>
          <w:rtl/>
          <w:lang w:val="ar-SA"/>
        </w:rPr>
        <w:t xml:space="preserve">: </w:t>
      </w:r>
      <w:r>
        <w:rPr>
          <w:rFonts w:cs="Times New Roman"/>
          <w:rtl/>
          <w:lang w:val="ar-SA"/>
        </w:rPr>
        <w:t>الإمساك من الزوال إلى الغروب لم يؤت به في ضمن الكل لكن العمل صحيح لأن باقي العمل وهو الإمساك من طلوع الفجر إلى الزوال حاصل وعندما حصل لا حاجة إلى الإتيان به مرةً ثانيةً</w:t>
      </w:r>
      <w:r>
        <w:rPr>
          <w:rFonts w:ascii="Al Nile" w:hAnsi="Al Nile"/>
          <w:rtl/>
          <w:lang w:val="ar-SA"/>
        </w:rPr>
        <w:t>.</w:t>
      </w:r>
    </w:p>
    <w:p w:rsidR="00B1566D" w:rsidRDefault="00315793">
      <w:pPr>
        <w:pStyle w:val="a5"/>
        <w:rPr>
          <w:rFonts w:hint="default"/>
        </w:rPr>
      </w:pPr>
      <w:r>
        <w:rPr>
          <w:rFonts w:cs="Times New Roman"/>
          <w:rtl/>
          <w:lang w:val="ar-SA"/>
        </w:rPr>
        <w:t>فالكبرى التي ذكرها المحقق الآخوند قدس سره ليست تامةً بإطلاقها ولا مجال لها في هذين الموردين ومحل البحث من الموارد التي يكون إتيان البعض بداعي الأمر موجباً لحصول الجزء الآخر بنفسه</w:t>
      </w:r>
      <w:r>
        <w:rPr>
          <w:rFonts w:ascii="Al Nile" w:hAnsi="Al Nile"/>
          <w:rtl/>
          <w:lang w:val="ar-SA"/>
        </w:rPr>
        <w:t>.</w:t>
      </w:r>
    </w:p>
    <w:p w:rsidR="00B1566D" w:rsidRDefault="00315793">
      <w:pPr>
        <w:pStyle w:val="a5"/>
        <w:rPr>
          <w:rFonts w:hint="default"/>
        </w:rPr>
      </w:pPr>
      <w:r>
        <w:rPr>
          <w:rFonts w:cs="Times New Roman"/>
          <w:rtl/>
          <w:lang w:val="ar-SA"/>
        </w:rPr>
        <w:t>فتصحيح أخذ قصد الأمر في المتعلق عن طريق جزئية قصد الأمر تام لا يلزم منه محذور وبالنتيجة لا يتم شيء من دليلي المحقق الآخوند قدس سره</w:t>
      </w:r>
      <w:r w:rsidR="0093207A">
        <w:rPr>
          <w:rFonts w:cs="Times New Roman"/>
          <w:rtl/>
          <w:lang w:val="ar-SA"/>
        </w:rPr>
        <w:t xml:space="preserve"> لابطال هذا الطريق</w:t>
      </w:r>
      <w:r>
        <w:rPr>
          <w:rFonts w:cs="Times New Roman"/>
          <w:rtl/>
          <w:lang w:val="ar-SA"/>
        </w:rPr>
        <w:t xml:space="preserve"> وكلامه في النقطة الثالثة غير تام حيث يمكن أخذ قصد الأمر في المتعلق بنحو الجزئية</w:t>
      </w:r>
      <w:r>
        <w:rPr>
          <w:rFonts w:ascii="Al Nile" w:hAnsi="Al Nile"/>
          <w:rtl/>
          <w:lang w:val="ar-SA"/>
        </w:rPr>
        <w:t>.</w:t>
      </w:r>
    </w:p>
    <w:p w:rsidR="00B1566D" w:rsidRDefault="00315793">
      <w:pPr>
        <w:pStyle w:val="a5"/>
        <w:rPr>
          <w:rFonts w:hint="default"/>
        </w:rPr>
      </w:pPr>
      <w:r>
        <w:rPr>
          <w:rFonts w:cs="Times New Roman"/>
          <w:rtl/>
          <w:lang w:val="ar-SA"/>
        </w:rPr>
        <w:t>النقطة الرابعة</w:t>
      </w:r>
      <w:r>
        <w:rPr>
          <w:rFonts w:ascii="Al Nile" w:hAnsi="Al Nile"/>
          <w:rtl/>
          <w:lang w:val="ar-SA"/>
        </w:rPr>
        <w:t xml:space="preserve">: </w:t>
      </w:r>
      <w:r>
        <w:rPr>
          <w:rFonts w:cs="Times New Roman"/>
          <w:rtl/>
          <w:lang w:val="ar-SA"/>
        </w:rPr>
        <w:t>أن تصحيح أخذ قصد الأمر عن طريق تعدد الأمر غير ممكن وقد أشرنا سابقاً أن هذا الطريق مختار المحقق النائيني قدس سره وأصله موجود في كلام الشيخ الأعظم قدس سره لكن عبارة الشيخ ظاهرها أن الخطاب الثاني إرشاد وإخبار بخصوصية في الأمر الأول لا أن هناك أمرين وجعلين</w:t>
      </w:r>
      <w:r>
        <w:rPr>
          <w:rFonts w:ascii="Al Nile" w:hAnsi="Al Nile"/>
          <w:rtl/>
          <w:lang w:val="ar-SA"/>
        </w:rPr>
        <w:t>.</w:t>
      </w:r>
    </w:p>
    <w:p w:rsidR="00B1566D" w:rsidRDefault="00315793" w:rsidP="0093207A">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و من هنا قلنا في بعض المباحث المتقدّمة بأنّ الطالب لو حاول</w:t>
      </w:r>
      <w:r>
        <w:rPr>
          <w:rFonts w:hint="default"/>
          <w:rtl/>
        </w:rPr>
        <w:t>‏</w:t>
      </w:r>
      <w:r>
        <w:rPr>
          <w:rFonts w:ascii="Al Nile" w:hAnsi="Al Nile"/>
          <w:b/>
          <w:bCs/>
        </w:rPr>
        <w:t xml:space="preserve"> </w:t>
      </w:r>
      <w:r>
        <w:rPr>
          <w:rFonts w:cs="Times New Roman"/>
          <w:b/>
          <w:bCs/>
          <w:rtl/>
          <w:cs/>
        </w:rPr>
        <w:t>طلب</w:t>
      </w:r>
      <w:r>
        <w:rPr>
          <w:rFonts w:hint="default"/>
          <w:rtl/>
        </w:rPr>
        <w:t>‏</w:t>
      </w:r>
      <w:r>
        <w:rPr>
          <w:rFonts w:ascii="Al Nile" w:hAnsi="Al Nile"/>
          <w:b/>
          <w:bCs/>
        </w:rPr>
        <w:t xml:space="preserve"> </w:t>
      </w:r>
      <w:r>
        <w:rPr>
          <w:rFonts w:cs="Times New Roman"/>
          <w:b/>
          <w:bCs/>
          <w:rtl/>
          <w:cs/>
        </w:rPr>
        <w:t>شي</w:t>
      </w:r>
      <w:r>
        <w:rPr>
          <w:rFonts w:hint="default"/>
          <w:rtl/>
        </w:rPr>
        <w:t>‏</w:t>
      </w:r>
      <w:r>
        <w:rPr>
          <w:rFonts w:cs="Times New Roman"/>
          <w:b/>
          <w:bCs/>
          <w:rtl/>
          <w:cs/>
        </w:rPr>
        <w:t>ء على وجه الامتثال لا بدّ له من أن يحتال في ذلك</w:t>
      </w:r>
      <w:r>
        <w:rPr>
          <w:b/>
          <w:bCs/>
          <w:cs/>
        </w:rPr>
        <w:t xml:space="preserve">، </w:t>
      </w:r>
      <w:r>
        <w:rPr>
          <w:rFonts w:cs="Times New Roman"/>
          <w:b/>
          <w:bCs/>
          <w:rtl/>
          <w:cs/>
        </w:rPr>
        <w:t>بأن يأمر بالفعل المقصود إتيانه على وجه القربة أوّلا</w:t>
      </w:r>
      <w:r>
        <w:rPr>
          <w:b/>
          <w:bCs/>
          <w:cs/>
        </w:rPr>
        <w:t xml:space="preserve">، </w:t>
      </w:r>
      <w:r>
        <w:rPr>
          <w:rFonts w:cs="Times New Roman"/>
          <w:b/>
          <w:bCs/>
          <w:rtl/>
          <w:cs/>
        </w:rPr>
        <w:t xml:space="preserve">ثم ينبّه على أنّ المقصود هو الامتثال </w:t>
      </w:r>
      <w:r>
        <w:rPr>
          <w:rFonts w:cs="Times New Roman"/>
          <w:b/>
          <w:bCs/>
          <w:rtl/>
          <w:cs/>
        </w:rPr>
        <w:lastRenderedPageBreak/>
        <w:t>بالأمر</w:t>
      </w:r>
      <w:r>
        <w:rPr>
          <w:rFonts w:ascii="Al Nile" w:hAnsi="Al Nile"/>
          <w:b/>
          <w:bCs/>
        </w:rPr>
        <w:t xml:space="preserve">. </w:t>
      </w:r>
      <w:r>
        <w:rPr>
          <w:rFonts w:cs="Times New Roman"/>
          <w:b/>
          <w:bCs/>
          <w:rtl/>
          <w:cs/>
        </w:rPr>
        <w:t xml:space="preserve">ولا يجوز أن يكون الكلام الملقى لإفادة نفس المطلوبيّة </w:t>
      </w:r>
      <w:r w:rsidR="0093207A">
        <w:rPr>
          <w:rFonts w:cs="Times New Roman"/>
          <w:b/>
          <w:bCs/>
          <w:rtl/>
          <w:cs/>
        </w:rPr>
        <w:t xml:space="preserve">مفيداً </w:t>
      </w:r>
      <w:r>
        <w:rPr>
          <w:rFonts w:cs="Times New Roman"/>
          <w:b/>
          <w:bCs/>
          <w:rtl/>
          <w:cs/>
        </w:rPr>
        <w:t>للوجه المذكور</w:t>
      </w:r>
      <w:r>
        <w:rPr>
          <w:rFonts w:ascii="Al Nile" w:hAnsi="Al Nile"/>
          <w:b/>
          <w:bCs/>
          <w:rtl/>
          <w:lang w:val="ar-SA"/>
        </w:rPr>
        <w:t>.)</w:t>
      </w:r>
      <w:r>
        <w:rPr>
          <w:rFonts w:ascii="Al Nile" w:eastAsia="Al Nile" w:hAnsi="Al Nile" w:cs="Al Nile"/>
          <w:vertAlign w:val="superscript"/>
        </w:rPr>
        <w:footnoteReference w:id="2"/>
      </w:r>
    </w:p>
    <w:p w:rsidR="00B1566D" w:rsidRDefault="00315793">
      <w:pPr>
        <w:pStyle w:val="a5"/>
        <w:rPr>
          <w:rFonts w:hint="default"/>
        </w:rPr>
      </w:pPr>
      <w:r>
        <w:rPr>
          <w:rFonts w:cs="Times New Roman"/>
          <w:rtl/>
          <w:lang w:val="ar-SA"/>
        </w:rPr>
        <w:t>ولكن عندما وصل إلى الأصل العملي ذكر في جواب إشكال مطلباً يكشف عن أن مراده أيضاً تعدد الأمر والجعل والإشكال هو أن لازم تعدد الأمر تعدد الثواب والعقاب فأجاب بأن كلا الأمرين ناشئان عن غرض واحد فامتثالهما لا يوجب تعدد الثواب ومخالفتهما أيضاً لا توجب تعدد العقاب فنلتزم بتعدد الأمر لكن وحدة الثواب والعقاب</w:t>
      </w:r>
      <w:r>
        <w:rPr>
          <w:rFonts w:ascii="Al Nile" w:hAnsi="Al Nile"/>
          <w:rtl/>
          <w:lang w:val="ar-SA"/>
        </w:rPr>
        <w:t>.</w:t>
      </w:r>
    </w:p>
    <w:p w:rsidR="00B1566D" w:rsidRDefault="00315793" w:rsidP="0093207A">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ولا يذهب عليك أنّ ما ذكرنا من احتياج التعبّد إلى بيان زائد غير ما دلّ على الطلب لا يلازم</w:t>
      </w:r>
      <w:r>
        <w:rPr>
          <w:rFonts w:hint="default"/>
          <w:rtl/>
        </w:rPr>
        <w:t>‏</w:t>
      </w:r>
      <w:r>
        <w:rPr>
          <w:rFonts w:ascii="Al Nile" w:hAnsi="Al Nile"/>
          <w:b/>
          <w:bCs/>
        </w:rPr>
        <w:t xml:space="preserve"> </w:t>
      </w:r>
      <w:r>
        <w:rPr>
          <w:rFonts w:cs="Times New Roman"/>
          <w:b/>
          <w:bCs/>
          <w:rtl/>
          <w:cs/>
        </w:rPr>
        <w:t>أن يكون للفعل ثوابان</w:t>
      </w:r>
      <w:r>
        <w:rPr>
          <w:rFonts w:ascii="Al Nile" w:hAnsi="Al Nile"/>
          <w:b/>
          <w:bCs/>
        </w:rPr>
        <w:t xml:space="preserve">: </w:t>
      </w:r>
      <w:r>
        <w:rPr>
          <w:rFonts w:cs="Times New Roman"/>
          <w:b/>
          <w:bCs/>
          <w:rtl/>
          <w:cs/>
        </w:rPr>
        <w:t>أحدهما لنفس الفعل وثانيهما للامتثال</w:t>
      </w:r>
      <w:r>
        <w:rPr>
          <w:b/>
          <w:bCs/>
          <w:cs/>
        </w:rPr>
        <w:t xml:space="preserve">، </w:t>
      </w:r>
      <w:r>
        <w:rPr>
          <w:rFonts w:cs="Times New Roman"/>
          <w:b/>
          <w:bCs/>
          <w:rtl/>
          <w:cs/>
        </w:rPr>
        <w:t>لتعدّد الأمر الملحوظ فيهما</w:t>
      </w:r>
      <w:r>
        <w:rPr>
          <w:b/>
          <w:bCs/>
          <w:cs/>
        </w:rPr>
        <w:t xml:space="preserve">، </w:t>
      </w:r>
      <w:r>
        <w:rPr>
          <w:rFonts w:cs="Times New Roman"/>
          <w:b/>
          <w:bCs/>
          <w:rtl/>
          <w:cs/>
        </w:rPr>
        <w:t>كما توهّمه بعض من لا درية له</w:t>
      </w:r>
      <w:r>
        <w:rPr>
          <w:b/>
          <w:bCs/>
          <w:cs/>
        </w:rPr>
        <w:t xml:space="preserve">، </w:t>
      </w:r>
      <w:r>
        <w:rPr>
          <w:rFonts w:cs="Times New Roman"/>
          <w:b/>
          <w:bCs/>
          <w:rtl/>
          <w:cs/>
        </w:rPr>
        <w:t>لما عرفت من أنّ المقصود حقيقة واحدة</w:t>
      </w:r>
      <w:r>
        <w:rPr>
          <w:b/>
          <w:bCs/>
          <w:cs/>
        </w:rPr>
        <w:t xml:space="preserve">، </w:t>
      </w:r>
      <w:r>
        <w:rPr>
          <w:rFonts w:cs="Times New Roman"/>
          <w:b/>
          <w:bCs/>
          <w:rtl/>
          <w:cs/>
        </w:rPr>
        <w:t>فلا يعقل تعدّد الثواب والعقاب</w:t>
      </w:r>
      <w:r>
        <w:rPr>
          <w:rFonts w:ascii="Al Nile" w:hAnsi="Al Nile"/>
          <w:b/>
          <w:bCs/>
        </w:rPr>
        <w:t xml:space="preserve">. </w:t>
      </w:r>
      <w:r>
        <w:rPr>
          <w:rFonts w:cs="Times New Roman"/>
          <w:b/>
          <w:bCs/>
          <w:rtl/>
          <w:cs/>
        </w:rPr>
        <w:t>و</w:t>
      </w:r>
      <w:r w:rsidR="0093207A">
        <w:rPr>
          <w:rFonts w:cs="Times New Roman"/>
          <w:b/>
          <w:bCs/>
          <w:rtl/>
          <w:cs/>
        </w:rPr>
        <w:t xml:space="preserve">الله </w:t>
      </w:r>
      <w:r>
        <w:rPr>
          <w:rFonts w:cs="Times New Roman"/>
          <w:b/>
          <w:bCs/>
          <w:rtl/>
          <w:cs/>
        </w:rPr>
        <w:t>وليّ التوفيق والهداية</w:t>
      </w:r>
      <w:r>
        <w:rPr>
          <w:rFonts w:ascii="Al Nile" w:hAnsi="Al Nile"/>
          <w:b/>
          <w:bCs/>
          <w:rtl/>
          <w:lang w:val="ar-SA"/>
        </w:rPr>
        <w:t>.)</w:t>
      </w:r>
      <w:r>
        <w:rPr>
          <w:rFonts w:ascii="Al Nile" w:eastAsia="Al Nile" w:hAnsi="Al Nile" w:cs="Al Nile"/>
          <w:vertAlign w:val="superscript"/>
        </w:rPr>
        <w:footnoteReference w:id="3"/>
      </w:r>
    </w:p>
    <w:p w:rsidR="00B1566D" w:rsidRDefault="00315793">
      <w:pPr>
        <w:pStyle w:val="a5"/>
        <w:rPr>
          <w:rFonts w:hint="default"/>
        </w:rPr>
      </w:pPr>
      <w:r>
        <w:rPr>
          <w:rFonts w:cs="Times New Roman"/>
          <w:rtl/>
          <w:lang w:val="ar-SA"/>
        </w:rPr>
        <w:t>على أي حال كلام المحقق الآخوند قدس سره في النقطة الرابعة في الحقيقة إبطال لهذا الطريق لتصحيح أخذ قصد الأمر في المتعلق واستدل بدليلين</w:t>
      </w:r>
      <w:r>
        <w:rPr>
          <w:rFonts w:ascii="Al Nile" w:hAnsi="Al Nile"/>
          <w:rtl/>
          <w:lang w:val="ar-SA"/>
        </w:rPr>
        <w:t>:</w:t>
      </w:r>
    </w:p>
    <w:p w:rsidR="00B1566D" w:rsidRDefault="00315793">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أنه لو فُرض إمكان أخذ الشارع قصد الأمر بتعدد الأمر لكنه فرض لا واقع له لأنا نقطع بأن العبادات أيضاً كالواجبات والمستحبات التوصلية لها أمر واحد تعلق بها وليس الفرق بين التعبديات والتوصليات بتعدد الأمر ووحدته بل بمجرد أنه في التوصليات يدور الثواب فقط مدار الامتثال دون العقاب بخلاف التعبديات ففيها يدور العقاب والثواب كلاهما مدار الامتثال</w:t>
      </w:r>
      <w:r>
        <w:rPr>
          <w:rFonts w:ascii="Al Nile" w:hAnsi="Al Nile"/>
          <w:rtl/>
          <w:lang w:val="ar-SA"/>
        </w:rPr>
        <w:t xml:space="preserve">. </w:t>
      </w:r>
    </w:p>
    <w:p w:rsidR="00B1566D" w:rsidRDefault="00315793" w:rsidP="00315793">
      <w:pPr>
        <w:pStyle w:val="a5"/>
        <w:rPr>
          <w:rFonts w:hint="default"/>
        </w:rPr>
      </w:pPr>
      <w:r>
        <w:rPr>
          <w:rFonts w:cs="Times New Roman"/>
          <w:rtl/>
          <w:lang w:val="ar-SA"/>
        </w:rPr>
        <w:t xml:space="preserve">ناقش المحقق الإيرواني قدس سره هذا الدليل بأنه من أين قطعتم بأنه لا يوجد في العبادات أمر ثانٍ </w:t>
      </w:r>
      <w:r w:rsidR="0093207A">
        <w:rPr>
          <w:rFonts w:cs="Times New Roman"/>
          <w:rtl/>
          <w:lang w:val="ar-SA"/>
        </w:rPr>
        <w:t xml:space="preserve">بل </w:t>
      </w:r>
      <w:r>
        <w:rPr>
          <w:rFonts w:cs="Times New Roman"/>
          <w:rtl/>
          <w:lang w:val="ar-SA"/>
        </w:rPr>
        <w:t xml:space="preserve">إن لم يمكن أخذ </w:t>
      </w:r>
      <w:r w:rsidR="0093207A">
        <w:rPr>
          <w:rFonts w:cs="Times New Roman"/>
          <w:rtl/>
          <w:lang w:val="ar-SA"/>
        </w:rPr>
        <w:t>قصد الامر</w:t>
      </w:r>
      <w:r>
        <w:rPr>
          <w:rFonts w:cs="Times New Roman"/>
          <w:rtl/>
          <w:lang w:val="ar-SA"/>
        </w:rPr>
        <w:t>في الأمر الأول فلقائل أن يقول الادلة التي يستفاد منها  العبادية في الأعمال ولزوم قصد القربة كآية</w:t>
      </w:r>
      <w:r>
        <w:rPr>
          <w:rFonts w:ascii="Al Nile" w:hAnsi="Al Nile"/>
          <w:rtl/>
          <w:lang w:val="ar-SA"/>
        </w:rPr>
        <w:t>: (</w:t>
      </w:r>
      <w:r>
        <w:rPr>
          <w:rFonts w:cs="Times New Roman"/>
          <w:rtl/>
          <w:lang w:val="ar-SA"/>
        </w:rPr>
        <w:t>وما أمروا إلا ليعبدوا الله مخلصين له الدين</w:t>
      </w:r>
      <w:r>
        <w:rPr>
          <w:rFonts w:ascii="Al Nile" w:hAnsi="Al Nile"/>
          <w:rtl/>
          <w:lang w:val="ar-SA"/>
        </w:rPr>
        <w:t xml:space="preserve">) </w:t>
      </w:r>
      <w:r>
        <w:rPr>
          <w:rFonts w:cs="Times New Roman"/>
          <w:rtl/>
          <w:lang w:val="ar-SA"/>
        </w:rPr>
        <w:t xml:space="preserve">أو </w:t>
      </w:r>
      <w:r>
        <w:rPr>
          <w:rFonts w:ascii="Al Nile" w:hAnsi="Al Nile"/>
          <w:rtl/>
          <w:lang w:val="ar-SA"/>
        </w:rPr>
        <w:t>(</w:t>
      </w:r>
      <w:r>
        <w:rPr>
          <w:rFonts w:cs="Times New Roman"/>
          <w:rtl/>
          <w:lang w:val="ar-SA"/>
        </w:rPr>
        <w:t>لا عمل إلا بالنية</w:t>
      </w:r>
      <w:r>
        <w:rPr>
          <w:rFonts w:ascii="Al Nile" w:hAnsi="Al Nile"/>
          <w:rtl/>
          <w:lang w:val="ar-SA"/>
        </w:rPr>
        <w:t xml:space="preserve">) </w:t>
      </w:r>
      <w:r>
        <w:rPr>
          <w:rFonts w:cs="Times New Roman"/>
          <w:rtl/>
          <w:lang w:val="ar-SA"/>
        </w:rPr>
        <w:t xml:space="preserve">أو </w:t>
      </w:r>
      <w:r>
        <w:rPr>
          <w:rFonts w:ascii="Al Nile" w:hAnsi="Al Nile"/>
          <w:rtl/>
          <w:lang w:val="ar-SA"/>
        </w:rPr>
        <w:t>(</w:t>
      </w:r>
      <w:r>
        <w:rPr>
          <w:rFonts w:cs="Times New Roman"/>
          <w:rtl/>
          <w:lang w:val="ar-SA"/>
        </w:rPr>
        <w:t>إنما الأعمال بالنيات</w:t>
      </w:r>
      <w:r>
        <w:rPr>
          <w:rFonts w:ascii="Al Nile" w:hAnsi="Al Nile"/>
          <w:rtl/>
          <w:lang w:val="ar-SA"/>
        </w:rPr>
        <w:t xml:space="preserve">) </w:t>
      </w:r>
      <w:r>
        <w:rPr>
          <w:rFonts w:cs="Times New Roman"/>
          <w:rtl/>
          <w:lang w:val="ar-SA"/>
        </w:rPr>
        <w:t>يستفاد منها وجود أمر ثانٍ تعلق بقصد القربة</w:t>
      </w:r>
      <w:r>
        <w:rPr>
          <w:rFonts w:ascii="Al Nile" w:hAnsi="Al Nile"/>
          <w:rtl/>
          <w:lang w:val="ar-SA"/>
        </w:rPr>
        <w:t xml:space="preserve">. </w:t>
      </w:r>
    </w:p>
    <w:p w:rsidR="00B1566D" w:rsidRDefault="00315793">
      <w:pPr>
        <w:pStyle w:val="a5"/>
        <w:rPr>
          <w:rFonts w:hint="default"/>
        </w:rPr>
      </w:pPr>
      <w:r>
        <w:rPr>
          <w:rFonts w:cs="Times New Roman"/>
          <w:rtl/>
          <w:lang w:val="ar-SA"/>
        </w:rPr>
        <w:t>المناقشة بهذا المقدار الذي في كلام المحقق الإيرواني قابلة للجواب بأنه</w:t>
      </w:r>
      <w:r>
        <w:rPr>
          <w:rFonts w:ascii="Al Nile" w:hAnsi="Al Nile"/>
          <w:rtl/>
          <w:lang w:val="ar-SA"/>
        </w:rPr>
        <w:t>:</w:t>
      </w:r>
    </w:p>
    <w:p w:rsidR="00B1566D" w:rsidRDefault="00315793">
      <w:pPr>
        <w:pStyle w:val="a5"/>
        <w:rPr>
          <w:rFonts w:hint="default"/>
        </w:rPr>
      </w:pPr>
      <w:r>
        <w:rPr>
          <w:rFonts w:cs="Times New Roman"/>
          <w:rtl/>
          <w:lang w:val="ar-SA"/>
        </w:rPr>
        <w:t>أولا كما ورد في كلمات أكثر المحققين لا يستفاد من هذه الأدلة عبادية العمل وليست ناظرةً إلى اعتبار قصد القربة أصلاً</w:t>
      </w:r>
      <w:r>
        <w:rPr>
          <w:rFonts w:ascii="Al Nile" w:hAnsi="Al Nile"/>
          <w:rtl/>
          <w:lang w:val="ar-SA"/>
        </w:rPr>
        <w:t>.</w:t>
      </w:r>
    </w:p>
    <w:p w:rsidR="00B1566D" w:rsidRDefault="00315793">
      <w:pPr>
        <w:pStyle w:val="a5"/>
        <w:rPr>
          <w:rFonts w:hint="default"/>
        </w:rPr>
      </w:pPr>
      <w:r>
        <w:rPr>
          <w:rFonts w:cs="Times New Roman"/>
          <w:rtl/>
          <w:lang w:val="ar-SA"/>
        </w:rPr>
        <w:t xml:space="preserve">وثانياً لو سلمنا تمامية هذه الأدلة ودلالتها على أن كل واجب يكون عبادياً يحتاج إلى قصد القربة إلا ما خرج بالدليل لكن لا تدل على أن هناك أمراً ثانياً بل غاية ما تدل على أصل لزوم قصد القربة في العمل لكن هل لزومه واعتباره لأجل وجود أمر ثانٍ ليكون اعتباره شرعياً أو لأجل أن الغرض في الأعمال العبادية لا يحصل </w:t>
      </w:r>
      <w:r>
        <w:rPr>
          <w:rFonts w:cs="Times New Roman"/>
          <w:rtl/>
          <w:lang w:val="ar-SA"/>
        </w:rPr>
        <w:lastRenderedPageBreak/>
        <w:t>بدون قصد القربة ليكون اعتباره عقلياً كما هو مختار المحقق الآخوند قدس سره فلا تعيّن هذه الأدلة أحد الطرفين فإنها تناسب كليهما</w:t>
      </w:r>
      <w:r>
        <w:rPr>
          <w:rFonts w:ascii="Al Nile" w:hAnsi="Al Nile"/>
          <w:rtl/>
          <w:lang w:val="ar-SA"/>
        </w:rPr>
        <w:t>.</w:t>
      </w:r>
    </w:p>
    <w:p w:rsidR="00B1566D" w:rsidRDefault="00315793" w:rsidP="00B31FEF">
      <w:pPr>
        <w:pStyle w:val="a5"/>
        <w:rPr>
          <w:rFonts w:hint="default"/>
        </w:rPr>
      </w:pPr>
      <w:r>
        <w:rPr>
          <w:rFonts w:cs="Times New Roman"/>
          <w:rtl/>
          <w:lang w:val="ar-SA"/>
        </w:rPr>
        <w:t xml:space="preserve">ولكن يمكن أن يقال في تكميل مناقشة المحقق الإيرواني قدس سره بأنه </w:t>
      </w:r>
      <w:r w:rsidR="00B31FEF">
        <w:rPr>
          <w:rFonts w:cs="Times New Roman"/>
          <w:rtl/>
          <w:lang w:val="ar-SA"/>
        </w:rPr>
        <w:t>في</w:t>
      </w:r>
      <w:r>
        <w:rPr>
          <w:rFonts w:cs="Times New Roman"/>
          <w:rtl/>
          <w:lang w:val="ar-SA"/>
        </w:rPr>
        <w:t xml:space="preserve">ما ثبت بالدليل عبادية العمل </w:t>
      </w:r>
      <w:r>
        <w:rPr>
          <w:rFonts w:ascii="Al Nile" w:hAnsi="Al Nile"/>
          <w:rtl/>
          <w:lang w:val="ar-SA"/>
        </w:rPr>
        <w:t xml:space="preserve">- </w:t>
      </w:r>
      <w:r>
        <w:rPr>
          <w:rFonts w:cs="Times New Roman"/>
          <w:rtl/>
          <w:lang w:val="ar-SA"/>
        </w:rPr>
        <w:t>سواء كان الدليل لفظياً كآية</w:t>
      </w:r>
      <w:r>
        <w:rPr>
          <w:rFonts w:ascii="Al Nile" w:hAnsi="Al Nile"/>
          <w:rtl/>
          <w:lang w:val="ar-SA"/>
        </w:rPr>
        <w:t>: (</w:t>
      </w:r>
      <w:r>
        <w:rPr>
          <w:rFonts w:cs="Times New Roman"/>
          <w:rtl/>
          <w:lang w:val="ar-SA"/>
        </w:rPr>
        <w:t>وأتموا الحج والعمرة لله</w:t>
      </w:r>
      <w:r>
        <w:rPr>
          <w:rFonts w:ascii="Al Nile" w:hAnsi="Al Nile"/>
          <w:rtl/>
          <w:lang w:val="ar-SA"/>
        </w:rPr>
        <w:t xml:space="preserve">) </w:t>
      </w:r>
      <w:r>
        <w:rPr>
          <w:rFonts w:cs="Times New Roman"/>
          <w:rtl/>
          <w:lang w:val="ar-SA"/>
        </w:rPr>
        <w:t xml:space="preserve">في الحج أو كان الدليل الإجماع والارتكاز كما أن الدليل الأصلي على عبادية جلّ العبادات في نظر السيد الخوئي قدس سره ارتكاز المتشرعة لا الدليل اللفظي </w:t>
      </w:r>
      <w:r>
        <w:rPr>
          <w:rFonts w:ascii="Al Nile" w:hAnsi="Al Nile"/>
          <w:rtl/>
          <w:lang w:val="ar-SA"/>
        </w:rPr>
        <w:t xml:space="preserve">- </w:t>
      </w:r>
      <w:r>
        <w:rPr>
          <w:rFonts w:cs="Times New Roman"/>
          <w:rtl/>
          <w:lang w:val="ar-SA"/>
        </w:rPr>
        <w:t>فكلما ثبتت العبادية بالدليل يمكن أن نكشف جعل الأمر الثاني بمقدمات ثلاث</w:t>
      </w:r>
      <w:r>
        <w:rPr>
          <w:rFonts w:ascii="Al Nile" w:hAnsi="Al Nile"/>
          <w:rtl/>
          <w:lang w:val="ar-SA"/>
        </w:rPr>
        <w:t>:</w:t>
      </w:r>
    </w:p>
    <w:p w:rsidR="00B1566D" w:rsidRDefault="00315793">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أن أخذ قصد الأمر في متعلق الأمر</w:t>
      </w:r>
      <w:r w:rsidR="00B31FEF">
        <w:rPr>
          <w:rFonts w:cs="Times New Roman"/>
          <w:rtl/>
          <w:lang w:val="ar-SA"/>
        </w:rPr>
        <w:t>الأول</w:t>
      </w:r>
      <w:r>
        <w:rPr>
          <w:rFonts w:cs="Times New Roman"/>
          <w:rtl/>
          <w:lang w:val="ar-SA"/>
        </w:rPr>
        <w:t xml:space="preserve"> غير ممكن كما في عبارة المحقق الإيرواني قدس سره</w:t>
      </w:r>
      <w:r>
        <w:rPr>
          <w:rFonts w:ascii="Al Nile" w:hAnsi="Al Nile"/>
          <w:rtl/>
          <w:lang w:val="ar-SA"/>
        </w:rPr>
        <w:t>: (</w:t>
      </w:r>
      <w:r>
        <w:rPr>
          <w:rFonts w:cs="Times New Roman"/>
          <w:rtl/>
          <w:lang w:val="ar-SA"/>
        </w:rPr>
        <w:t>على تقدير استحالة أخذ قصد الأمر</w:t>
      </w:r>
      <w:r>
        <w:rPr>
          <w:rFonts w:ascii="Al Nile" w:hAnsi="Al Nile"/>
          <w:rtl/>
          <w:lang w:val="ar-SA"/>
        </w:rPr>
        <w:t>)</w:t>
      </w:r>
    </w:p>
    <w:p w:rsidR="00B1566D" w:rsidRDefault="00315793" w:rsidP="00B31FEF">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 xml:space="preserve">أن أخذ قصد الأمر في المتعلق عن طريق تعدد الأمر ممكن لأن المحقق الآخوند قدس سره في الدليل الأول </w:t>
      </w:r>
      <w:r w:rsidR="00B31FEF">
        <w:rPr>
          <w:rFonts w:cs="Times New Roman"/>
          <w:rtl/>
          <w:lang w:val="ar-SA"/>
        </w:rPr>
        <w:t>بنی علی</w:t>
      </w:r>
      <w:r>
        <w:rPr>
          <w:rFonts w:cs="Times New Roman"/>
          <w:rtl/>
          <w:lang w:val="ar-SA"/>
        </w:rPr>
        <w:t xml:space="preserve"> الإمكان لكنه قال</w:t>
      </w:r>
      <w:r w:rsidR="00B31FEF">
        <w:rPr>
          <w:rFonts w:cs="Times New Roman"/>
          <w:rtl/>
          <w:lang w:val="ar-SA"/>
        </w:rPr>
        <w:t xml:space="preserve"> إنه</w:t>
      </w:r>
      <w:r>
        <w:rPr>
          <w:rFonts w:cs="Times New Roman"/>
          <w:rtl/>
          <w:lang w:val="ar-SA"/>
        </w:rPr>
        <w:t xml:space="preserve"> فرض لا واقع له</w:t>
      </w:r>
      <w:r>
        <w:rPr>
          <w:rFonts w:ascii="Al Nile" w:hAnsi="Al Nile"/>
          <w:rtl/>
          <w:lang w:val="ar-SA"/>
        </w:rPr>
        <w:t>.</w:t>
      </w:r>
    </w:p>
    <w:p w:rsidR="00B1566D" w:rsidRDefault="00315793" w:rsidP="00B31FEF">
      <w:pPr>
        <w:pStyle w:val="a5"/>
        <w:rPr>
          <w:rFonts w:hint="default"/>
        </w:rPr>
      </w:pPr>
      <w:r>
        <w:rPr>
          <w:rFonts w:cs="Times New Roman"/>
          <w:rtl/>
          <w:lang w:val="ar-SA"/>
        </w:rPr>
        <w:t>الثالثة</w:t>
      </w:r>
      <w:r>
        <w:rPr>
          <w:rFonts w:ascii="Al Nile" w:hAnsi="Al Nile"/>
          <w:rtl/>
          <w:lang w:val="ar-SA"/>
        </w:rPr>
        <w:t xml:space="preserve">: </w:t>
      </w:r>
      <w:r>
        <w:rPr>
          <w:rFonts w:cs="Times New Roman"/>
          <w:rtl/>
          <w:lang w:val="ar-SA"/>
        </w:rPr>
        <w:t xml:space="preserve">أن الحكم والتكليف وهو عبارة عن الجعل والتشريع تابع في كيفية الجعل وخصوصياته من حيث السعة والضيق لكيفية الغرض فإن كان الغرض وسيعاً يكون التكليف والجعل أيضاً وسيعاً وإن كان الغرض ضيقاً يكون التكليف أيضاً ضيقاً ومقيداً إلا أن </w:t>
      </w:r>
      <w:r w:rsidR="00B31FEF">
        <w:rPr>
          <w:rFonts w:cs="Times New Roman"/>
          <w:rtl/>
          <w:lang w:val="ar-SA"/>
        </w:rPr>
        <w:t>لا</w:t>
      </w:r>
      <w:r>
        <w:rPr>
          <w:rFonts w:cs="Times New Roman"/>
          <w:rtl/>
          <w:lang w:val="ar-SA"/>
        </w:rPr>
        <w:t xml:space="preserve">يكون القيد المعتبر في الغرض قابلاً للأخذ في الجعل </w:t>
      </w:r>
      <w:r w:rsidR="00B31FEF">
        <w:rPr>
          <w:rFonts w:cs="Times New Roman"/>
          <w:rtl/>
          <w:lang w:val="ar-SA"/>
        </w:rPr>
        <w:t xml:space="preserve">،أما </w:t>
      </w:r>
      <w:r>
        <w:rPr>
          <w:rFonts w:cs="Times New Roman"/>
          <w:rtl/>
          <w:lang w:val="ar-SA"/>
        </w:rPr>
        <w:t xml:space="preserve">إن أمكن حصول جعل موافق للغرض في السعة والضيق </w:t>
      </w:r>
      <w:r w:rsidR="00B31FEF">
        <w:rPr>
          <w:rFonts w:cs="Times New Roman"/>
          <w:rtl/>
          <w:lang w:val="ar-SA"/>
        </w:rPr>
        <w:t xml:space="preserve">فلابد وان يکون الجعل و التشريع مطابقاً للغرض </w:t>
      </w:r>
      <w:r>
        <w:rPr>
          <w:rFonts w:ascii="Al Nile" w:hAnsi="Al Nile"/>
          <w:rtl/>
          <w:lang w:val="ar-SA"/>
        </w:rPr>
        <w:t>.</w:t>
      </w:r>
    </w:p>
    <w:p w:rsidR="00B1566D" w:rsidRDefault="00315793" w:rsidP="00B31FEF">
      <w:pPr>
        <w:pStyle w:val="a5"/>
        <w:rPr>
          <w:rFonts w:hint="default"/>
        </w:rPr>
      </w:pPr>
      <w:r>
        <w:rPr>
          <w:rFonts w:cs="Times New Roman"/>
          <w:rtl/>
          <w:lang w:val="ar-SA"/>
        </w:rPr>
        <w:t>فبلحاظ هذه المقدمات الثلاث في كل مورد وُجد الدليل على عبادية العمل كالوضوء ولو كان الدليل التسالم أو الارت</w:t>
      </w:r>
      <w:r w:rsidR="00B31FEF">
        <w:rPr>
          <w:rFonts w:cs="Times New Roman"/>
          <w:rtl/>
          <w:lang w:val="ar-SA"/>
        </w:rPr>
        <w:t>ک</w:t>
      </w:r>
      <w:r>
        <w:rPr>
          <w:rFonts w:cs="Times New Roman"/>
          <w:rtl/>
          <w:lang w:val="ar-SA"/>
        </w:rPr>
        <w:t>از فيكشف من ذلك الدليل أن هناك أمرين أمر تعلق بذات العنل وأمر بإتيانه بداعي الأمر به لأن دليل العبادية يدل على أن المصلحة مقيدة ولا تحصل إلا بقصد الأمر وبالنتيجة يكون قصد الأمر دخيلاً في الجعل والمفروض على أساس المقدمة الأولى عدم إمكان أخذ قصد الأمر في الجعل الأول ولكن أخذه ممكن في الأمر الثاني على أساس المقدمة الثانية فيتعين أخذه في الجعل الثاني</w:t>
      </w:r>
      <w:r>
        <w:rPr>
          <w:rFonts w:ascii="Al Nile" w:hAnsi="Al Nile"/>
          <w:rtl/>
          <w:lang w:val="ar-SA"/>
        </w:rPr>
        <w:t>.</w:t>
      </w:r>
    </w:p>
    <w:p w:rsidR="00B1566D" w:rsidRDefault="00315793">
      <w:pPr>
        <w:pStyle w:val="a5"/>
        <w:rPr>
          <w:rFonts w:hint="default"/>
        </w:rPr>
      </w:pPr>
      <w:r>
        <w:rPr>
          <w:rFonts w:cs="Times New Roman"/>
          <w:rtl/>
          <w:lang w:val="ar-SA"/>
        </w:rPr>
        <w:t xml:space="preserve">فإشكال المحقق الإيرواني قدس سره يرجع إلى أنه من أين قطعتم بعدم أخذ قصد الأمر في الأمر الثاني؟ نعم، يمكن أن تقولوا لم نجد في الأدلة اللفظية </w:t>
      </w:r>
      <w:r w:rsidR="00B31FEF">
        <w:rPr>
          <w:rFonts w:cs="Times New Roman"/>
          <w:rtl/>
          <w:lang w:val="ar-SA"/>
        </w:rPr>
        <w:t xml:space="preserve">ما يدلّ علی </w:t>
      </w:r>
      <w:r>
        <w:rPr>
          <w:rFonts w:cs="Times New Roman"/>
          <w:rtl/>
          <w:lang w:val="ar-SA"/>
        </w:rPr>
        <w:t>أن هناك أمرين لكن لا يصح أن تقولوا نقطع بعدم ذلك</w:t>
      </w:r>
      <w:r>
        <w:rPr>
          <w:rFonts w:ascii="Al Nile" w:hAnsi="Al Nile"/>
          <w:rtl/>
          <w:lang w:val="ar-SA"/>
        </w:rPr>
        <w:t xml:space="preserve">. </w:t>
      </w:r>
    </w:p>
    <w:p w:rsidR="00B1566D" w:rsidRDefault="00315793">
      <w:pPr>
        <w:pStyle w:val="a5"/>
        <w:rPr>
          <w:rFonts w:hint="default"/>
        </w:rPr>
      </w:pPr>
      <w:bookmarkStart w:id="0" w:name="_GoBack"/>
      <w:bookmarkEnd w:id="0"/>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B1566D">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457" w:rsidRDefault="00631457">
      <w:r>
        <w:separator/>
      </w:r>
    </w:p>
  </w:endnote>
  <w:endnote w:type="continuationSeparator" w:id="0">
    <w:p w:rsidR="00631457" w:rsidRDefault="0063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793" w:rsidRDefault="00315793">
    <w:pPr>
      <w:pStyle w:val="a4"/>
      <w:jc w:val="center"/>
    </w:pPr>
    <w:r>
      <w:fldChar w:fldCharType="begin"/>
    </w:r>
    <w:r>
      <w:instrText xml:space="preserve"> PAGE </w:instrText>
    </w:r>
    <w:r>
      <w:fldChar w:fldCharType="separate"/>
    </w:r>
    <w:r w:rsidR="00B31FEF">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457" w:rsidRDefault="00631457">
      <w:r>
        <w:separator/>
      </w:r>
    </w:p>
  </w:footnote>
  <w:footnote w:type="continuationSeparator" w:id="0">
    <w:p w:rsidR="00631457" w:rsidRDefault="00631457">
      <w:r>
        <w:continuationSeparator/>
      </w:r>
    </w:p>
  </w:footnote>
  <w:footnote w:type="continuationNotice" w:id="1">
    <w:p w:rsidR="00631457" w:rsidRDefault="00631457"/>
  </w:footnote>
  <w:footnote w:id="2">
    <w:p w:rsidR="00315793" w:rsidRDefault="00315793">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مطارح الأنظار، ج١، ص٣٠٣</w:t>
      </w:r>
    </w:p>
  </w:footnote>
  <w:footnote w:id="3">
    <w:p w:rsidR="00315793" w:rsidRDefault="00315793">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مطارح الأنظار، ج١، ص٣٠٥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793" w:rsidRDefault="0031579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B1566D"/>
    <w:rsid w:val="00315793"/>
    <w:rsid w:val="00631457"/>
    <w:rsid w:val="0093207A"/>
    <w:rsid w:val="00B1566D"/>
    <w:rsid w:val="00B31FEF"/>
    <w:rsid w:val="00DD77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699</TotalTime>
  <Pages>4</Pages>
  <Words>1233</Words>
  <Characters>7031</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2022-12-03T19:47:00Z</dcterms:created>
  <dcterms:modified xsi:type="dcterms:W3CDTF">2022-12-04T07:34:00Z</dcterms:modified>
</cp:coreProperties>
</file>