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3D7" w:rsidRDefault="00F663D7">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٣٧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١٨</w:t>
      </w:r>
    </w:p>
    <w:p w:rsidR="009273D7" w:rsidRDefault="00F663D7">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273D7" w:rsidRDefault="00F663D7">
      <w:pPr>
        <w:pStyle w:val="a5"/>
        <w:rPr>
          <w:rFonts w:hint="default"/>
        </w:rPr>
      </w:pPr>
      <w:r>
        <w:rPr>
          <w:rFonts w:cs="Times New Roman"/>
          <w:rtl/>
          <w:lang w:val="ar-SA"/>
        </w:rPr>
        <w:t>قلنا يقع البحث عن النقطة الخامسة في مرحلتين</w:t>
      </w:r>
      <w:r>
        <w:rPr>
          <w:rFonts w:ascii="Al Nile" w:hAnsi="Al Nile"/>
          <w:rtl/>
          <w:lang w:val="ar-SA"/>
        </w:rPr>
        <w:t>:</w:t>
      </w:r>
    </w:p>
    <w:p w:rsidR="009273D7" w:rsidRDefault="00F663D7">
      <w:pPr>
        <w:pStyle w:val="a5"/>
        <w:rPr>
          <w:rFonts w:hint="default"/>
        </w:rPr>
      </w:pPr>
      <w:r>
        <w:rPr>
          <w:rFonts w:cs="Times New Roman"/>
          <w:rtl/>
          <w:lang w:val="ar-SA"/>
        </w:rPr>
        <w:t>المرحلة الثانية</w:t>
      </w:r>
      <w:r>
        <w:rPr>
          <w:rFonts w:ascii="Al Nile" w:hAnsi="Al Nile"/>
          <w:rtl/>
          <w:lang w:val="ar-SA"/>
        </w:rPr>
        <w:t xml:space="preserve">: </w:t>
      </w:r>
      <w:r>
        <w:rPr>
          <w:rFonts w:cs="Times New Roman"/>
          <w:rtl/>
          <w:lang w:val="ar-SA"/>
        </w:rPr>
        <w:t>في أخذ قصد القربة بالمعاني غير قصد الأمر في المتعلق وللبحث في هذه المرحلة جهتان</w:t>
      </w:r>
      <w:r>
        <w:rPr>
          <w:rFonts w:ascii="Al Nile" w:hAnsi="Al Nile"/>
          <w:rtl/>
          <w:lang w:val="ar-SA"/>
        </w:rPr>
        <w:t>:</w:t>
      </w:r>
    </w:p>
    <w:p w:rsidR="009273D7" w:rsidRDefault="00F663D7" w:rsidP="00AF22BE">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في إمكان الأخذ والثانية</w:t>
      </w:r>
      <w:r>
        <w:rPr>
          <w:rFonts w:ascii="Al Nile" w:hAnsi="Al Nile"/>
          <w:rtl/>
          <w:lang w:val="ar-SA"/>
        </w:rPr>
        <w:t xml:space="preserve">: </w:t>
      </w:r>
      <w:r w:rsidR="00AF22BE">
        <w:rPr>
          <w:rFonts w:cs="Times New Roman"/>
          <w:rtl/>
          <w:lang w:val="ar-SA"/>
        </w:rPr>
        <w:t xml:space="preserve">في وقوعه </w:t>
      </w:r>
      <w:r>
        <w:rPr>
          <w:rFonts w:cs="Times New Roman"/>
          <w:rtl/>
          <w:lang w:val="ar-SA"/>
        </w:rPr>
        <w:t xml:space="preserve">على تقدير إمكانه  </w:t>
      </w:r>
    </w:p>
    <w:p w:rsidR="009273D7" w:rsidRDefault="00F663D7">
      <w:pPr>
        <w:pStyle w:val="a5"/>
        <w:rPr>
          <w:rFonts w:hint="default"/>
        </w:rPr>
      </w:pPr>
      <w:r>
        <w:rPr>
          <w:rFonts w:cs="Times New Roman"/>
          <w:rtl/>
          <w:lang w:val="ar-SA"/>
        </w:rPr>
        <w:t>بالنسبة إلى الجهة الثانية أفاد المحقق الآخوند قدس سره أنه لم يؤخذ قصد القربة بتلك المعاني قطعاً ودليله على ذلك أنه لو كان مأخوذاً لما كان الإتيان بالعمل بدون قصد المعاني الأخرى وبقصد الأمر فقط كافياً في سقوط التكليف وحصول الغرض والحال أن إتيان العمل بخصوص قصد الأمر والامتثال كافٍ قطعاً بلا حاجة إلى ضميمة قصد المعاني الأخرى وهذا شاهد على أن قصد تلك المعاني غير مأخوذ</w:t>
      </w:r>
      <w:r>
        <w:rPr>
          <w:rFonts w:ascii="Al Nile" w:hAnsi="Al Nile"/>
          <w:rtl/>
          <w:lang w:val="ar-SA"/>
        </w:rPr>
        <w:t xml:space="preserve">. </w:t>
      </w:r>
    </w:p>
    <w:p w:rsidR="009273D7" w:rsidRDefault="00F663D7">
      <w:pPr>
        <w:pStyle w:val="a5"/>
        <w:rPr>
          <w:rFonts w:hint="default"/>
        </w:rPr>
      </w:pPr>
      <w:r>
        <w:rPr>
          <w:rFonts w:cs="Times New Roman"/>
          <w:rtl/>
          <w:lang w:val="ar-SA"/>
        </w:rPr>
        <w:t xml:space="preserve">قلنا نوقش هذا الدليل في كلمات الأعلام بأنه لا يدل إلا على عدم أخذ خصوص أحد هذه المعاني ولا ينفي أن يكون المأخوذ معنى جامع شامل لقصد الأمر وباقي المعاني وبما أن </w:t>
      </w:r>
      <w:r w:rsidR="00AF22BE">
        <w:rPr>
          <w:rFonts w:cs="Times New Roman"/>
          <w:rtl/>
          <w:lang w:val="ar-SA"/>
        </w:rPr>
        <w:t xml:space="preserve">أخذ </w:t>
      </w:r>
      <w:r>
        <w:rPr>
          <w:rFonts w:cs="Times New Roman"/>
          <w:rtl/>
          <w:lang w:val="ar-SA"/>
        </w:rPr>
        <w:t>قصد التقرب بالمعنى الجامع ممكن ولا دليل على عدم أخذه نلتزم بأن المأخوذ هو قصد التقرب بالمعنى الجامع وهو منطبق على قصد الأمر فلذلك يمكن للمكلف أن يأتي بالعمل بخصوص قصد الأمر دون قصد باقي المعاني ويكون عمله صحيحاً</w:t>
      </w:r>
      <w:r>
        <w:rPr>
          <w:rFonts w:ascii="Al Nile" w:hAnsi="Al Nile"/>
          <w:rtl/>
          <w:lang w:val="ar-SA"/>
        </w:rPr>
        <w:t>.</w:t>
      </w:r>
    </w:p>
    <w:p w:rsidR="009273D7" w:rsidRDefault="00F663D7" w:rsidP="00AF22BE">
      <w:pPr>
        <w:pStyle w:val="a5"/>
        <w:rPr>
          <w:rFonts w:hint="default"/>
        </w:rPr>
      </w:pPr>
      <w:r>
        <w:rPr>
          <w:rFonts w:cs="Times New Roman"/>
          <w:rtl/>
          <w:lang w:val="ar-SA"/>
        </w:rPr>
        <w:t>وأ</w:t>
      </w:r>
      <w:r w:rsidR="00AF22BE">
        <w:rPr>
          <w:rFonts w:cs="Times New Roman"/>
          <w:rtl/>
          <w:lang w:val="ar-SA"/>
        </w:rPr>
        <w:t>ورد علی هذه المناقشة</w:t>
      </w:r>
      <w:r>
        <w:rPr>
          <w:rFonts w:cs="Times New Roman"/>
          <w:rtl/>
          <w:lang w:val="ar-SA"/>
        </w:rPr>
        <w:t xml:space="preserve"> بأن المأخوذ لا يمكن أن يكون الجامع أيضاً لأنه بناءً </w:t>
      </w:r>
      <w:r w:rsidR="00AF22BE">
        <w:rPr>
          <w:rFonts w:cs="Times New Roman"/>
          <w:rtl/>
          <w:lang w:val="ar-SA"/>
        </w:rPr>
        <w:t xml:space="preserve">علی </w:t>
      </w:r>
      <w:r>
        <w:rPr>
          <w:rFonts w:cs="Times New Roman"/>
          <w:rtl/>
          <w:lang w:val="ar-SA"/>
        </w:rPr>
        <w:t xml:space="preserve">عدم إمكان أخذ قصد الأمر في متعلق التكليف كما عليه المحقق الآخوند قدس سره لا ينطبق </w:t>
      </w:r>
      <w:r w:rsidR="00AF22BE">
        <w:rPr>
          <w:rFonts w:cs="Times New Roman"/>
          <w:rtl/>
          <w:lang w:val="ar-SA"/>
        </w:rPr>
        <w:t xml:space="preserve">الجامع </w:t>
      </w:r>
      <w:r>
        <w:rPr>
          <w:rFonts w:cs="Times New Roman"/>
          <w:rtl/>
          <w:lang w:val="ar-SA"/>
        </w:rPr>
        <w:t>على قصد الأمر والحال أنا نرى صحة الاكتفاء بالعمل بقصد الأمر والامتثال فيعود بيان المحقق الآخوند قدس سره</w:t>
      </w:r>
      <w:r>
        <w:rPr>
          <w:rFonts w:ascii="Al Nile" w:hAnsi="Al Nile"/>
          <w:rtl/>
          <w:lang w:val="ar-SA"/>
        </w:rPr>
        <w:t>.</w:t>
      </w:r>
    </w:p>
    <w:p w:rsidR="009273D7" w:rsidRDefault="00F663D7" w:rsidP="00AF22BE">
      <w:pPr>
        <w:pStyle w:val="a5"/>
        <w:rPr>
          <w:rFonts w:hint="default"/>
        </w:rPr>
      </w:pPr>
      <w:r>
        <w:rPr>
          <w:rFonts w:cs="Times New Roman"/>
          <w:rtl/>
          <w:lang w:val="ar-SA"/>
        </w:rPr>
        <w:t xml:space="preserve">والجواب </w:t>
      </w:r>
      <w:r w:rsidR="00AF22BE">
        <w:rPr>
          <w:rFonts w:cs="Times New Roman"/>
          <w:rtl/>
          <w:lang w:val="ar-SA"/>
        </w:rPr>
        <w:t xml:space="preserve">عن هذا الايراد </w:t>
      </w:r>
      <w:r>
        <w:rPr>
          <w:rFonts w:cs="Times New Roman"/>
          <w:rtl/>
          <w:lang w:val="ar-SA"/>
        </w:rPr>
        <w:t xml:space="preserve">ما تقدم من أن الحكم المأخوذ بنحو القضية الحقيقة </w:t>
      </w:r>
      <w:r>
        <w:rPr>
          <w:rFonts w:ascii="Al Nile" w:hAnsi="Al Nile"/>
          <w:rtl/>
          <w:lang w:val="ar-SA"/>
        </w:rPr>
        <w:t xml:space="preserve">- </w:t>
      </w:r>
      <w:r>
        <w:rPr>
          <w:rFonts w:cs="Times New Roman"/>
          <w:rtl/>
          <w:lang w:val="ar-SA"/>
        </w:rPr>
        <w:t xml:space="preserve">حيث إن الموضوع أو المتعلق فيه الطبيعي والإطلاق رفض القيود لا جمع القيود </w:t>
      </w:r>
      <w:r>
        <w:rPr>
          <w:rFonts w:ascii="Al Nile" w:hAnsi="Al Nile"/>
          <w:rtl/>
          <w:lang w:val="ar-SA"/>
        </w:rPr>
        <w:t xml:space="preserve">- </w:t>
      </w:r>
      <w:r>
        <w:rPr>
          <w:rFonts w:cs="Times New Roman"/>
          <w:rtl/>
          <w:lang w:val="ar-SA"/>
        </w:rPr>
        <w:t>يكون شاملاً للفرد الذي يحصل في طول ثبوت الحكم أيضاً وإن لم يكن مصداقاً للطبيعي قبل جعل الحكم ولكن يصير مصداقاً له في طول جعل الحكم وهذا شأن القضايا الحقيقية التي يتعلق الحكم فيها بالطبيعي بلحاظ أن الإطلاق رفض القيود لا جمع القيود</w:t>
      </w:r>
      <w:r>
        <w:rPr>
          <w:rFonts w:ascii="Al Nile" w:hAnsi="Al Nile"/>
          <w:rtl/>
          <w:lang w:val="ar-SA"/>
        </w:rPr>
        <w:t>.</w:t>
      </w:r>
    </w:p>
    <w:p w:rsidR="009273D7" w:rsidRDefault="00F663D7">
      <w:pPr>
        <w:pStyle w:val="a5"/>
        <w:rPr>
          <w:rFonts w:hint="default"/>
        </w:rPr>
      </w:pPr>
      <w:r>
        <w:rPr>
          <w:rFonts w:cs="Times New Roman"/>
          <w:rtl/>
          <w:lang w:val="ar-SA"/>
        </w:rPr>
        <w:t xml:space="preserve">فلذا الميرزا التبريزي قدس سره الذي ذكر هذا الإشكال أجاب عنه بأنه بعد الالتزام بأن الأمر تعلق مثلاً بالصلاة مع قصد التقرب بنحو الجزئية لا الشرطية لو فرض حصول فرد للتقرب المأخوذ في طول الجعل وتعلق الأمر وأتى المكلف بالصلاة بقصد ذلك الفرد من التقرب فلا تكون هناك مشكلة لأن شرائط العبادة كلها محققة، الذات أتي بها وداعي التقرب حاصل والإتيان بالذات بقصد الأمر وإن لم يكن ممكناً قبل تمام الجعل لكنه بعد تمامه ممكن كما هو الحال في باقي </w:t>
      </w:r>
      <w:r>
        <w:rPr>
          <w:rFonts w:cs="Times New Roman"/>
          <w:rtl/>
          <w:lang w:val="ar-SA"/>
        </w:rPr>
        <w:lastRenderedPageBreak/>
        <w:t>الموارد التي يتعلق الحكم فيها بالطبيعي حيث يكون الحكم شاملاً للفرد الحاصل بنفس الحكم نظير</w:t>
      </w:r>
      <w:r>
        <w:rPr>
          <w:rFonts w:ascii="Al Nile" w:hAnsi="Al Nile"/>
          <w:rtl/>
          <w:lang w:val="ar-SA"/>
        </w:rPr>
        <w:t>: (</w:t>
      </w:r>
      <w:r>
        <w:rPr>
          <w:rFonts w:cs="Times New Roman"/>
          <w:rtl/>
          <w:lang w:val="ar-SA"/>
        </w:rPr>
        <w:t>خير الكلام ما قلّ ودلّ</w:t>
      </w:r>
      <w:r>
        <w:rPr>
          <w:rFonts w:ascii="Al Nile" w:hAnsi="Al Nile"/>
          <w:rtl/>
          <w:lang w:val="ar-SA"/>
        </w:rPr>
        <w:t xml:space="preserve">) </w:t>
      </w:r>
      <w:r>
        <w:rPr>
          <w:rFonts w:cs="Times New Roman"/>
          <w:rtl/>
          <w:lang w:val="ar-SA"/>
        </w:rPr>
        <w:t>فإن هذا الكلام قبل تمامه لا يكون شاملاً لنفسه لكن بعد تمامه حيث تعلق الحكم فيه بالطبيعي يكون فرداً للطبيعي ويشمله الحكم</w:t>
      </w:r>
      <w:r>
        <w:rPr>
          <w:rFonts w:ascii="Al Nile" w:hAnsi="Al Nile"/>
          <w:rtl/>
          <w:lang w:val="ar-SA"/>
        </w:rPr>
        <w:t>.</w:t>
      </w:r>
    </w:p>
    <w:p w:rsidR="009273D7" w:rsidRDefault="00F663D7">
      <w:pPr>
        <w:pStyle w:val="a5"/>
        <w:rPr>
          <w:rFonts w:hint="default"/>
        </w:rPr>
      </w:pPr>
      <w:r>
        <w:rPr>
          <w:rFonts w:cs="Times New Roman"/>
          <w:rtl/>
          <w:lang w:val="ar-SA"/>
        </w:rPr>
        <w:t>بعبارة أخرى</w:t>
      </w:r>
      <w:r>
        <w:rPr>
          <w:rFonts w:ascii="Al Nile" w:hAnsi="Al Nile"/>
          <w:rtl/>
          <w:lang w:val="ar-SA"/>
        </w:rPr>
        <w:t xml:space="preserve">: </w:t>
      </w:r>
      <w:r>
        <w:rPr>
          <w:rFonts w:cs="Times New Roman"/>
          <w:rtl/>
          <w:lang w:val="ar-SA"/>
        </w:rPr>
        <w:t>بما أن الإطلاق رفض القيود لا جمع القيود بمعنى أن القيود ليست دخيلةً في الحكم لا أنها كلها دخيلة فلذا إن أخذ الطبيعي في متعلق التكليف يكون شاملاً للفرد الذي يتحقق بنفس هذا الحكم</w:t>
      </w:r>
      <w:r>
        <w:rPr>
          <w:rFonts w:ascii="Al Nile" w:hAnsi="Al Nile"/>
          <w:rtl/>
          <w:lang w:val="ar-SA"/>
        </w:rPr>
        <w:t>.</w:t>
      </w:r>
    </w:p>
    <w:p w:rsidR="009273D7" w:rsidRDefault="00F663D7">
      <w:pPr>
        <w:pStyle w:val="a5"/>
        <w:rPr>
          <w:rFonts w:hint="default"/>
        </w:rPr>
      </w:pPr>
      <w:r>
        <w:rPr>
          <w:rFonts w:cs="Times New Roman"/>
          <w:rtl/>
          <w:lang w:val="ar-SA"/>
        </w:rPr>
        <w:t>هذا الجواب موجود أيضاً في كلام المحقق الآخوند قدس سره في تعليقة الرسائل حيث تعرّض في بحث الامتثال الاجمالي إلى أخذ قصد الأمر في المتعلق وأفاد أنه لا يمكن أخذ قصد الأمر في المتعلق لا بنحو الجزئية ولا الشرطية ثم ذكر إشكالاً وهو أن قصد التقرب ليس منحصراً في قصد الأمر بل يمكن أخذ المرتبة العليا من قصد التقرب التي تكون فوق مرتبة قصد الأمر وهي كون العمل لله فتنحل المشكلة وأجاب عنه بأن أخذ المرتبة العليا لا يحل المشكلة لأن لازم أخذها أن لا يمكن الاكتفاء بقصد الأمر الذي دونها والحال أن الاكتفاء به ممكن</w:t>
      </w:r>
      <w:r>
        <w:rPr>
          <w:rFonts w:ascii="Al Nile" w:hAnsi="Al Nile"/>
          <w:rtl/>
          <w:lang w:val="ar-SA"/>
        </w:rPr>
        <w:t xml:space="preserve">. </w:t>
      </w:r>
      <w:r>
        <w:rPr>
          <w:rFonts w:cs="Times New Roman"/>
          <w:rtl/>
          <w:lang w:val="ar-SA"/>
        </w:rPr>
        <w:t>ووصف في عبارته قصد الامتثال بما يستفاد منه أن أخذ قصد الأمر ولو بجامعه غير ممكن لأنه وإن لم توجد فيه مشكلة من جهة شمول الجامع للفرد الذي يوجد بنفس الحكم لأن شأن القضايا الحقيقية أن الحكم فيها للطبيعي وينطبق الطبيعي على الفرد الحاصل في طول الأمر بل المشكلة من جهة أخرى وهي ما تقدم من أن لازم أخذ الجامع في المتعلق أن لا يكون أمر بذات العمل وإذا لم يكن أمر بذات العمل كيف يأتي المكلف بالعمل خارجاً بداعي الأمر المتعلق بالذات؟</w:t>
      </w:r>
    </w:p>
    <w:p w:rsidR="009273D7" w:rsidRDefault="00F663D7" w:rsidP="000F6032">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lang w:val="ar-SA"/>
        </w:rPr>
        <w:t>إن</w:t>
      </w:r>
      <w:r>
        <w:rPr>
          <w:rFonts w:cs="Times New Roman"/>
          <w:b/>
          <w:bCs/>
          <w:rtl/>
          <w:cs/>
        </w:rPr>
        <w:t xml:space="preserve"> قلت</w:t>
      </w:r>
      <w:r>
        <w:rPr>
          <w:rFonts w:ascii="Al Nile" w:hAnsi="Al Nile"/>
          <w:b/>
          <w:bCs/>
        </w:rPr>
        <w:t xml:space="preserve">: </w:t>
      </w:r>
      <w:r>
        <w:rPr>
          <w:rFonts w:cs="Times New Roman"/>
          <w:b/>
          <w:bCs/>
          <w:rtl/>
          <w:cs/>
        </w:rPr>
        <w:t>هب ذلك كلّه، لكنّه ليس قصد القربة المعتبرة في العبادات بمنحصر في</w:t>
      </w:r>
      <w:r>
        <w:rPr>
          <w:rFonts w:hint="default"/>
          <w:rtl/>
        </w:rPr>
        <w:t>‏</w:t>
      </w:r>
      <w:r>
        <w:rPr>
          <w:rFonts w:ascii="Al Nile" w:hAnsi="Al Nile"/>
          <w:b/>
          <w:bCs/>
        </w:rPr>
        <w:t xml:space="preserve"> </w:t>
      </w:r>
      <w:r>
        <w:rPr>
          <w:rFonts w:cs="Times New Roman"/>
          <w:b/>
          <w:bCs/>
          <w:rtl/>
          <w:cs/>
        </w:rPr>
        <w:t xml:space="preserve">قصد الامتثال كي يكون ناشئاً من قبل الأمر فلا يمكن أخذه في متعلّقه، بل فوقه مرتبة أخرى غير متوقّفة على الأمر، فيمكن أخذه في متعلّقه و هي قصد كون الفعل </w:t>
      </w:r>
      <w:r w:rsidR="000F6032">
        <w:rPr>
          <w:rFonts w:cs="Times New Roman"/>
          <w:b/>
          <w:bCs/>
          <w:rtl/>
          <w:cs/>
        </w:rPr>
        <w:t xml:space="preserve">لله </w:t>
      </w:r>
      <w:r>
        <w:rPr>
          <w:rFonts w:cs="Times New Roman"/>
          <w:b/>
          <w:bCs/>
          <w:rtl/>
          <w:cs/>
        </w:rPr>
        <w:t xml:space="preserve">تعالى، فكما يمكن </w:t>
      </w:r>
      <w:r>
        <w:rPr>
          <w:rFonts w:cs="Times New Roman"/>
          <w:b/>
          <w:bCs/>
          <w:rtl/>
          <w:lang w:val="ar-SA"/>
        </w:rPr>
        <w:t>أن</w:t>
      </w:r>
      <w:r>
        <w:rPr>
          <w:rFonts w:cs="Times New Roman"/>
          <w:b/>
          <w:bCs/>
          <w:rtl/>
          <w:cs/>
        </w:rPr>
        <w:t xml:space="preserve"> يلزم بعمل لغيره تعالى، كذلك يمكن </w:t>
      </w:r>
      <w:r>
        <w:rPr>
          <w:rFonts w:cs="Times New Roman"/>
          <w:b/>
          <w:bCs/>
          <w:rtl/>
          <w:lang w:val="ar-SA"/>
        </w:rPr>
        <w:t>أن</w:t>
      </w:r>
      <w:r>
        <w:rPr>
          <w:rFonts w:cs="Times New Roman"/>
          <w:b/>
          <w:bCs/>
          <w:rtl/>
          <w:cs/>
        </w:rPr>
        <w:t xml:space="preserve"> يؤمر به له تعالى</w:t>
      </w:r>
      <w:r>
        <w:rPr>
          <w:rFonts w:ascii="Al Nile" w:hAnsi="Al Nile"/>
          <w:b/>
          <w:bCs/>
        </w:rPr>
        <w:t>.</w:t>
      </w:r>
    </w:p>
    <w:p w:rsidR="009273D7" w:rsidRDefault="00F663D7">
      <w:pPr>
        <w:pStyle w:val="a5"/>
        <w:rPr>
          <w:rFonts w:hint="default"/>
          <w:b/>
          <w:bCs/>
        </w:rPr>
      </w:pPr>
      <w:r>
        <w:rPr>
          <w:rFonts w:cs="Times New Roman"/>
          <w:b/>
          <w:bCs/>
          <w:rtl/>
          <w:cs/>
        </w:rPr>
        <w:t>قلت</w:t>
      </w:r>
      <w:r>
        <w:rPr>
          <w:rFonts w:ascii="Al Nile" w:hAnsi="Al Nile"/>
          <w:b/>
          <w:bCs/>
        </w:rPr>
        <w:t xml:space="preserve">: </w:t>
      </w:r>
      <w:r>
        <w:rPr>
          <w:rFonts w:cs="Times New Roman"/>
          <w:b/>
          <w:bCs/>
          <w:rtl/>
          <w:cs/>
        </w:rPr>
        <w:t>إمكان أخذ هذه المرتبة العليا في متعلّقه لا يجد</w:t>
      </w:r>
      <w:r>
        <w:rPr>
          <w:rFonts w:cs="Times New Roman"/>
          <w:b/>
          <w:bCs/>
          <w:rtl/>
          <w:lang w:val="ar-SA"/>
        </w:rPr>
        <w:t>ي</w:t>
      </w:r>
      <w:r>
        <w:rPr>
          <w:rFonts w:cs="Times New Roman"/>
          <w:b/>
          <w:bCs/>
          <w:rtl/>
          <w:cs/>
        </w:rPr>
        <w:t xml:space="preserve"> بعد بداهة جواز الاقتصار بما دونها من قصد الامتثال </w:t>
      </w:r>
      <w:r>
        <w:rPr>
          <w:rFonts w:cs="Times New Roman"/>
          <w:b/>
          <w:bCs/>
          <w:rtl/>
          <w:lang w:val="ar-SA"/>
        </w:rPr>
        <w:t>الذي</w:t>
      </w:r>
      <w:r>
        <w:rPr>
          <w:rFonts w:cs="Times New Roman"/>
          <w:b/>
          <w:bCs/>
          <w:rtl/>
          <w:cs/>
        </w:rPr>
        <w:t xml:space="preserve"> لا يمكن أخذه فيه أصلاً ولو بأخذ ما يعمّه على نحو القضيّة الطّبعيّة الّتي يسر</w:t>
      </w:r>
      <w:r>
        <w:rPr>
          <w:rFonts w:cs="Times New Roman"/>
          <w:b/>
          <w:bCs/>
          <w:rtl/>
          <w:lang w:val="ar-SA"/>
        </w:rPr>
        <w:t>ي</w:t>
      </w:r>
      <w:r>
        <w:rPr>
          <w:rFonts w:cs="Times New Roman"/>
          <w:b/>
          <w:bCs/>
          <w:rtl/>
          <w:cs/>
        </w:rPr>
        <w:t xml:space="preserve"> الحكم فيها إلى جميع ما ينطبق عليه من الافراد ولو كان ممّا يتوقّف على تحقّق الحكم، ولا يكاد يتحقّق بدونه مثل كونها مقرباً، وذلك لأنّه لا يسرى إلى قصد الامتثال الّذي لا يتأتّى إلاّ إذا كان الأمر متعلّقاً بنفس العمل وإلاّ لما كان المأتيّ بداعي الأمر وبقصد الامتثال، كما بيّناه بما لا مزيد عليه</w:t>
      </w:r>
      <w:r>
        <w:rPr>
          <w:rFonts w:hint="default"/>
          <w:rtl/>
        </w:rPr>
        <w:t>‏</w:t>
      </w:r>
      <w:r>
        <w:rPr>
          <w:rFonts w:ascii="Al Nile" w:hAnsi="Al Nile"/>
          <w:b/>
          <w:bCs/>
          <w:rtl/>
          <w:lang w:val="ar-SA"/>
        </w:rPr>
        <w:t>.)</w:t>
      </w:r>
      <w:r>
        <w:rPr>
          <w:b/>
          <w:bCs/>
          <w:vertAlign w:val="superscript"/>
        </w:rPr>
        <w:footnoteReference w:id="2"/>
      </w:r>
    </w:p>
    <w:p w:rsidR="009273D7" w:rsidRDefault="00F663D7">
      <w:pPr>
        <w:pStyle w:val="a5"/>
        <w:rPr>
          <w:rFonts w:hint="default"/>
        </w:rPr>
      </w:pPr>
      <w:r>
        <w:rPr>
          <w:rFonts w:cs="Times New Roman"/>
          <w:rtl/>
          <w:lang w:val="ar-SA"/>
        </w:rPr>
        <w:lastRenderedPageBreak/>
        <w:t>هذه العبارة جواب لإشكال أخذ الجامع وبيان لإشكال آخر أيضاً يرد على أخذ الجامع وعلى أخذ قصد الأمر وأخذ باقي المعاني ولكن كما ذكرنا يرتفع هذا الإشكال بالقول بجزئية قصد التقرب لا شرطيته</w:t>
      </w:r>
      <w:r>
        <w:rPr>
          <w:rFonts w:ascii="Al Nile" w:hAnsi="Al Nile"/>
          <w:rtl/>
          <w:lang w:val="ar-SA"/>
        </w:rPr>
        <w:t>.</w:t>
      </w:r>
    </w:p>
    <w:p w:rsidR="009273D7" w:rsidRDefault="00F663D7">
      <w:pPr>
        <w:pStyle w:val="a5"/>
        <w:rPr>
          <w:rFonts w:hint="default"/>
        </w:rPr>
      </w:pPr>
      <w:r>
        <w:rPr>
          <w:rFonts w:cs="Times New Roman"/>
          <w:rtl/>
          <w:lang w:val="ar-SA"/>
        </w:rPr>
        <w:t>فحاصل الكلام أن أخذ قصد الأمر بخصوصه بنحو الجزئية في متعلق الأمر ممكن وكذا أخذ عنوان قصد التقرب الجامع لجميع الدواعي بنحو الجزئية ممكن</w:t>
      </w:r>
      <w:r>
        <w:rPr>
          <w:rFonts w:ascii="Al Nile" w:hAnsi="Al Nile"/>
          <w:rtl/>
          <w:lang w:val="ar-SA"/>
        </w:rPr>
        <w:t xml:space="preserve">.  </w:t>
      </w:r>
    </w:p>
    <w:p w:rsidR="009273D7" w:rsidRDefault="00F663D7" w:rsidP="000F6032">
      <w:pPr>
        <w:pStyle w:val="a5"/>
        <w:rPr>
          <w:rFonts w:hint="default"/>
        </w:rPr>
      </w:pPr>
      <w:r>
        <w:rPr>
          <w:rFonts w:cs="Times New Roman"/>
          <w:rtl/>
          <w:lang w:val="ar-SA"/>
        </w:rPr>
        <w:t xml:space="preserve">ولكن بقطع النظر عن الطرق المذكورة لو فرضنا أن أخذ قصد القربة بمعنى قصد الأمر وبالمعاني الأخرى غير ممكن هل هناك طريق آخر لأخذ قصد القربة في متعلق التكليف ليكون قيداً شرعياً فيه أو لا فيكون </w:t>
      </w:r>
      <w:r>
        <w:rPr>
          <w:rFonts w:ascii="Al Nile" w:hAnsi="Al Nile"/>
          <w:rtl/>
          <w:lang w:val="ar-SA"/>
        </w:rPr>
        <w:t xml:space="preserve">- </w:t>
      </w:r>
      <w:r>
        <w:rPr>
          <w:rFonts w:cs="Times New Roman"/>
          <w:rtl/>
          <w:lang w:val="ar-SA"/>
        </w:rPr>
        <w:t xml:space="preserve">كما أفاد المحقق الآخوند قدس سره </w:t>
      </w:r>
      <w:r>
        <w:rPr>
          <w:rFonts w:ascii="Al Nile" w:hAnsi="Al Nile"/>
          <w:rtl/>
          <w:lang w:val="ar-SA"/>
        </w:rPr>
        <w:t xml:space="preserve">- </w:t>
      </w:r>
      <w:r>
        <w:rPr>
          <w:rFonts w:cs="Times New Roman"/>
          <w:rtl/>
          <w:lang w:val="ar-SA"/>
        </w:rPr>
        <w:t xml:space="preserve">قيداً عقلياً؟ </w:t>
      </w:r>
    </w:p>
    <w:p w:rsidR="009273D7" w:rsidRDefault="00F663D7">
      <w:pPr>
        <w:pStyle w:val="a5"/>
        <w:rPr>
          <w:rFonts w:hint="default"/>
        </w:rPr>
      </w:pPr>
      <w:r>
        <w:rPr>
          <w:rFonts w:cs="Times New Roman"/>
          <w:rtl/>
          <w:lang w:val="ar-SA"/>
        </w:rPr>
        <w:t>أفاد المحقق النائيني قدس سره حسب تقريرات الأجود أنه حُكي عن تقريرات الميرزا الشيرازي قدس سره أن المولى وإن لم يمكنه أخذ الداعي القربي بنحو الجامع أو أخذ قصد الأمر بنحو خاص في المتعلق لكن يمكنه أخذ عنوان ملازم للدواعي القربية وبهذا الطريق يمكنه الوصول إلى غرضه وهو سوق المكلف نحو العمل مع قصد القربة ولم يُنقل في الأجود عن الميرزا قدس سره ما هو العنوان الملازم</w:t>
      </w:r>
      <w:r>
        <w:rPr>
          <w:rFonts w:ascii="Al Nile" w:hAnsi="Al Nile"/>
          <w:rtl/>
          <w:lang w:val="ar-SA"/>
        </w:rPr>
        <w:t>.</w:t>
      </w:r>
    </w:p>
    <w:p w:rsidR="009273D7" w:rsidRDefault="00F663D7">
      <w:pPr>
        <w:pStyle w:val="a5"/>
        <w:rPr>
          <w:rFonts w:hint="default"/>
        </w:rPr>
      </w:pPr>
      <w:r>
        <w:rPr>
          <w:rFonts w:cs="Times New Roman"/>
          <w:rtl/>
          <w:lang w:val="ar-SA"/>
        </w:rPr>
        <w:t xml:space="preserve">وأفاد السيد الخوئي والميرزا التبريزي قدس سرهما حيث اختارا ما حُكي عن الميرزا الشيرازي قدس سره أن العنوان الملازم هو </w:t>
      </w:r>
      <w:r>
        <w:rPr>
          <w:rFonts w:ascii="Al Nile" w:hAnsi="Al Nile"/>
          <w:rtl/>
          <w:lang w:val="ar-SA"/>
        </w:rPr>
        <w:t>(</w:t>
      </w:r>
      <w:r>
        <w:rPr>
          <w:rFonts w:cs="Times New Roman"/>
          <w:rtl/>
          <w:lang w:val="ar-SA"/>
        </w:rPr>
        <w:t>عدم الدواعي النفسانية</w:t>
      </w:r>
      <w:r>
        <w:rPr>
          <w:rFonts w:ascii="Al Nile" w:hAnsi="Al Nile"/>
          <w:rtl/>
          <w:lang w:val="ar-SA"/>
        </w:rPr>
        <w:t>).</w:t>
      </w:r>
    </w:p>
    <w:p w:rsidR="009273D7" w:rsidRDefault="00F663D7" w:rsidP="000F6032">
      <w:pPr>
        <w:pStyle w:val="a5"/>
        <w:rPr>
          <w:rFonts w:hint="default"/>
        </w:rPr>
      </w:pPr>
      <w:r>
        <w:rPr>
          <w:rFonts w:cs="Times New Roman"/>
          <w:rtl/>
          <w:lang w:val="ar-SA"/>
        </w:rPr>
        <w:t>أفاد السيد الخوئي قدس سره أن الفاعل المختار عندما يريد أن يعمل عملاً لابد أن يعمله لداعٍ وذلك الداعي إما داعٍ نفساني أو داعٍ إلهي وقربي ولا ثالث لهما وبما أنهما لا ثالث لهما عندما يأخذ المولى في المتعلق عدم الداعي النفساني يتعين أن يأتي المكلف في مقام العمل بالعمل بالداعي القربي في</w:t>
      </w:r>
      <w:r w:rsidR="000F6032">
        <w:rPr>
          <w:rFonts w:cs="Times New Roman"/>
          <w:rtl/>
          <w:lang w:val="ar-SA"/>
        </w:rPr>
        <w:t>ح</w:t>
      </w:r>
      <w:r>
        <w:rPr>
          <w:rFonts w:cs="Times New Roman"/>
          <w:rtl/>
          <w:lang w:val="ar-SA"/>
        </w:rPr>
        <w:t xml:space="preserve">صل المولى بذلك </w:t>
      </w:r>
      <w:r w:rsidR="000F6032">
        <w:rPr>
          <w:rFonts w:cs="Times New Roman"/>
          <w:rtl/>
          <w:lang w:val="ar-SA"/>
        </w:rPr>
        <w:t>ع</w:t>
      </w:r>
      <w:r>
        <w:rPr>
          <w:rFonts w:cs="Times New Roman"/>
          <w:rtl/>
          <w:lang w:val="ar-SA"/>
        </w:rPr>
        <w:t>لى غرضه</w:t>
      </w:r>
      <w:r>
        <w:rPr>
          <w:rFonts w:ascii="Al Nile" w:hAnsi="Al Nile"/>
          <w:rtl/>
          <w:lang w:val="ar-SA"/>
        </w:rPr>
        <w:t xml:space="preserve">. </w:t>
      </w:r>
    </w:p>
    <w:p w:rsidR="009273D7" w:rsidRDefault="00F663D7">
      <w:pPr>
        <w:pStyle w:val="a5"/>
        <w:rPr>
          <w:rFonts w:hint="default"/>
        </w:rPr>
      </w:pPr>
      <w:r>
        <w:rPr>
          <w:rFonts w:cs="Times New Roman"/>
          <w:rtl/>
          <w:lang w:val="ar-SA"/>
        </w:rPr>
        <w:t>أشكل الميرزا النائيني قدس سره أن هذا الوجه وإن كان وجهاً حسناً في نفسه لكن لو فرضنا محالاً أن للعنوانين مادة افتراق بأن أتى المصلي بالصلاة بلا داعٍ نفساني لكن لم يكن بالداعي القربي أيضاً وهذا مادة افتراق عدم الداعي النفساني فلازم ما ذكرتم صحة العمل مع أن المفروض عدم الداعي القربي وهذا لم يلتزم به فقيه فإن العبادات إنما تصح إذا أتي بها بالداعي القربي ومجرد عدم الداعي النفساني لا يكفي لصحتها</w:t>
      </w:r>
      <w:r>
        <w:rPr>
          <w:rFonts w:ascii="Al Nile" w:hAnsi="Al Nile"/>
          <w:rtl/>
          <w:lang w:val="ar-SA"/>
        </w:rPr>
        <w:t>.</w:t>
      </w:r>
    </w:p>
    <w:p w:rsidR="009273D7" w:rsidRDefault="00F663D7" w:rsidP="0017596F">
      <w:pPr>
        <w:pStyle w:val="a5"/>
        <w:rPr>
          <w:rFonts w:hint="default"/>
        </w:rPr>
      </w:pPr>
      <w:r>
        <w:rPr>
          <w:rFonts w:cs="Times New Roman"/>
          <w:rtl/>
          <w:lang w:val="ar-SA"/>
        </w:rPr>
        <w:t>وكذا إن أتى المكلف بالعمل بالداعي القربي وكان معه الداعي النفساني وهذا مادة افتراق الداعي القربي كمن توضأ في الصيف لأجل الله تعالى ولأجل التبرد لزم بطلان العمل لأن العنوان الملازم المأخوذ في المأمور به وهو عدم الداعي النفساني غير محقق والحال أن هذا العمل صحيح</w:t>
      </w:r>
      <w:r>
        <w:rPr>
          <w:rFonts w:ascii="Al Nile" w:hAnsi="Al Nile"/>
          <w:rtl/>
          <w:lang w:val="ar-SA"/>
        </w:rPr>
        <w:t xml:space="preserve">.    </w:t>
      </w:r>
    </w:p>
    <w:p w:rsidR="009273D7" w:rsidRDefault="00F663D7" w:rsidP="0017596F">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lang w:val="ar-SA"/>
        </w:rPr>
        <w:t>إن</w:t>
      </w:r>
      <w:r>
        <w:rPr>
          <w:rFonts w:cs="Times New Roman"/>
          <w:b/>
          <w:bCs/>
          <w:rtl/>
          <w:cs/>
        </w:rPr>
        <w:t xml:space="preserve"> هذا الوجه و</w:t>
      </w:r>
      <w:r>
        <w:rPr>
          <w:rFonts w:cs="Times New Roman"/>
          <w:b/>
          <w:bCs/>
          <w:rtl/>
          <w:lang w:val="ar-SA"/>
        </w:rPr>
        <w:t>إن</w:t>
      </w:r>
      <w:r>
        <w:rPr>
          <w:rFonts w:cs="Times New Roman"/>
          <w:b/>
          <w:bCs/>
          <w:rtl/>
          <w:cs/>
        </w:rPr>
        <w:t xml:space="preserve"> كان </w:t>
      </w:r>
      <w:r w:rsidR="000F6032">
        <w:rPr>
          <w:rFonts w:cs="Times New Roman"/>
          <w:b/>
          <w:bCs/>
          <w:rtl/>
          <w:cs/>
        </w:rPr>
        <w:t xml:space="preserve">لطيفاً </w:t>
      </w:r>
      <w:r>
        <w:rPr>
          <w:rFonts w:cs="Times New Roman"/>
          <w:b/>
          <w:bCs/>
          <w:rtl/>
          <w:cs/>
        </w:rPr>
        <w:t xml:space="preserve">في نفسه إلّا انه يرد عليه </w:t>
      </w:r>
      <w:r>
        <w:rPr>
          <w:rFonts w:cs="Times New Roman"/>
          <w:b/>
          <w:bCs/>
          <w:rtl/>
          <w:lang w:val="ar-SA"/>
        </w:rPr>
        <w:t>أنه</w:t>
      </w:r>
      <w:r>
        <w:rPr>
          <w:rFonts w:cs="Times New Roman"/>
          <w:b/>
          <w:bCs/>
          <w:rtl/>
          <w:cs/>
        </w:rPr>
        <w:t xml:space="preserve"> لو فرضنا ولو </w:t>
      </w:r>
      <w:r w:rsidR="0017596F">
        <w:rPr>
          <w:rFonts w:cs="Times New Roman"/>
          <w:b/>
          <w:bCs/>
          <w:rtl/>
          <w:cs/>
        </w:rPr>
        <w:t xml:space="preserve">محالاً </w:t>
      </w:r>
      <w:r>
        <w:rPr>
          <w:rFonts w:cs="Times New Roman"/>
          <w:b/>
          <w:bCs/>
          <w:rtl/>
          <w:cs/>
        </w:rPr>
        <w:t>انفكاك ذاك العنوان عن أحد الدواعي وبالعكس فلا بد</w:t>
      </w:r>
      <w:bookmarkStart w:id="0" w:name="_GoBack"/>
      <w:bookmarkEnd w:id="0"/>
      <w:r>
        <w:rPr>
          <w:rFonts w:cs="Times New Roman"/>
          <w:b/>
          <w:bCs/>
          <w:rtl/>
          <w:cs/>
        </w:rPr>
        <w:t xml:space="preserve"> </w:t>
      </w:r>
      <w:r>
        <w:rPr>
          <w:rFonts w:cs="Times New Roman"/>
          <w:b/>
          <w:bCs/>
          <w:rtl/>
          <w:lang w:val="ar-SA"/>
        </w:rPr>
        <w:t>وأن</w:t>
      </w:r>
      <w:r>
        <w:rPr>
          <w:rFonts w:cs="Times New Roman"/>
          <w:b/>
          <w:bCs/>
          <w:rtl/>
          <w:cs/>
        </w:rPr>
        <w:t xml:space="preserve"> تكون العبادة </w:t>
      </w:r>
      <w:r w:rsidR="000F6032">
        <w:rPr>
          <w:rFonts w:cs="Times New Roman"/>
          <w:b/>
          <w:bCs/>
          <w:rtl/>
          <w:cs/>
        </w:rPr>
        <w:t xml:space="preserve">صحيحةً </w:t>
      </w:r>
      <w:r>
        <w:rPr>
          <w:rFonts w:cs="Times New Roman"/>
          <w:b/>
          <w:bCs/>
          <w:rtl/>
          <w:cs/>
        </w:rPr>
        <w:t xml:space="preserve">على الأول دون الثاني مع </w:t>
      </w:r>
      <w:r>
        <w:rPr>
          <w:rFonts w:cs="Times New Roman"/>
          <w:b/>
          <w:bCs/>
          <w:rtl/>
          <w:lang w:val="ar-SA"/>
        </w:rPr>
        <w:t>أنه</w:t>
      </w:r>
      <w:r>
        <w:rPr>
          <w:rFonts w:cs="Times New Roman"/>
          <w:b/>
          <w:bCs/>
          <w:rtl/>
          <w:cs/>
        </w:rPr>
        <w:t xml:space="preserve"> لا يلتزم به فقيه </w:t>
      </w:r>
      <w:r w:rsidR="000F6032">
        <w:rPr>
          <w:rFonts w:cs="Times New Roman"/>
          <w:b/>
          <w:bCs/>
          <w:rtl/>
          <w:cs/>
        </w:rPr>
        <w:t xml:space="preserve">قطعاً </w:t>
      </w:r>
      <w:r>
        <w:rPr>
          <w:rFonts w:cs="Times New Roman"/>
          <w:b/>
          <w:bCs/>
          <w:rtl/>
          <w:cs/>
        </w:rPr>
        <w:t xml:space="preserve"> </w:t>
      </w:r>
      <w:r>
        <w:rPr>
          <w:rFonts w:cs="Times New Roman"/>
          <w:b/>
          <w:bCs/>
          <w:rtl/>
          <w:cs/>
        </w:rPr>
        <w:lastRenderedPageBreak/>
        <w:t>لبداهة صحة العمل مع الداعي القربي قطعاً و</w:t>
      </w:r>
      <w:r>
        <w:rPr>
          <w:rFonts w:cs="Times New Roman"/>
          <w:b/>
          <w:bCs/>
          <w:rtl/>
          <w:lang w:val="ar-SA"/>
        </w:rPr>
        <w:t>إن</w:t>
      </w:r>
      <w:r>
        <w:rPr>
          <w:rFonts w:cs="Times New Roman"/>
          <w:b/>
          <w:bCs/>
          <w:rtl/>
          <w:cs/>
        </w:rPr>
        <w:t xml:space="preserve"> لم يوجد هناك عنوان أصلا وفساده مع عدمه و</w:t>
      </w:r>
      <w:r>
        <w:rPr>
          <w:rFonts w:cs="Times New Roman"/>
          <w:b/>
          <w:bCs/>
          <w:rtl/>
          <w:lang w:val="ar-SA"/>
        </w:rPr>
        <w:t>إن</w:t>
      </w:r>
      <w:r>
        <w:rPr>
          <w:rFonts w:cs="Times New Roman"/>
          <w:b/>
          <w:bCs/>
          <w:rtl/>
          <w:cs/>
        </w:rPr>
        <w:t xml:space="preserve"> وجد ذلك العنوان الثاني</w:t>
      </w:r>
      <w:r>
        <w:rPr>
          <w:rFonts w:ascii="Al Nile" w:hAnsi="Al Nile"/>
          <w:b/>
          <w:bCs/>
          <w:rtl/>
          <w:lang w:val="ar-SA"/>
        </w:rPr>
        <w:t>.)</w:t>
      </w:r>
      <w:r>
        <w:rPr>
          <w:rFonts w:ascii="Al Nile" w:eastAsia="Al Nile" w:hAnsi="Al Nile" w:cs="Al Nile"/>
          <w:vertAlign w:val="superscript"/>
        </w:rPr>
        <w:footnoteReference w:id="3"/>
      </w:r>
    </w:p>
    <w:p w:rsidR="009273D7" w:rsidRDefault="00F663D7" w:rsidP="0017596F">
      <w:pPr>
        <w:pStyle w:val="a5"/>
        <w:rPr>
          <w:rFonts w:hint="default"/>
        </w:rPr>
      </w:pPr>
      <w:r>
        <w:rPr>
          <w:rFonts w:cs="Times New Roman"/>
          <w:rtl/>
          <w:lang w:val="ar-SA"/>
        </w:rPr>
        <w:t xml:space="preserve">أجاب السيد الخوئي قدس سره بأنه </w:t>
      </w:r>
      <w:r>
        <w:rPr>
          <w:rFonts w:ascii="Al Nile" w:hAnsi="Al Nile"/>
          <w:rtl/>
          <w:lang w:val="ar-SA"/>
        </w:rPr>
        <w:t xml:space="preserve">- </w:t>
      </w:r>
      <w:r>
        <w:rPr>
          <w:rFonts w:cs="Times New Roman"/>
          <w:rtl/>
          <w:lang w:val="ar-SA"/>
        </w:rPr>
        <w:t xml:space="preserve">بلحاظ أن العنوانين متلازمان حسب الواقع الخارجي ولا يوجد لهما مادة افتراق والمولى الذي يأخذ أحدهما في المتعلق يعلم بتلازمهما وعدم انفكاكهما خارجاً </w:t>
      </w:r>
      <w:r>
        <w:rPr>
          <w:rFonts w:ascii="Al Nile" w:hAnsi="Al Nile"/>
          <w:rtl/>
          <w:lang w:val="ar-SA"/>
        </w:rPr>
        <w:t xml:space="preserve">- </w:t>
      </w:r>
      <w:r>
        <w:rPr>
          <w:rFonts w:cs="Times New Roman"/>
          <w:rtl/>
          <w:lang w:val="ar-SA"/>
        </w:rPr>
        <w:t xml:space="preserve">مجرد فرض انفكاكهما محالاً لا يضرّ بصحة الجعل لأن المولى يجعل </w:t>
      </w:r>
      <w:r w:rsidR="00C62B87">
        <w:rPr>
          <w:rFonts w:cs="Times New Roman"/>
          <w:rtl/>
          <w:lang w:val="ar-SA"/>
        </w:rPr>
        <w:t xml:space="preserve">الحکم </w:t>
      </w:r>
      <w:r>
        <w:rPr>
          <w:rFonts w:cs="Times New Roman"/>
          <w:rtl/>
          <w:lang w:val="ar-SA"/>
        </w:rPr>
        <w:t>حسب ما يتحقق في الخارج ليحصّل غرضه</w:t>
      </w:r>
      <w:r w:rsidR="00C62B87">
        <w:rPr>
          <w:rFonts w:cs="Times New Roman"/>
          <w:rtl/>
          <w:lang w:val="ar-SA"/>
        </w:rPr>
        <w:t xml:space="preserve"> لا حسب الفرض الذي لاواقع له </w:t>
      </w:r>
      <w:r>
        <w:rPr>
          <w:rFonts w:cs="Times New Roman"/>
          <w:rtl/>
          <w:lang w:val="ar-SA"/>
        </w:rPr>
        <w:t>فيمكنه أخذ عنوان عدم الداعي النفساني وبذلك ي</w:t>
      </w:r>
      <w:r w:rsidR="00C62B87">
        <w:rPr>
          <w:rFonts w:cs="Times New Roman"/>
          <w:rtl/>
          <w:lang w:val="ar-SA"/>
        </w:rPr>
        <w:t>ح</w:t>
      </w:r>
      <w:r>
        <w:rPr>
          <w:rFonts w:cs="Times New Roman"/>
          <w:rtl/>
          <w:lang w:val="ar-SA"/>
        </w:rPr>
        <w:t xml:space="preserve">صل </w:t>
      </w:r>
      <w:r w:rsidR="00C62B87">
        <w:rPr>
          <w:rFonts w:cs="Times New Roman"/>
          <w:rtl/>
          <w:lang w:val="ar-SA"/>
        </w:rPr>
        <w:t>علی</w:t>
      </w:r>
      <w:r>
        <w:rPr>
          <w:rFonts w:cs="Times New Roman"/>
          <w:rtl/>
          <w:lang w:val="ar-SA"/>
        </w:rPr>
        <w:t xml:space="preserve"> غرضه وهو سوق المكلف نحو العمل بالداعي القربي</w:t>
      </w:r>
      <w:r>
        <w:rPr>
          <w:rFonts w:ascii="Al Nile" w:hAnsi="Al Nile"/>
          <w:rtl/>
          <w:lang w:val="ar-SA"/>
        </w:rPr>
        <w:t>.</w:t>
      </w:r>
    </w:p>
    <w:p w:rsidR="009273D7" w:rsidRDefault="00F663D7">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9273D7">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3DF" w:rsidRDefault="00E973DF">
      <w:r>
        <w:separator/>
      </w:r>
    </w:p>
  </w:endnote>
  <w:endnote w:type="continuationSeparator" w:id="0">
    <w:p w:rsidR="00E973DF" w:rsidRDefault="00E9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Cambria"/>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3D7" w:rsidRDefault="00F663D7">
    <w:pPr>
      <w:pStyle w:val="a4"/>
      <w:jc w:val="center"/>
    </w:pPr>
    <w:r>
      <w:fldChar w:fldCharType="begin"/>
    </w:r>
    <w:r>
      <w:instrText xml:space="preserve"> PAGE </w:instrText>
    </w:r>
    <w:r>
      <w:fldChar w:fldCharType="separate"/>
    </w:r>
    <w:r w:rsidR="0017596F">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3DF" w:rsidRDefault="00E973DF">
      <w:r>
        <w:separator/>
      </w:r>
    </w:p>
  </w:footnote>
  <w:footnote w:type="continuationSeparator" w:id="0">
    <w:p w:rsidR="00E973DF" w:rsidRDefault="00E973DF">
      <w:r>
        <w:continuationSeparator/>
      </w:r>
    </w:p>
  </w:footnote>
  <w:footnote w:type="continuationNotice" w:id="1">
    <w:p w:rsidR="00E973DF" w:rsidRDefault="00E973DF"/>
  </w:footnote>
  <w:footnote w:id="2">
    <w:p w:rsidR="009273D7" w:rsidRDefault="00F663D7">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درر الفوائد، ص٥٠ و ٥١</w:t>
      </w:r>
    </w:p>
  </w:footnote>
  <w:footnote w:id="3">
    <w:p w:rsidR="009273D7" w:rsidRDefault="00F663D7">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أجود التقريرات، ج١، ص١١١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3D7" w:rsidRDefault="009273D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273D7"/>
    <w:rsid w:val="000F6032"/>
    <w:rsid w:val="0017596F"/>
    <w:rsid w:val="00784D26"/>
    <w:rsid w:val="009273D7"/>
    <w:rsid w:val="00AF22BE"/>
    <w:rsid w:val="00C62B87"/>
    <w:rsid w:val="00E973DF"/>
    <w:rsid w:val="00F66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1063</Words>
  <Characters>6064</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3</cp:revision>
  <dcterms:created xsi:type="dcterms:W3CDTF">2022-12-15T18:43:00Z</dcterms:created>
  <dcterms:modified xsi:type="dcterms:W3CDTF">2022-12-15T19:26:00Z</dcterms:modified>
</cp:coreProperties>
</file>