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10F" w:rsidRDefault="0021306D">
      <w:pPr>
        <w:pStyle w:val="a5"/>
        <w:jc w:val="center"/>
        <w:rPr>
          <w:rFonts w:hint="default"/>
        </w:rPr>
      </w:pPr>
      <w:r>
        <w:rPr>
          <w:rFonts w:cs="Times New Roman"/>
          <w:rtl/>
          <w:lang w:val="ar-SA"/>
        </w:rPr>
        <w:t xml:space="preserve">الأصول </w:t>
      </w:r>
      <w:r>
        <w:rPr>
          <w:rFonts w:ascii="Al Nile" w:hAnsi="Al Nile"/>
          <w:rtl/>
          <w:lang w:val="ar-SA"/>
        </w:rPr>
        <w:t xml:space="preserve">- </w:t>
      </w:r>
      <w:r>
        <w:rPr>
          <w:rFonts w:cs="Times New Roman"/>
          <w:rtl/>
          <w:lang w:val="ar-SA"/>
        </w:rPr>
        <w:t xml:space="preserve">الدرس ٣٢ </w:t>
      </w:r>
      <w:r>
        <w:rPr>
          <w:rFonts w:ascii="Al Nile" w:hAnsi="Al Nile"/>
          <w:rtl/>
          <w:lang w:val="ar-SA"/>
        </w:rPr>
        <w:t xml:space="preserve">- </w:t>
      </w:r>
      <w:r>
        <w:rPr>
          <w:rFonts w:cs="Times New Roman"/>
          <w:rtl/>
          <w:lang w:val="ar-SA"/>
        </w:rPr>
        <w:t>١٤٠١</w:t>
      </w:r>
      <w:r>
        <w:rPr>
          <w:rFonts w:ascii="Al Nile" w:hAnsi="Al Nile"/>
          <w:rtl/>
          <w:lang w:val="ar-SA"/>
        </w:rPr>
        <w:t>/</w:t>
      </w:r>
      <w:r>
        <w:rPr>
          <w:rFonts w:cs="Times New Roman"/>
          <w:rtl/>
          <w:lang w:val="ar-SA"/>
        </w:rPr>
        <w:t>٨</w:t>
      </w:r>
      <w:r>
        <w:rPr>
          <w:rFonts w:ascii="Al Nile" w:hAnsi="Al Nile"/>
          <w:rtl/>
          <w:lang w:val="ar-SA"/>
        </w:rPr>
        <w:t>/</w:t>
      </w:r>
      <w:r>
        <w:rPr>
          <w:rFonts w:cs="Times New Roman"/>
          <w:rtl/>
          <w:lang w:val="ar-SA"/>
        </w:rPr>
        <w:t>١٠</w:t>
      </w:r>
    </w:p>
    <w:p w:rsidR="005E410F" w:rsidRDefault="0021306D">
      <w:pPr>
        <w:pStyle w:val="a5"/>
        <w:rPr>
          <w:rFonts w:hint="default"/>
        </w:rPr>
      </w:pPr>
      <w:r>
        <w:rPr>
          <w:rFonts w:cs="Times New Roman"/>
          <w:rtl/>
          <w:cs/>
        </w:rPr>
        <w:t>بسم الله الرحمن الرحيم الحمد لله رب العالمين وصلّى الله على محمد وآله الطاهرين ولعنة الله على أعدائهم أجمعين</w:t>
      </w:r>
      <w:r>
        <w:rPr>
          <w:rFonts w:ascii="Al Nile" w:hAnsi="Al Nile"/>
        </w:rPr>
        <w:t>.</w:t>
      </w:r>
    </w:p>
    <w:p w:rsidR="005E410F" w:rsidRDefault="0021306D" w:rsidP="00036ACC">
      <w:pPr>
        <w:pStyle w:val="a5"/>
        <w:rPr>
          <w:rFonts w:hint="default"/>
        </w:rPr>
      </w:pPr>
      <w:r>
        <w:rPr>
          <w:rFonts w:cs="Times New Roman"/>
          <w:rtl/>
          <w:lang w:val="ar-SA"/>
        </w:rPr>
        <w:t>ما زال الكلام في المسألة ال</w:t>
      </w:r>
      <w:r w:rsidR="00036ACC">
        <w:rPr>
          <w:rFonts w:cs="Times New Roman"/>
          <w:rtl/>
          <w:lang w:val="ar-SA"/>
        </w:rPr>
        <w:t>رابع</w:t>
      </w:r>
      <w:r>
        <w:rPr>
          <w:rFonts w:cs="Times New Roman"/>
          <w:rtl/>
          <w:lang w:val="ar-SA"/>
        </w:rPr>
        <w:t>ة من مسائل بحث التعبدية والتوصلية وهي في الشك في التعبدية والتوصلية بمعنى اعتبار قصد</w:t>
      </w:r>
      <w:r>
        <w:rPr>
          <w:rFonts w:cs="Times New Roman"/>
          <w:rtl/>
          <w:lang w:val="ar-SA"/>
        </w:rPr>
        <w:t xml:space="preserve"> القربة في صحة العمل وعدمه</w:t>
      </w:r>
      <w:r>
        <w:rPr>
          <w:rFonts w:ascii="Al Nile" w:hAnsi="Al Nile"/>
          <w:rtl/>
          <w:lang w:val="ar-SA"/>
        </w:rPr>
        <w:t>.</w:t>
      </w:r>
    </w:p>
    <w:p w:rsidR="005E410F" w:rsidRDefault="0021306D">
      <w:pPr>
        <w:pStyle w:val="a5"/>
        <w:rPr>
          <w:rFonts w:hint="default"/>
        </w:rPr>
      </w:pPr>
      <w:r>
        <w:rPr>
          <w:rFonts w:cs="Times New Roman"/>
          <w:rtl/>
          <w:lang w:val="ar-SA"/>
        </w:rPr>
        <w:t xml:space="preserve">قلنا بالتأمل فيما أفاده المحقق الآخوند قدس سره في </w:t>
      </w:r>
      <w:r>
        <w:rPr>
          <w:rFonts w:cs="Times New Roman"/>
          <w:rtl/>
          <w:cs/>
        </w:rPr>
        <w:t xml:space="preserve">المقدمة الثانية </w:t>
      </w:r>
      <w:r>
        <w:rPr>
          <w:rFonts w:ascii="Al Nile" w:hAnsi="Al Nile"/>
        </w:rPr>
        <w:t xml:space="preserve">- </w:t>
      </w:r>
      <w:r>
        <w:rPr>
          <w:rFonts w:cs="Times New Roman"/>
          <w:rtl/>
          <w:cs/>
        </w:rPr>
        <w:t xml:space="preserve">وهي العمدة في هذه المسألة </w:t>
      </w:r>
      <w:r>
        <w:rPr>
          <w:rFonts w:ascii="Al Nile" w:hAnsi="Al Nile"/>
        </w:rPr>
        <w:t>-</w:t>
      </w:r>
      <w:r>
        <w:rPr>
          <w:rFonts w:cs="Times New Roman"/>
          <w:rtl/>
          <w:lang w:val="ar-SA"/>
        </w:rPr>
        <w:t xml:space="preserve"> يتضح أن ما أفاد يرجع إلى خمس نقاط</w:t>
      </w:r>
      <w:r>
        <w:rPr>
          <w:rFonts w:ascii="Al Nile" w:hAnsi="Al Nile"/>
          <w:rtl/>
          <w:lang w:val="ar-SA"/>
        </w:rPr>
        <w:t>:</w:t>
      </w:r>
    </w:p>
    <w:p w:rsidR="005E410F" w:rsidRDefault="0021306D">
      <w:pPr>
        <w:pStyle w:val="a5"/>
        <w:rPr>
          <w:rFonts w:hint="default"/>
        </w:rPr>
      </w:pPr>
      <w:r>
        <w:rPr>
          <w:rFonts w:cs="Times New Roman"/>
          <w:rtl/>
          <w:lang w:val="ar-SA"/>
        </w:rPr>
        <w:t>النقطة الثانية</w:t>
      </w:r>
      <w:r>
        <w:rPr>
          <w:rFonts w:ascii="Al Nile" w:hAnsi="Al Nile"/>
          <w:rtl/>
          <w:lang w:val="ar-SA"/>
        </w:rPr>
        <w:t xml:space="preserve">: </w:t>
      </w:r>
      <w:r>
        <w:rPr>
          <w:rFonts w:cs="Times New Roman"/>
          <w:rtl/>
          <w:cs/>
        </w:rPr>
        <w:t>أن الأمر بالمقيّد لا ينحل إلى أمر بالذات وأمر بالتقيد بالقيد لأن تحليل المقيّد إل</w:t>
      </w:r>
      <w:r>
        <w:rPr>
          <w:rFonts w:cs="Times New Roman"/>
          <w:rtl/>
          <w:cs/>
        </w:rPr>
        <w:t xml:space="preserve">ى الذات والتقيد تحليل عقلي والأجزاء العقلية لا تتصف بالوجوب وعندما لم يكن هناك </w:t>
      </w:r>
      <w:r>
        <w:rPr>
          <w:rFonts w:cs="Times New Roman"/>
          <w:rtl/>
          <w:lang w:val="ar-SA"/>
        </w:rPr>
        <w:t>أمر</w:t>
      </w:r>
      <w:r>
        <w:rPr>
          <w:rFonts w:ascii="Al Nile" w:hAnsi="Al Nile"/>
        </w:rPr>
        <w:t xml:space="preserve"> </w:t>
      </w:r>
      <w:r>
        <w:rPr>
          <w:rFonts w:cs="Times New Roman"/>
          <w:rtl/>
          <w:lang w:val="ar-SA"/>
        </w:rPr>
        <w:t>بالذات</w:t>
      </w:r>
      <w:r>
        <w:rPr>
          <w:rFonts w:cs="Times New Roman"/>
          <w:rtl/>
          <w:cs/>
        </w:rPr>
        <w:t xml:space="preserve"> لا يمكن </w:t>
      </w:r>
      <w:r>
        <w:rPr>
          <w:rFonts w:cs="Times New Roman"/>
          <w:rtl/>
          <w:lang w:val="ar-SA"/>
        </w:rPr>
        <w:t>للمكلف في مقام الامتثال أن يأتي بالذات</w:t>
      </w:r>
      <w:r>
        <w:rPr>
          <w:rFonts w:cs="Times New Roman"/>
          <w:rtl/>
          <w:cs/>
        </w:rPr>
        <w:t xml:space="preserve"> بداعي الأمر</w:t>
      </w:r>
      <w:r>
        <w:rPr>
          <w:rFonts w:ascii="Al Nile" w:hAnsi="Al Nile"/>
          <w:rtl/>
          <w:lang w:val="ar-SA"/>
        </w:rPr>
        <w:t>.</w:t>
      </w:r>
    </w:p>
    <w:p w:rsidR="005E410F" w:rsidRDefault="0021306D" w:rsidP="00036ACC">
      <w:pPr>
        <w:pStyle w:val="a5"/>
        <w:rPr>
          <w:rFonts w:hint="default"/>
        </w:rPr>
      </w:pPr>
      <w:r>
        <w:rPr>
          <w:rFonts w:cs="Times New Roman"/>
          <w:rtl/>
          <w:lang w:val="ar-SA"/>
        </w:rPr>
        <w:t xml:space="preserve">أما أن الوجوب لا يتعلق </w:t>
      </w:r>
      <w:r>
        <w:rPr>
          <w:rFonts w:cs="Times New Roman"/>
          <w:rtl/>
          <w:lang w:val="ar-SA"/>
        </w:rPr>
        <w:t xml:space="preserve">بالأجزاء العقلية فوجهه في كلام المحقق المشكيني قدس سره حيث أفاد أن متعلق الطلب </w:t>
      </w:r>
      <w:r>
        <w:rPr>
          <w:rFonts w:cs="Times New Roman"/>
          <w:rtl/>
          <w:lang w:val="ar-SA"/>
        </w:rPr>
        <w:t>دائماً الوجود الخارجي والوجود الخارجي في مورد الأجزاء العقلية وجود واحد تعلق به الأمر لا وجودات متعددة فلا يمكن رفع المحذور في مقام الامتثال بانحلال الأمر</w:t>
      </w:r>
      <w:r>
        <w:rPr>
          <w:rFonts w:ascii="Al Nile" w:hAnsi="Al Nile"/>
          <w:rtl/>
          <w:lang w:val="ar-SA"/>
        </w:rPr>
        <w:t>.</w:t>
      </w:r>
    </w:p>
    <w:p w:rsidR="005E410F" w:rsidRDefault="0021306D">
      <w:pPr>
        <w:pStyle w:val="a5"/>
        <w:rPr>
          <w:rFonts w:hint="default"/>
        </w:rPr>
      </w:pPr>
      <w:r>
        <w:rPr>
          <w:rFonts w:cs="Times New Roman"/>
          <w:rtl/>
          <w:lang w:val="ar-SA"/>
        </w:rPr>
        <w:t>نوقش ما أفاده المحقق الآخوند قدس سره في هذه النقطة بمناقشتين</w:t>
      </w:r>
      <w:r>
        <w:rPr>
          <w:rFonts w:ascii="Al Nile" w:hAnsi="Al Nile"/>
          <w:rtl/>
          <w:lang w:val="ar-SA"/>
        </w:rPr>
        <w:t>:</w:t>
      </w:r>
    </w:p>
    <w:p w:rsidR="005E410F" w:rsidRDefault="0021306D">
      <w:pPr>
        <w:pStyle w:val="a5"/>
        <w:rPr>
          <w:rFonts w:hint="default"/>
        </w:rPr>
      </w:pPr>
      <w:r>
        <w:rPr>
          <w:rFonts w:cs="Times New Roman"/>
          <w:rtl/>
          <w:lang w:val="ar-SA"/>
        </w:rPr>
        <w:t>الأولى</w:t>
      </w:r>
      <w:r>
        <w:rPr>
          <w:rFonts w:ascii="Al Nile" w:hAnsi="Al Nile"/>
          <w:rtl/>
          <w:lang w:val="ar-SA"/>
        </w:rPr>
        <w:t xml:space="preserve">: </w:t>
      </w:r>
      <w:r>
        <w:rPr>
          <w:rFonts w:cs="Times New Roman"/>
          <w:rtl/>
          <w:lang w:val="ar-SA"/>
        </w:rPr>
        <w:t xml:space="preserve">ما أفاده السيد الحكيم قدس سره </w:t>
      </w:r>
      <w:r>
        <w:rPr>
          <w:rFonts w:cs="Times New Roman"/>
          <w:rtl/>
          <w:lang w:val="ar-SA"/>
        </w:rPr>
        <w:t>في الحقائق والسيد البروجردي قدس سره</w:t>
      </w:r>
      <w:r>
        <w:rPr>
          <w:rFonts w:ascii="Al Nile" w:hAnsi="Al Nile"/>
          <w:rtl/>
          <w:lang w:val="ar-SA"/>
        </w:rPr>
        <w:t>.</w:t>
      </w:r>
    </w:p>
    <w:p w:rsidR="005E410F" w:rsidRDefault="0021306D">
      <w:pPr>
        <w:pStyle w:val="a5"/>
        <w:rPr>
          <w:rFonts w:hint="default"/>
        </w:rPr>
      </w:pPr>
      <w:r>
        <w:rPr>
          <w:rFonts w:cs="Times New Roman"/>
          <w:rtl/>
          <w:lang w:val="ar-SA"/>
        </w:rPr>
        <w:t>قال السيد الحكيم قدس سره أنه يكفي لداعوية الأمر إلى الذات أن تكون جزءً تحليلياً عقلياً لمتعلق التكليف ولا يلزم أن يتعلق الأمر حقيقةً بالذات فحتى إن لم يكن هناك انحلال في ناحية الأمر لكن المكلف بإمكانه أن يأتي بالجزء الت</w:t>
      </w:r>
      <w:r>
        <w:rPr>
          <w:rFonts w:cs="Times New Roman"/>
          <w:rtl/>
          <w:lang w:val="ar-SA"/>
        </w:rPr>
        <w:t>حليلي العقلي بداعي الأمر المتعلق بالمأمور به</w:t>
      </w:r>
      <w:r>
        <w:rPr>
          <w:rFonts w:ascii="Al Nile" w:hAnsi="Al Nile"/>
          <w:rtl/>
          <w:lang w:val="ar-SA"/>
        </w:rPr>
        <w:t>.</w:t>
      </w:r>
    </w:p>
    <w:p w:rsidR="005E410F" w:rsidRDefault="0021306D">
      <w:pPr>
        <w:pStyle w:val="a5"/>
        <w:rPr>
          <w:rFonts w:hint="default"/>
        </w:rPr>
      </w:pPr>
      <w:r>
        <w:rPr>
          <w:rFonts w:cs="Times New Roman"/>
          <w:rtl/>
          <w:lang w:val="ar-SA"/>
        </w:rPr>
        <w:t>هذه المناقشة بهذا المقدار قابلة للجواب بأن يقال إن لم تكن الذات متعلقةً للأمر ولا ينحل الأمر إلى الذات كيف يمكن أن يأتي المكلف بالذات بداعي الأمر والحال أن الأمر كما أفاد المحقق الآخوند قدس سره لا يكاد يدعو إلا</w:t>
      </w:r>
      <w:r>
        <w:rPr>
          <w:rFonts w:cs="Times New Roman"/>
          <w:rtl/>
          <w:lang w:val="ar-SA"/>
        </w:rPr>
        <w:t xml:space="preserve"> إلى متعلقه فإن لم تكن الذات متعلقةً للأمر كيف يكون الأمر داعياً إليها؟</w:t>
      </w:r>
    </w:p>
    <w:p w:rsidR="005E410F" w:rsidRDefault="0021306D">
      <w:pPr>
        <w:pStyle w:val="a5"/>
        <w:rPr>
          <w:rFonts w:hint="default"/>
        </w:rPr>
      </w:pPr>
      <w:r>
        <w:rPr>
          <w:rFonts w:cs="Times New Roman"/>
          <w:rtl/>
          <w:lang w:val="ar-SA"/>
        </w:rPr>
        <w:t>لكن أفاد السيد البروجردي قدس سره أن المناقشة واردة ودعوى أن الأمر لا يدعو إلى متعلقه واضحة الفساد ولا دليل عليها فإنا نرى بالوجدان أنه عندما يتعلق أمر بذي المقدمة ويرى المكلف أنه لا يم</w:t>
      </w:r>
      <w:r>
        <w:rPr>
          <w:rFonts w:cs="Times New Roman"/>
          <w:rtl/>
          <w:lang w:val="ar-SA"/>
        </w:rPr>
        <w:t>كن الإتيان به إلا بمقدماتها يتحرك نحو تلك المقدمات وهذا هو داعوية الأمر فيكون الأمر داعياً إلى كل ما له دخل في المتعلق والوجه في ذلك أن المولى عندما يأمر يحكم العقل بلز</w:t>
      </w:r>
      <w:r w:rsidR="00036ACC">
        <w:rPr>
          <w:rFonts w:cs="Times New Roman"/>
          <w:rtl/>
          <w:lang w:val="ar-SA"/>
        </w:rPr>
        <w:t>و</w:t>
      </w:r>
      <w:r>
        <w:rPr>
          <w:rFonts w:cs="Times New Roman"/>
          <w:rtl/>
          <w:lang w:val="ar-SA"/>
        </w:rPr>
        <w:t xml:space="preserve">م إطاعته وتحصيل غرضه ويُستفاد من حكم العقل هذا أن أمر المولى له الداعوية إلى جميع ما له </w:t>
      </w:r>
      <w:r>
        <w:rPr>
          <w:rFonts w:cs="Times New Roman"/>
          <w:rtl/>
          <w:lang w:val="ar-SA"/>
        </w:rPr>
        <w:t>دخل في المتعلق</w:t>
      </w:r>
      <w:r>
        <w:rPr>
          <w:rFonts w:ascii="Al Nile" w:hAnsi="Al Nile"/>
          <w:rtl/>
          <w:lang w:val="ar-SA"/>
        </w:rPr>
        <w:t xml:space="preserve">.    </w:t>
      </w:r>
    </w:p>
    <w:p w:rsidR="005E410F" w:rsidRDefault="0021306D">
      <w:pPr>
        <w:pStyle w:val="a5"/>
        <w:rPr>
          <w:rFonts w:hint="default"/>
        </w:rPr>
      </w:pPr>
      <w:r>
        <w:rPr>
          <w:rFonts w:cs="Times New Roman"/>
          <w:rtl/>
          <w:lang w:val="ar-SA"/>
        </w:rPr>
        <w:t>هذا البيان من السيد البروجردي قدس سره في الحقيقة تثبيت للإشكال المتقدم للسيد الحكيم قدس سره</w:t>
      </w:r>
      <w:r>
        <w:rPr>
          <w:rFonts w:ascii="Al Nile" w:hAnsi="Al Nile"/>
          <w:rtl/>
          <w:lang w:val="ar-SA"/>
        </w:rPr>
        <w:t>.</w:t>
      </w:r>
    </w:p>
    <w:p w:rsidR="005E410F" w:rsidRDefault="0021306D">
      <w:pPr>
        <w:pStyle w:val="a5"/>
        <w:rPr>
          <w:rFonts w:hint="default"/>
        </w:rPr>
      </w:pPr>
      <w:r>
        <w:rPr>
          <w:rFonts w:cs="Times New Roman"/>
          <w:rtl/>
          <w:lang w:val="ar-SA"/>
        </w:rPr>
        <w:lastRenderedPageBreak/>
        <w:t>ولكن يمكن الجواب عن هذا الإشكال بأن قصد الأمر يعني إتيان العمل بداعي أمر المولى بذلك العمل كما ورد في تعقيبات الصلاة المشتركة</w:t>
      </w:r>
      <w:r>
        <w:rPr>
          <w:rFonts w:ascii="Al Nile" w:hAnsi="Al Nile"/>
          <w:rtl/>
          <w:lang w:val="ar-SA"/>
        </w:rPr>
        <w:t>: (</w:t>
      </w:r>
      <w:r>
        <w:rPr>
          <w:rFonts w:cs="Times New Roman"/>
          <w:rtl/>
          <w:lang w:val="ar-SA"/>
        </w:rPr>
        <w:t xml:space="preserve">الهي هذه صلاتي </w:t>
      </w:r>
      <w:r>
        <w:rPr>
          <w:rFonts w:cs="Times New Roman"/>
          <w:rtl/>
          <w:lang w:val="ar-SA"/>
        </w:rPr>
        <w:t>صليتها لا لحاجة منك إليها ولا رغبة منك فيها إلا تعظيماً وطاعةً وإجابةً لك إلى ما أمرتني به</w:t>
      </w:r>
      <w:r>
        <w:rPr>
          <w:rFonts w:ascii="Al Nile" w:hAnsi="Al Nile"/>
          <w:rtl/>
          <w:lang w:val="ar-SA"/>
        </w:rPr>
        <w:t xml:space="preserve">.) </w:t>
      </w:r>
      <w:r>
        <w:rPr>
          <w:rFonts w:cs="Times New Roman"/>
          <w:rtl/>
          <w:lang w:val="ar-SA"/>
        </w:rPr>
        <w:t>وعندما نلاحظ موارد تعلق الأمر نرى أن العقل حاكم بلزوم إتيان المقدمات التي يتوقف علىها الإتيان بالمتعلق هذا لا يُنكر ولكن الانبعاث نحو المقدمات غير أن المكلف في مقا</w:t>
      </w:r>
      <w:r>
        <w:rPr>
          <w:rFonts w:cs="Times New Roman"/>
          <w:rtl/>
          <w:lang w:val="ar-SA"/>
        </w:rPr>
        <w:t>م الامتثال والعمل يأتي بها بداعي الأمر لا تلازم بين الأمرين</w:t>
      </w:r>
      <w:r>
        <w:rPr>
          <w:rFonts w:ascii="Al Nile" w:hAnsi="Al Nile"/>
          <w:rtl/>
          <w:lang w:val="ar-SA"/>
        </w:rPr>
        <w:t>.</w:t>
      </w:r>
    </w:p>
    <w:p w:rsidR="005E410F" w:rsidRDefault="0021306D">
      <w:pPr>
        <w:pStyle w:val="a5"/>
        <w:rPr>
          <w:rFonts w:hint="default"/>
        </w:rPr>
      </w:pPr>
      <w:r>
        <w:rPr>
          <w:rFonts w:cs="Times New Roman"/>
          <w:rtl/>
          <w:lang w:val="ar-SA"/>
        </w:rPr>
        <w:t xml:space="preserve">وما ذكره المحقق الآخوند قدس سره من أن الأمر لا يدعو إلا إلى متعلقه من القضايا التي قياساتها معها فمن أراد أن يأتي بعمل إنما يمكنه نسبة العمل إلى الله تعالى ويقول أن العمل لأجل أمره تعالى إذا كان </w:t>
      </w:r>
      <w:r>
        <w:rPr>
          <w:rFonts w:cs="Times New Roman"/>
          <w:rtl/>
          <w:lang w:val="ar-SA"/>
        </w:rPr>
        <w:t xml:space="preserve">هناك أمر بالعمل وإلا لزم التشريع فقضية </w:t>
      </w:r>
      <w:r>
        <w:rPr>
          <w:rFonts w:ascii="Al Nile" w:hAnsi="Al Nile"/>
          <w:rtl/>
          <w:lang w:val="ar-SA"/>
        </w:rPr>
        <w:t>(</w:t>
      </w:r>
      <w:r>
        <w:rPr>
          <w:rFonts w:cs="Times New Roman"/>
          <w:rtl/>
          <w:lang w:val="ar-SA"/>
        </w:rPr>
        <w:t>الأمر لا يدعو إلا إلى متعلقه</w:t>
      </w:r>
      <w:r>
        <w:rPr>
          <w:rFonts w:ascii="Al Nile" w:hAnsi="Al Nile"/>
          <w:rtl/>
          <w:lang w:val="ar-SA"/>
        </w:rPr>
        <w:t xml:space="preserve">) </w:t>
      </w:r>
      <w:r>
        <w:rPr>
          <w:rFonts w:cs="Times New Roman"/>
          <w:rtl/>
          <w:lang w:val="ar-SA"/>
        </w:rPr>
        <w:t xml:space="preserve">لا يحتاج إلى دليل لكن مع ذلك يمكن أن يستدل لها بأن داعوية شيء لشيء إما ذاتية ولأجل الخصوصيات التكوينية أو جعلية واعتبارية فالقسم الأول </w:t>
      </w:r>
      <w:r>
        <w:rPr>
          <w:rFonts w:ascii="Al Nile" w:hAnsi="Al Nile"/>
          <w:rtl/>
          <w:lang w:val="ar-SA"/>
        </w:rPr>
        <w:t xml:space="preserve">- </w:t>
      </w:r>
      <w:r>
        <w:rPr>
          <w:rFonts w:cs="Times New Roman"/>
          <w:rtl/>
          <w:lang w:val="ar-SA"/>
        </w:rPr>
        <w:t xml:space="preserve">وهو الداعوية الذاتية والتكوينية غير موجود هنا إذ </w:t>
      </w:r>
      <w:r>
        <w:rPr>
          <w:rFonts w:cs="Times New Roman"/>
          <w:rtl/>
          <w:lang w:val="ar-SA"/>
        </w:rPr>
        <w:t>الداعوية المتصورة في مقام العمل ليس إلا بالجعل والاعتبار المتمثل في أمر الشارع ونهيه وعندما تكون الداعوية اعتباريةً تكون بمقدار الاعتبار فإن كان مقدار الاعتبار محدوداً بذات الصلاة تكون الداعوية لذات الصلاة وإن تعلق الأمر بالمقيد بما هو مقيد ولم يسر الأمر ا</w:t>
      </w:r>
      <w:r>
        <w:rPr>
          <w:rFonts w:cs="Times New Roman"/>
          <w:rtl/>
          <w:lang w:val="ar-SA"/>
        </w:rPr>
        <w:t>لاعتباري إلى الذات فلا معنى حينئذٍ لأن يقول المكلف في مقام الامتثال أنه يأتي بذات العمل بداعي الأمر المتعلق بها</w:t>
      </w:r>
      <w:r>
        <w:rPr>
          <w:rFonts w:ascii="Al Nile" w:hAnsi="Al Nile"/>
          <w:rtl/>
          <w:lang w:val="ar-SA"/>
        </w:rPr>
        <w:t>.</w:t>
      </w:r>
    </w:p>
    <w:p w:rsidR="005E410F" w:rsidRDefault="0021306D">
      <w:pPr>
        <w:pStyle w:val="a5"/>
        <w:rPr>
          <w:rFonts w:hint="default"/>
        </w:rPr>
      </w:pPr>
      <w:r>
        <w:rPr>
          <w:rFonts w:cs="Times New Roman"/>
          <w:rtl/>
          <w:lang w:val="ar-SA"/>
        </w:rPr>
        <w:t>المناقشة الثانية</w:t>
      </w:r>
      <w:r>
        <w:rPr>
          <w:rFonts w:ascii="Al Nile" w:hAnsi="Al Nile"/>
          <w:rtl/>
          <w:lang w:val="ar-SA"/>
        </w:rPr>
        <w:t xml:space="preserve">: </w:t>
      </w:r>
      <w:r>
        <w:rPr>
          <w:rFonts w:cs="Times New Roman"/>
          <w:rtl/>
          <w:lang w:val="ar-SA"/>
        </w:rPr>
        <w:t>أن تحليل الأمر بالمقيد إلى أمر بالذات وأمر بالتقيد ليس عقلياً بل الذات والتقيد حسب الواقع الخارجي وجودان متباينان فالأمر بالم</w:t>
      </w:r>
      <w:r>
        <w:rPr>
          <w:rFonts w:cs="Times New Roman"/>
          <w:rtl/>
          <w:lang w:val="ar-SA"/>
        </w:rPr>
        <w:t xml:space="preserve">قيد كالأمر بالمركب ينبسط </w:t>
      </w:r>
      <w:r w:rsidR="00036ACC">
        <w:rPr>
          <w:rFonts w:cs="Times New Roman"/>
          <w:rtl/>
          <w:lang w:val="ar-SA"/>
        </w:rPr>
        <w:t xml:space="preserve">و ينحلّ </w:t>
      </w:r>
      <w:r>
        <w:rPr>
          <w:rFonts w:cs="Times New Roman"/>
          <w:rtl/>
          <w:lang w:val="ar-SA"/>
        </w:rPr>
        <w:t>إلى الأمر بالذات والأمر بالتقيد</w:t>
      </w:r>
      <w:r>
        <w:rPr>
          <w:rFonts w:ascii="Al Nile" w:hAnsi="Al Nile"/>
          <w:rtl/>
          <w:lang w:val="ar-SA"/>
        </w:rPr>
        <w:t xml:space="preserve">. </w:t>
      </w:r>
    </w:p>
    <w:p w:rsidR="005E410F" w:rsidRDefault="0021306D" w:rsidP="00036ACC">
      <w:pPr>
        <w:pStyle w:val="a5"/>
        <w:rPr>
          <w:rFonts w:hint="default"/>
        </w:rPr>
      </w:pPr>
      <w:r>
        <w:rPr>
          <w:rFonts w:cs="Times New Roman"/>
          <w:rtl/>
          <w:lang w:val="ar-SA"/>
        </w:rPr>
        <w:t>أجاب عنها المحقق الإصفهاني قدس سره بأنا نسلّم أن الذات والتقيد وجود</w:t>
      </w:r>
      <w:r w:rsidR="00036ACC">
        <w:rPr>
          <w:rFonts w:cs="Times New Roman"/>
          <w:rtl/>
          <w:lang w:val="ar-SA"/>
        </w:rPr>
        <w:t>ا</w:t>
      </w:r>
      <w:r>
        <w:rPr>
          <w:rFonts w:cs="Times New Roman"/>
          <w:rtl/>
          <w:lang w:val="ar-SA"/>
        </w:rPr>
        <w:t>ن خارجاً لأنا عندما نلاحظ الصلاة المقيدة بقصد الأمر يكون للصلاة وجود مستقل وهو ذات الصلاة ولتقيدها أيضاً وجود مستقل ووجوده انتزاع</w:t>
      </w:r>
      <w:r>
        <w:rPr>
          <w:rFonts w:cs="Times New Roman"/>
          <w:rtl/>
          <w:lang w:val="ar-SA"/>
        </w:rPr>
        <w:t>ي لكن لا بمعنى أنه مجرد تحليل عقلي بل أصله في الواقعيات فإنا نسلّم أن الذات والتقيد في نفسهما وجودان لكن لابد من ملاحظة أن متعلق الوجوب في مقام تعلق الأمر شيئان أو شيء واحد فلتعيين ذلك لابد من ملاحظة أن الآمر كيف لاحظ الشيئين فقد يلاحظهما الآمر في مقام الأ</w:t>
      </w:r>
      <w:r>
        <w:rPr>
          <w:rFonts w:cs="Times New Roman"/>
          <w:rtl/>
          <w:lang w:val="ar-SA"/>
        </w:rPr>
        <w:t>مر بوجودهما المتعدد يعني يلاحظ وجودين متباينين على ما هما عليه من التعدد ثم يأمر فحينئذٍ ينبسط الأمر عليهما وقد يلاحظهما واحداً فلا ينبسط الأمر</w:t>
      </w:r>
      <w:r>
        <w:rPr>
          <w:rFonts w:ascii="Al Nile" w:hAnsi="Al Nile"/>
          <w:rtl/>
          <w:lang w:val="ar-SA"/>
        </w:rPr>
        <w:t xml:space="preserve">. </w:t>
      </w:r>
      <w:r>
        <w:rPr>
          <w:rFonts w:cs="Times New Roman"/>
          <w:rtl/>
          <w:lang w:val="ar-SA"/>
        </w:rPr>
        <w:t>الفرق بين المركب والمقيد في أن المركب حين تعلق الأمر يلاحظ جزئاه بوجوديهما المتباينين ولكن في المقيد يلاحظ الوج</w:t>
      </w:r>
      <w:r>
        <w:rPr>
          <w:rFonts w:cs="Times New Roman"/>
          <w:rtl/>
          <w:lang w:val="ar-SA"/>
        </w:rPr>
        <w:t xml:space="preserve">ودان شيئاً واحداً وعندما </w:t>
      </w:r>
      <w:r w:rsidR="00036ACC">
        <w:rPr>
          <w:rFonts w:cs="Times New Roman"/>
          <w:rtl/>
          <w:lang w:val="ar-SA"/>
        </w:rPr>
        <w:t xml:space="preserve">کان الملحوظ </w:t>
      </w:r>
      <w:r>
        <w:rPr>
          <w:rFonts w:cs="Times New Roman"/>
          <w:rtl/>
          <w:lang w:val="ar-SA"/>
        </w:rPr>
        <w:t>في مقام الأمر شيء واحد فلا يتعلق أمر حقيقي بالذات فيعود إشكال المحقق الآخوند قدس سره بأنه لا ي</w:t>
      </w:r>
      <w:r w:rsidR="00036ACC">
        <w:rPr>
          <w:rFonts w:cs="Times New Roman"/>
          <w:rtl/>
          <w:lang w:val="ar-SA"/>
        </w:rPr>
        <w:t>حصل</w:t>
      </w:r>
      <w:r>
        <w:rPr>
          <w:rFonts w:cs="Times New Roman"/>
          <w:rtl/>
          <w:lang w:val="ar-SA"/>
        </w:rPr>
        <w:t xml:space="preserve"> بالتحليل العقلي </w:t>
      </w:r>
      <w:r>
        <w:rPr>
          <w:rFonts w:cs="Times New Roman"/>
          <w:rtl/>
          <w:lang w:val="ar-SA"/>
        </w:rPr>
        <w:t>أمر بالذات</w:t>
      </w:r>
      <w:r w:rsidR="00036ACC">
        <w:rPr>
          <w:rFonts w:cs="Times New Roman"/>
          <w:rtl/>
          <w:lang w:val="ar-SA"/>
        </w:rPr>
        <w:t xml:space="preserve"> حتی يتمکن المکلف من الاتيان به بداعی الامر المتعلق به </w:t>
      </w:r>
      <w:bookmarkStart w:id="0" w:name="_GoBack"/>
      <w:bookmarkEnd w:id="0"/>
      <w:r>
        <w:rPr>
          <w:rFonts w:ascii="Al Nile" w:hAnsi="Al Nile"/>
          <w:rtl/>
          <w:lang w:val="ar-SA"/>
        </w:rPr>
        <w:t>.</w:t>
      </w:r>
    </w:p>
    <w:p w:rsidR="005E410F" w:rsidRDefault="0021306D">
      <w:pPr>
        <w:pStyle w:val="a5"/>
        <w:rPr>
          <w:rFonts w:hint="default"/>
        </w:rPr>
      </w:pPr>
      <w:r>
        <w:rPr>
          <w:rFonts w:cs="Times New Roman"/>
          <w:rtl/>
          <w:lang w:val="ar-SA"/>
        </w:rPr>
        <w:lastRenderedPageBreak/>
        <w:t>فما أفاده المحقق الآخوند قدس سره في النقطة الثانية تام</w:t>
      </w:r>
      <w:r>
        <w:rPr>
          <w:rFonts w:ascii="Al Nile" w:hAnsi="Al Nile"/>
          <w:rtl/>
          <w:lang w:val="ar-SA"/>
        </w:rPr>
        <w:t>.</w:t>
      </w:r>
    </w:p>
    <w:p w:rsidR="005E410F" w:rsidRDefault="0021306D">
      <w:pPr>
        <w:pStyle w:val="a5"/>
        <w:rPr>
          <w:rFonts w:hint="default"/>
        </w:rPr>
      </w:pPr>
      <w:r>
        <w:rPr>
          <w:rFonts w:cs="Times New Roman"/>
          <w:shd w:val="clear" w:color="auto" w:fill="FFFFFF"/>
          <w:rtl/>
          <w:lang w:val="ar-SA"/>
        </w:rPr>
        <w:t>وصلّى الله على محمد وآله الطاهرين</w:t>
      </w:r>
      <w:r>
        <w:rPr>
          <w:rFonts w:ascii="Al Nile" w:hAnsi="Al Nile"/>
          <w:shd w:val="clear" w:color="auto" w:fill="FFFFFF"/>
          <w:rtl/>
          <w:lang w:val="ar-SA"/>
        </w:rPr>
        <w:t>.</w:t>
      </w:r>
    </w:p>
    <w:sectPr w:rsidR="005E410F">
      <w:headerReference w:type="default" r:id="rId7"/>
      <w:footerReference w:type="default" r:id="rId8"/>
      <w:pgSz w:w="11900" w:h="16840"/>
      <w:pgMar w:top="900" w:right="1440" w:bottom="1417" w:left="1440" w:header="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306D" w:rsidRDefault="0021306D">
      <w:r>
        <w:separator/>
      </w:r>
    </w:p>
  </w:endnote>
  <w:endnote w:type="continuationSeparator" w:id="0">
    <w:p w:rsidR="0021306D" w:rsidRDefault="00213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eeza Pro Regular">
    <w:altName w:val="Times New Roman"/>
    <w:charset w:val="00"/>
    <w:family w:val="roman"/>
    <w:pitch w:val="default"/>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410F" w:rsidRDefault="0021306D">
    <w:pPr>
      <w:pStyle w:val="a4"/>
      <w:jc w:val="center"/>
    </w:pPr>
    <w:r>
      <w:fldChar w:fldCharType="begin"/>
    </w:r>
    <w:r>
      <w:instrText xml:space="preserve"> PAGE </w:instrText>
    </w:r>
    <w:r w:rsidR="00036ACC">
      <w:fldChar w:fldCharType="separate"/>
    </w:r>
    <w:r w:rsidR="00036ACC">
      <w:rPr>
        <w:rFonts w:cs="Times New Roman"/>
        <w:noProof/>
        <w:rtl/>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306D" w:rsidRDefault="0021306D">
      <w:r>
        <w:separator/>
      </w:r>
    </w:p>
  </w:footnote>
  <w:footnote w:type="continuationSeparator" w:id="0">
    <w:p w:rsidR="0021306D" w:rsidRDefault="002130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410F" w:rsidRDefault="005E410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5E410F"/>
    <w:rsid w:val="00036ACC"/>
    <w:rsid w:val="0021306D"/>
    <w:rsid w:val="005E410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Geeza Pro Bold"/>
        <a:ea typeface="Geeza Pro Bold"/>
        <a:cs typeface="Geeza Pro Bold"/>
      </a:majorFont>
      <a:minorFont>
        <a:latin typeface="Geeza Pro Regular"/>
        <a:ea typeface="Geeza Pro Regular"/>
        <a:cs typeface="Geeza Pro Regular"/>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696</Words>
  <Characters>3969</Characters>
  <Application>Microsoft Office Word</Application>
  <DocSecurity>0</DocSecurity>
  <Lines>33</Lines>
  <Paragraphs>9</Paragraphs>
  <ScaleCrop>false</ScaleCrop>
  <Company/>
  <LinksUpToDate>false</LinksUpToDate>
  <CharactersWithSpaces>4656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2</cp:revision>
  <dcterms:created xsi:type="dcterms:W3CDTF">2022-12-02T19:42:00Z</dcterms:created>
  <dcterms:modified xsi:type="dcterms:W3CDTF">2022-12-02T19:56:00Z</dcterms:modified>
</cp:coreProperties>
</file>