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3A8" w:rsidRDefault="0050358C">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٤٢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٢٥</w:t>
      </w:r>
    </w:p>
    <w:p w:rsidR="00B673A8" w:rsidRDefault="0050358C">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B673A8" w:rsidRDefault="0050358C">
      <w:pPr>
        <w:pStyle w:val="a5"/>
        <w:rPr>
          <w:rFonts w:hint="default"/>
        </w:rPr>
      </w:pPr>
      <w:r>
        <w:rPr>
          <w:rFonts w:cs="Times New Roman"/>
          <w:rtl/>
          <w:lang w:val="ar-SA"/>
        </w:rPr>
        <w:t>المطلب الثاني</w:t>
      </w:r>
      <w:r>
        <w:rPr>
          <w:rFonts w:ascii="Al Nile" w:hAnsi="Al Nile"/>
          <w:rtl/>
          <w:lang w:val="ar-SA"/>
        </w:rPr>
        <w:t xml:space="preserve">: </w:t>
      </w:r>
      <w:r>
        <w:rPr>
          <w:rFonts w:cs="Times New Roman"/>
          <w:rtl/>
          <w:lang w:val="ar-SA"/>
        </w:rPr>
        <w:t xml:space="preserve">هل يمكن تأسيس قاعدة عامة </w:t>
      </w:r>
      <w:r>
        <w:rPr>
          <w:rFonts w:cs="Times New Roman"/>
          <w:rtl/>
          <w:cs/>
        </w:rPr>
        <w:t xml:space="preserve">بالتمسك بالإطلاقات والعمومات </w:t>
      </w:r>
      <w:r>
        <w:rPr>
          <w:rFonts w:cs="Times New Roman"/>
          <w:rtl/>
          <w:lang w:val="ar-SA"/>
        </w:rPr>
        <w:t xml:space="preserve">وهي أصالة التعبدية في الواجبات بحيث يكون إثبات التوصلية محتاجاً إلى دليل؟  </w:t>
      </w:r>
    </w:p>
    <w:p w:rsidR="00B673A8" w:rsidRDefault="0050358C">
      <w:pPr>
        <w:pStyle w:val="a5"/>
        <w:rPr>
          <w:rFonts w:hint="default"/>
        </w:rPr>
      </w:pPr>
      <w:r>
        <w:rPr>
          <w:rFonts w:cs="Times New Roman"/>
          <w:rtl/>
          <w:lang w:val="ar-SA"/>
        </w:rPr>
        <w:t>لم يتعرض المحقق الآخوند قدس سره لهذا المطلب لكن تعرض له الشيخ الأعظم قدس سره في مطارح الأنظار وبعض المتأخرين كالمحقق النائيني قدس سره</w:t>
      </w:r>
      <w:r>
        <w:rPr>
          <w:rFonts w:ascii="Al Nile" w:hAnsi="Al Nile"/>
          <w:rtl/>
          <w:lang w:val="ar-SA"/>
        </w:rPr>
        <w:t>.</w:t>
      </w:r>
    </w:p>
    <w:p w:rsidR="00B673A8" w:rsidRDefault="0050358C">
      <w:pPr>
        <w:pStyle w:val="a5"/>
        <w:rPr>
          <w:rFonts w:hint="default"/>
        </w:rPr>
      </w:pPr>
      <w:r>
        <w:rPr>
          <w:rFonts w:cs="Times New Roman"/>
          <w:rtl/>
          <w:lang w:val="ar-SA"/>
        </w:rPr>
        <w:t>كما في كلام الشيخ الأعظم والمحقق النائيني قدس</w:t>
      </w:r>
      <w:r>
        <w:rPr>
          <w:rFonts w:cs="Times New Roman"/>
          <w:rtl/>
          <w:lang w:val="ar-SA"/>
        </w:rPr>
        <w:t xml:space="preserve"> سرهما استدل على أصالة التعبدية بوجوه من الآيات والروايات وحكم العقل</w:t>
      </w:r>
      <w:r>
        <w:rPr>
          <w:rFonts w:ascii="Al Nile" w:hAnsi="Al Nile"/>
          <w:rtl/>
          <w:lang w:val="ar-SA"/>
        </w:rPr>
        <w:t>:</w:t>
      </w:r>
    </w:p>
    <w:p w:rsidR="00B673A8" w:rsidRDefault="0050358C">
      <w:pPr>
        <w:pStyle w:val="a5"/>
        <w:rPr>
          <w:rFonts w:hint="default"/>
        </w:rPr>
      </w:pPr>
      <w:r>
        <w:rPr>
          <w:rFonts w:cs="Times New Roman"/>
          <w:rtl/>
          <w:lang w:val="ar-SA"/>
        </w:rPr>
        <w:t>الوجه الأول</w:t>
      </w:r>
      <w:r>
        <w:rPr>
          <w:rFonts w:ascii="Al Nile" w:hAnsi="Al Nile"/>
          <w:rtl/>
          <w:lang w:val="ar-SA"/>
        </w:rPr>
        <w:t xml:space="preserve">: </w:t>
      </w:r>
      <w:r>
        <w:rPr>
          <w:rFonts w:cs="Times New Roman"/>
          <w:rtl/>
          <w:lang w:val="ar-SA"/>
        </w:rPr>
        <w:t xml:space="preserve">آية </w:t>
      </w:r>
      <w:r>
        <w:rPr>
          <w:rFonts w:ascii="Al Nile" w:hAnsi="Al Nile"/>
          <w:b/>
          <w:bCs/>
          <w:rtl/>
          <w:lang w:val="ar-SA"/>
        </w:rPr>
        <w:t>(</w:t>
      </w:r>
      <w:r>
        <w:rPr>
          <w:rFonts w:cs="Times New Roman"/>
          <w:b/>
          <w:bCs/>
          <w:rtl/>
          <w:lang w:val="ar-SA"/>
        </w:rPr>
        <w:t>وما أمروا إلا ليعبدوا الله مخلصين له الدين</w:t>
      </w:r>
      <w:r>
        <w:rPr>
          <w:rFonts w:ascii="Al Nile" w:hAnsi="Al Nile"/>
          <w:b/>
          <w:bCs/>
          <w:rtl/>
          <w:lang w:val="ar-SA"/>
        </w:rPr>
        <w:t>)</w:t>
      </w:r>
    </w:p>
    <w:p w:rsidR="00B673A8" w:rsidRDefault="0050358C">
      <w:pPr>
        <w:pStyle w:val="a5"/>
        <w:rPr>
          <w:rFonts w:hint="default"/>
        </w:rPr>
      </w:pPr>
      <w:r>
        <w:rPr>
          <w:rFonts w:cs="Times New Roman"/>
          <w:rtl/>
          <w:lang w:val="ar-SA"/>
        </w:rPr>
        <w:t>في كلمات الشيخ وصاحب الفصول قدس سرهما أن الاستدلال بهذه الآية بفقرتين وبعبارة أخرى</w:t>
      </w:r>
      <w:r>
        <w:rPr>
          <w:rFonts w:ascii="Al Nile" w:hAnsi="Al Nile"/>
          <w:rtl/>
          <w:lang w:val="ar-SA"/>
        </w:rPr>
        <w:t xml:space="preserve">: </w:t>
      </w:r>
      <w:r>
        <w:rPr>
          <w:rFonts w:cs="Times New Roman"/>
          <w:rtl/>
          <w:lang w:val="ar-SA"/>
        </w:rPr>
        <w:t>للاستدلال بهذه الآية تقريبان</w:t>
      </w:r>
      <w:r>
        <w:rPr>
          <w:rFonts w:ascii="Al Nile" w:hAnsi="Al Nile"/>
          <w:rtl/>
          <w:lang w:val="ar-SA"/>
        </w:rPr>
        <w:t>:</w:t>
      </w:r>
    </w:p>
    <w:p w:rsidR="00B673A8" w:rsidRDefault="0050358C">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 xml:space="preserve">في </w:t>
      </w:r>
      <w:r>
        <w:rPr>
          <w:rFonts w:cs="Times New Roman"/>
          <w:rtl/>
          <w:lang w:val="ar-SA"/>
        </w:rPr>
        <w:t>صدر الآية</w:t>
      </w:r>
      <w:r>
        <w:rPr>
          <w:rFonts w:ascii="Al Nile" w:hAnsi="Al Nile"/>
          <w:rtl/>
          <w:lang w:val="ar-SA"/>
        </w:rPr>
        <w:t>: (</w:t>
      </w:r>
      <w:r>
        <w:rPr>
          <w:rFonts w:cs="Times New Roman"/>
          <w:rtl/>
          <w:lang w:val="ar-SA"/>
        </w:rPr>
        <w:t>وما أمروا إلا ليعبدوا الله</w:t>
      </w:r>
      <w:r>
        <w:rPr>
          <w:rFonts w:ascii="Al Nile" w:hAnsi="Al Nile"/>
          <w:rtl/>
          <w:lang w:val="ar-SA"/>
        </w:rPr>
        <w:t xml:space="preserve">) </w:t>
      </w:r>
      <w:r>
        <w:rPr>
          <w:rFonts w:cs="Times New Roman"/>
          <w:rtl/>
          <w:lang w:val="ar-SA"/>
        </w:rPr>
        <w:t xml:space="preserve">وهذه الفقرة تدل على أن المأمور به منحصر في العبادة والعبادة لا تتحقق إلا بقصد الامتثال وهذا الحكم وإن </w:t>
      </w:r>
      <w:r w:rsidR="00A91B48">
        <w:rPr>
          <w:rFonts w:cs="Times New Roman"/>
          <w:rtl/>
          <w:lang w:val="ar-SA"/>
        </w:rPr>
        <w:t xml:space="preserve">کان </w:t>
      </w:r>
      <w:r>
        <w:rPr>
          <w:rFonts w:cs="Times New Roman"/>
          <w:rtl/>
          <w:lang w:val="ar-SA"/>
        </w:rPr>
        <w:t>حسب الظاهر متوجهاً لأهل الكتاب لكن أحكام الشرائع السابقة تسري إلى هذه الشريعة إما من باب استصحاب أحكام الشرائع الس</w:t>
      </w:r>
      <w:r>
        <w:rPr>
          <w:rFonts w:cs="Times New Roman"/>
          <w:rtl/>
          <w:lang w:val="ar-SA"/>
        </w:rPr>
        <w:t xml:space="preserve">ابقة أو لما في نفس الآية </w:t>
      </w:r>
      <w:r>
        <w:rPr>
          <w:rFonts w:ascii="Al Nile" w:hAnsi="Al Nile"/>
          <w:rtl/>
          <w:lang w:val="ar-SA"/>
        </w:rPr>
        <w:t>(</w:t>
      </w:r>
      <w:r>
        <w:rPr>
          <w:rFonts w:cs="Times New Roman"/>
          <w:rtl/>
          <w:lang w:val="ar-SA"/>
        </w:rPr>
        <w:t>ذلك دين القيمة</w:t>
      </w:r>
      <w:r>
        <w:rPr>
          <w:rFonts w:ascii="Al Nile" w:hAnsi="Al Nile"/>
          <w:rtl/>
          <w:lang w:val="ar-SA"/>
        </w:rPr>
        <w:t xml:space="preserve">) </w:t>
      </w:r>
      <w:r>
        <w:rPr>
          <w:rFonts w:cs="Times New Roman"/>
          <w:rtl/>
          <w:lang w:val="ar-SA"/>
        </w:rPr>
        <w:t>بمعنى أن هذه المسألة لا تختص بشريعة دون أخرى بل مقتضى الدين القيّم</w:t>
      </w:r>
      <w:r>
        <w:rPr>
          <w:rFonts w:ascii="Al Nile" w:hAnsi="Al Nile"/>
          <w:rtl/>
          <w:lang w:val="ar-SA"/>
        </w:rPr>
        <w:t>.</w:t>
      </w:r>
    </w:p>
    <w:p w:rsidR="00B673A8" w:rsidRDefault="0050358C">
      <w:pPr>
        <w:pStyle w:val="a5"/>
        <w:rPr>
          <w:rFonts w:hint="default"/>
        </w:rPr>
      </w:pPr>
      <w:r>
        <w:rPr>
          <w:rFonts w:cs="Times New Roman"/>
          <w:rtl/>
          <w:lang w:val="ar-SA"/>
        </w:rPr>
        <w:t>فتدل هذه الفقرة على أن المأمور به في جميع الشرائع منحصر في العبادة وهي لا تتحقق إلا بقصد الامتثال وعلى هذا الأساس تكون جميع الأوامر الموجودة في شر</w:t>
      </w:r>
      <w:r>
        <w:rPr>
          <w:rFonts w:cs="Times New Roman"/>
          <w:rtl/>
          <w:lang w:val="ar-SA"/>
        </w:rPr>
        <w:t>يعتنا أوامر تعبدية إلا أن يدل دليل على خلافه</w:t>
      </w:r>
      <w:r>
        <w:rPr>
          <w:rFonts w:ascii="Al Nile" w:hAnsi="Al Nile"/>
          <w:rtl/>
          <w:lang w:val="ar-SA"/>
        </w:rPr>
        <w:t>.</w:t>
      </w:r>
    </w:p>
    <w:p w:rsidR="00B673A8" w:rsidRDefault="0050358C">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في ذيل الآية</w:t>
      </w:r>
      <w:r>
        <w:rPr>
          <w:rFonts w:ascii="Al Nile" w:hAnsi="Al Nile"/>
          <w:rtl/>
          <w:lang w:val="ar-SA"/>
        </w:rPr>
        <w:t>: (</w:t>
      </w:r>
      <w:r>
        <w:rPr>
          <w:rFonts w:cs="Times New Roman"/>
          <w:rtl/>
          <w:lang w:val="ar-SA"/>
        </w:rPr>
        <w:t>مخلصين له الدين</w:t>
      </w:r>
      <w:r>
        <w:rPr>
          <w:rFonts w:ascii="Al Nile" w:hAnsi="Al Nile"/>
          <w:rtl/>
          <w:lang w:val="ar-SA"/>
        </w:rPr>
        <w:t xml:space="preserve">) </w:t>
      </w:r>
      <w:r>
        <w:rPr>
          <w:rFonts w:cs="Times New Roman"/>
          <w:rtl/>
          <w:lang w:val="ar-SA"/>
        </w:rPr>
        <w:t xml:space="preserve">وهذه الفقرة تأمرنا بالإخلاص في الدين والدين هو مجموعة الأعمال والعقائد الشرعية والإخلاص في الدين لا يتحقق إلا أن يكون المكلف في مقام العمل قاصداً القربة وامتثال أمر الله </w:t>
      </w:r>
      <w:r>
        <w:rPr>
          <w:rFonts w:cs="Times New Roman"/>
          <w:rtl/>
          <w:lang w:val="ar-SA"/>
        </w:rPr>
        <w:t>تعالى</w:t>
      </w:r>
      <w:r>
        <w:rPr>
          <w:rFonts w:ascii="Al Nile" w:hAnsi="Al Nile"/>
          <w:rtl/>
          <w:lang w:val="ar-SA"/>
        </w:rPr>
        <w:t>.</w:t>
      </w:r>
    </w:p>
    <w:p w:rsidR="00B673A8" w:rsidRDefault="0050358C">
      <w:pPr>
        <w:pStyle w:val="a5"/>
        <w:rPr>
          <w:rFonts w:hint="default"/>
        </w:rPr>
      </w:pPr>
      <w:r>
        <w:rPr>
          <w:rFonts w:cs="Times New Roman"/>
          <w:rtl/>
          <w:lang w:val="ar-SA"/>
        </w:rPr>
        <w:t>ونوقش كلا التقريبين</w:t>
      </w:r>
      <w:r>
        <w:rPr>
          <w:rFonts w:ascii="Al Nile" w:hAnsi="Al Nile"/>
          <w:rtl/>
          <w:lang w:val="ar-SA"/>
        </w:rPr>
        <w:t>:</w:t>
      </w:r>
    </w:p>
    <w:p w:rsidR="00B673A8" w:rsidRDefault="0050358C">
      <w:pPr>
        <w:pStyle w:val="a5"/>
        <w:rPr>
          <w:rFonts w:hint="default"/>
        </w:rPr>
      </w:pPr>
      <w:r>
        <w:rPr>
          <w:rFonts w:cs="Times New Roman"/>
          <w:rtl/>
          <w:lang w:val="ar-SA"/>
        </w:rPr>
        <w:t>ناقش التقريب الأول الشيخ الأعظم قدس سره بمناقشتين وقبِلهما المحقق النائيني والسيد الخوئي وأكثر الأعلام مع تغيير يسير</w:t>
      </w:r>
      <w:r>
        <w:rPr>
          <w:rFonts w:ascii="Al Nile" w:hAnsi="Al Nile"/>
          <w:rtl/>
          <w:lang w:val="ar-SA"/>
        </w:rPr>
        <w:t>:</w:t>
      </w:r>
    </w:p>
    <w:p w:rsidR="00B673A8" w:rsidRDefault="0050358C">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 xml:space="preserve">أن المستفاد من الآية حصر المعبود في الله تعالى لا حصر المأمور به في العبادة يعني أن أهل الكتاب وأهل </w:t>
      </w:r>
      <w:r>
        <w:rPr>
          <w:rFonts w:cs="Times New Roman"/>
          <w:rtl/>
          <w:lang w:val="ar-SA"/>
        </w:rPr>
        <w:t>باقي الشرايع أمروا بعبادة الله تعالى في مقابل عبادة غيره من الأصنام والأوثان لا أن الأوامر الواردة في الشرايع منحصرة في الأمر التعبدي</w:t>
      </w:r>
      <w:r>
        <w:rPr>
          <w:rFonts w:ascii="Al Nile" w:hAnsi="Al Nile"/>
          <w:rtl/>
          <w:lang w:val="ar-SA"/>
        </w:rPr>
        <w:t>.</w:t>
      </w:r>
    </w:p>
    <w:p w:rsidR="00B673A8" w:rsidRDefault="0050358C">
      <w:pPr>
        <w:pStyle w:val="a5"/>
        <w:rPr>
          <w:rFonts w:hint="default"/>
        </w:rPr>
      </w:pPr>
      <w:r>
        <w:rPr>
          <w:rFonts w:cs="Times New Roman"/>
          <w:rtl/>
          <w:lang w:val="ar-SA"/>
        </w:rPr>
        <w:t>أفاد الشيخ قدس سره أن القرينة على هذا المعنى ما في الآيات السابقة حيث قال عزّ من قائل</w:t>
      </w:r>
      <w:r>
        <w:rPr>
          <w:rFonts w:ascii="Al Nile" w:hAnsi="Al Nile"/>
          <w:rtl/>
          <w:lang w:val="ar-SA"/>
        </w:rPr>
        <w:t xml:space="preserve">: </w:t>
      </w:r>
      <w:r>
        <w:rPr>
          <w:rFonts w:ascii="Al Nile" w:hAnsi="Al Nile"/>
          <w:b/>
          <w:bCs/>
          <w:rtl/>
          <w:lang w:val="ar-SA"/>
        </w:rPr>
        <w:t>(</w:t>
      </w:r>
      <w:r>
        <w:rPr>
          <w:rFonts w:cs="Times New Roman"/>
          <w:b/>
          <w:bCs/>
          <w:rtl/>
          <w:lang w:val="ar-SA"/>
        </w:rPr>
        <w:t xml:space="preserve">لم يكن الذين كفروا من أهل الكتاب </w:t>
      </w:r>
      <w:r>
        <w:rPr>
          <w:rFonts w:cs="Times New Roman"/>
          <w:b/>
          <w:bCs/>
          <w:rtl/>
          <w:lang w:val="ar-SA"/>
        </w:rPr>
        <w:t xml:space="preserve">والمشركين منفكّين حتى تأتيهم البينة رسول من الله يتلو صحفاً مطهّرة </w:t>
      </w:r>
      <w:r>
        <w:rPr>
          <w:rFonts w:ascii="Al Nile" w:hAnsi="Al Nile" w:hint="default"/>
          <w:b/>
          <w:bCs/>
          <w:rtl/>
          <w:lang w:val="ar-SA"/>
        </w:rPr>
        <w:t>…</w:t>
      </w:r>
      <w:r>
        <w:rPr>
          <w:rFonts w:ascii="Al Nile" w:hAnsi="Al Nile"/>
          <w:b/>
          <w:bCs/>
          <w:rtl/>
          <w:lang w:val="ar-SA"/>
        </w:rPr>
        <w:t>)</w:t>
      </w:r>
      <w:r>
        <w:rPr>
          <w:rFonts w:cs="Times New Roman"/>
          <w:rtl/>
          <w:lang w:val="ar-SA"/>
        </w:rPr>
        <w:t xml:space="preserve">  تدل هذه الآيات على أن أهل الكتاب والمشركين لم يزالوا في حال الكفر والضلال وعبادة الأوثان وغير منفكين </w:t>
      </w:r>
      <w:r>
        <w:rPr>
          <w:rFonts w:cs="Times New Roman"/>
          <w:rtl/>
          <w:lang w:val="ar-SA"/>
        </w:rPr>
        <w:lastRenderedPageBreak/>
        <w:t>عنها حتى جائتهم البينة وهي رسول الله صلى الله عليه وآله والحال أنهم ما أمروا إلا ليع</w:t>
      </w:r>
      <w:r>
        <w:rPr>
          <w:rFonts w:cs="Times New Roman"/>
          <w:rtl/>
          <w:lang w:val="ar-SA"/>
        </w:rPr>
        <w:t>بدوا الله دون غيره لكن كانوا في طريق الكفر والضلال فمفاد الآية حصر المعبود في الله تعالى لا حصر الأوامر في الأمر العبادي</w:t>
      </w:r>
      <w:r>
        <w:rPr>
          <w:rFonts w:ascii="Al Nile" w:hAnsi="Al Nile"/>
          <w:rtl/>
          <w:lang w:val="ar-SA"/>
        </w:rPr>
        <w:t xml:space="preserve">. </w:t>
      </w:r>
    </w:p>
    <w:p w:rsidR="00B673A8" w:rsidRDefault="0050358C" w:rsidP="00A91B48">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لو رفعنا اليد عن قرينية الآيات السابقة وقلنا بأن الآية في نفسها ظاهرة في أن الأوامر الشرعية منحصرة في أوامر تعبدية لكن لا يم</w:t>
      </w:r>
      <w:r>
        <w:rPr>
          <w:rFonts w:cs="Times New Roman"/>
          <w:rtl/>
          <w:lang w:val="ar-SA"/>
        </w:rPr>
        <w:t>كن الأخذ بهذا الظهور ولابد من حمله على الاستحباب لأنه إن كان المراد كون جميع الأوامر في الشريعة أوامر بالعبادة والعمل بقصد القربة يلزم من ذلك تخصيص الأكثر المستهجن عرفاً ولا يمكن الالتزام به لأن أكثر الواجبات في الشريعة توصلية والواجبات التعبدية قليلة فإذا</w:t>
      </w:r>
      <w:r>
        <w:rPr>
          <w:rFonts w:cs="Times New Roman"/>
          <w:rtl/>
          <w:lang w:val="ar-SA"/>
        </w:rPr>
        <w:t xml:space="preserve"> كان ظ</w:t>
      </w:r>
      <w:r w:rsidR="00A91B48">
        <w:rPr>
          <w:rFonts w:cs="Times New Roman"/>
          <w:rtl/>
          <w:lang w:val="ar-SA"/>
        </w:rPr>
        <w:t>ا</w:t>
      </w:r>
      <w:r>
        <w:rPr>
          <w:rFonts w:cs="Times New Roman"/>
          <w:rtl/>
          <w:lang w:val="ar-SA"/>
        </w:rPr>
        <w:t>ه</w:t>
      </w:r>
      <w:r>
        <w:rPr>
          <w:rFonts w:cs="Times New Roman"/>
          <w:rtl/>
          <w:lang w:val="ar-SA"/>
        </w:rPr>
        <w:t>ر الآية حصر الأوامر في الأوامر التعبدية ولزوم قصد القربة لابد من رفع اليد عن هذا الظهور والحمل على الاستحباب يعني الأولى الإتيان بجميع الأوامر حتى التوصليات بقصد القربة والامتثال ليترتب عليها الثواب وأما إذا أتى شخص بالتوصليات بدون قصد القربة لا يح</w:t>
      </w:r>
      <w:r>
        <w:rPr>
          <w:rFonts w:cs="Times New Roman"/>
          <w:rtl/>
          <w:lang w:val="ar-SA"/>
        </w:rPr>
        <w:t>صل على ثواب</w:t>
      </w:r>
      <w:r>
        <w:rPr>
          <w:rFonts w:ascii="Al Nile" w:hAnsi="Al Nile"/>
          <w:rtl/>
          <w:lang w:val="ar-SA"/>
        </w:rPr>
        <w:t xml:space="preserve">. </w:t>
      </w:r>
    </w:p>
    <w:p w:rsidR="00B673A8" w:rsidRDefault="0050358C" w:rsidP="00A91B48">
      <w:pPr>
        <w:pStyle w:val="a5"/>
        <w:rPr>
          <w:rFonts w:hint="default"/>
        </w:rPr>
      </w:pPr>
      <w:r>
        <w:rPr>
          <w:rFonts w:cs="Times New Roman"/>
          <w:rtl/>
          <w:lang w:val="ar-SA"/>
        </w:rPr>
        <w:t>المحقق النائيني والسيد الخوئي قدس سرهما ذكرا المناقشة الأولى كما ذكرها الشيخ قدس سره لكن غيّرا المناقشة الثانية حيث قال الشيخ أنه بعد تسليم ظهور الآية في حصر الأوامر في الأمر التعبدي ل</w:t>
      </w:r>
      <w:r w:rsidR="00A91B48">
        <w:rPr>
          <w:rFonts w:cs="Times New Roman"/>
          <w:rtl/>
          <w:lang w:val="ar-SA"/>
        </w:rPr>
        <w:t>ئ</w:t>
      </w:r>
      <w:r>
        <w:rPr>
          <w:rFonts w:cs="Times New Roman"/>
          <w:rtl/>
          <w:lang w:val="ar-SA"/>
        </w:rPr>
        <w:t>لا يلزم التخصيص المستهجن نحمل الآية على الاستحباب لكن الم</w:t>
      </w:r>
      <w:r>
        <w:rPr>
          <w:rFonts w:cs="Times New Roman"/>
          <w:rtl/>
          <w:lang w:val="ar-SA"/>
        </w:rPr>
        <w:t>حقق النائيني والسيد الخوئي قدس سرهما حملا الآية على حصر المعبود في الله تعالى</w:t>
      </w:r>
      <w:r>
        <w:rPr>
          <w:rFonts w:ascii="Al Nile" w:hAnsi="Al Nile"/>
          <w:rtl/>
          <w:lang w:val="ar-SA"/>
        </w:rPr>
        <w:t>.</w:t>
      </w:r>
    </w:p>
    <w:p w:rsidR="00B673A8" w:rsidRDefault="0050358C">
      <w:pPr>
        <w:pStyle w:val="a5"/>
        <w:rPr>
          <w:rFonts w:hint="default"/>
        </w:rPr>
      </w:pPr>
      <w:r>
        <w:rPr>
          <w:rFonts w:cs="Times New Roman"/>
          <w:rtl/>
          <w:lang w:val="ar-SA"/>
        </w:rPr>
        <w:t>والظاهر تمامية ما أفاده الشيخ قدس سره بلا حاجة إلى هذا التغيير إذ المفروض أن هذه الفقرة تدلّ على أن الناس لابد أن يأتوا بأعمالهم بقصد القربة لأنها متضمنة لحكم ومتعلقه، المتعلق ه</w:t>
      </w:r>
      <w:r>
        <w:rPr>
          <w:rFonts w:cs="Times New Roman"/>
          <w:rtl/>
          <w:lang w:val="ar-SA"/>
        </w:rPr>
        <w:t>و العمل بقصد القربة والحكم الأمر به الظاهر في الوجوب فإن أمكن الالتزام بهذا المعنى وهو وجوب قصد القربة في جميع الأعمال ولم يلزم تخصيص الأكثر التزمنا به وإن لزم هذا المحذور رفعنا اليد عن ظهور الأمر في الوجوب مع الحفاظ على ظهور الآية في ناحية المتعلق ولا وجه</w:t>
      </w:r>
      <w:r>
        <w:rPr>
          <w:rFonts w:cs="Times New Roman"/>
          <w:rtl/>
          <w:lang w:val="ar-SA"/>
        </w:rPr>
        <w:t xml:space="preserve"> لرفع اليد عن هذا الظهور وحمل المتعلق على معنى آخر خلاف ظاهره</w:t>
      </w:r>
      <w:r>
        <w:rPr>
          <w:rFonts w:ascii="Al Nile" w:hAnsi="Al Nile"/>
          <w:rtl/>
          <w:lang w:val="ar-SA"/>
        </w:rPr>
        <w:t xml:space="preserve">.      </w:t>
      </w:r>
    </w:p>
    <w:p w:rsidR="00B673A8" w:rsidRDefault="0050358C">
      <w:pPr>
        <w:pStyle w:val="a5"/>
        <w:rPr>
          <w:rFonts w:hint="default"/>
        </w:rPr>
      </w:pPr>
      <w:r>
        <w:rPr>
          <w:rFonts w:cs="Times New Roman"/>
          <w:rtl/>
          <w:lang w:val="ar-SA"/>
        </w:rPr>
        <w:t xml:space="preserve">وناقش التقريب الثاني أيضاً الشيخ الأعظم قدس سره بأن عنوان الدين له إطلاقات مختلفة فمن معانيه العبادة ومنها الإطاعة ومنها الجزاء كما في </w:t>
      </w:r>
      <w:r>
        <w:rPr>
          <w:rFonts w:ascii="Al Nile" w:hAnsi="Al Nile"/>
          <w:rtl/>
          <w:lang w:val="ar-SA"/>
        </w:rPr>
        <w:t>(</w:t>
      </w:r>
      <w:r>
        <w:rPr>
          <w:rFonts w:cs="Times New Roman"/>
          <w:rtl/>
          <w:lang w:val="ar-SA"/>
        </w:rPr>
        <w:t>يوم الدين</w:t>
      </w:r>
      <w:r>
        <w:rPr>
          <w:rFonts w:ascii="Al Nile" w:hAnsi="Al Nile"/>
          <w:rtl/>
          <w:lang w:val="ar-SA"/>
        </w:rPr>
        <w:t xml:space="preserve">) </w:t>
      </w:r>
      <w:r>
        <w:rPr>
          <w:rFonts w:cs="Times New Roman"/>
          <w:rtl/>
          <w:lang w:val="ar-SA"/>
        </w:rPr>
        <w:t xml:space="preserve">ومنها دين الإسلام والاستدلال بهذه الآية </w:t>
      </w:r>
      <w:r>
        <w:rPr>
          <w:rFonts w:cs="Times New Roman"/>
          <w:rtl/>
          <w:lang w:val="ar-SA"/>
        </w:rPr>
        <w:t>بهذا التقريب لأصالة التعبدية متوقف على أن يكون المقصود بالدين خصوص الأعمال فيكون جميع المؤمنين مأمورين بالإخلاص في أعمالهم فيستفاد اعتبار قصد القربة لكن لا يمكن حمل الدين في الآية على خصوص هذا المعنى لأن الدين له إطلاقات متعددة وهذا المعنى معنى مجازي وخلاف</w:t>
      </w:r>
      <w:r>
        <w:rPr>
          <w:rFonts w:cs="Times New Roman"/>
          <w:rtl/>
          <w:lang w:val="ar-SA"/>
        </w:rPr>
        <w:t xml:space="preserve"> الظاهر فلا يستفاد من الآية اعتبار قصد القربة في الواجبات</w:t>
      </w:r>
      <w:r>
        <w:rPr>
          <w:rFonts w:ascii="Al Nile" w:hAnsi="Al Nile"/>
          <w:rtl/>
          <w:lang w:val="ar-SA"/>
        </w:rPr>
        <w:t>.</w:t>
      </w:r>
    </w:p>
    <w:p w:rsidR="00B673A8" w:rsidRDefault="0050358C" w:rsidP="006F1DED">
      <w:pPr>
        <w:pStyle w:val="a5"/>
        <w:rPr>
          <w:rFonts w:hint="default"/>
        </w:rPr>
      </w:pPr>
      <w:r>
        <w:rPr>
          <w:rFonts w:cs="Times New Roman"/>
          <w:rtl/>
          <w:lang w:val="ar-SA"/>
        </w:rPr>
        <w:t>قد يقال</w:t>
      </w:r>
      <w:r>
        <w:rPr>
          <w:rFonts w:ascii="Al Nile" w:hAnsi="Al Nile"/>
          <w:rtl/>
          <w:lang w:val="ar-SA"/>
        </w:rPr>
        <w:t xml:space="preserve">: </w:t>
      </w:r>
      <w:r>
        <w:rPr>
          <w:rFonts w:cs="Times New Roman"/>
          <w:rtl/>
          <w:lang w:val="ar-SA"/>
        </w:rPr>
        <w:t>لا يتوقف الاستدلال على كون الدين بمعنى خصوص الأعمال بل يمكن أن يكون بمعنى الأعم من الأعمال والعقائد كما تقدم في التقريب لكن أجاب الشيخ قدس سره بأنه لا يتم الاستدلال بمعنى الأعم لأنه لو كان</w:t>
      </w:r>
      <w:r>
        <w:rPr>
          <w:rFonts w:cs="Times New Roman"/>
          <w:rtl/>
          <w:lang w:val="ar-SA"/>
        </w:rPr>
        <w:t xml:space="preserve"> الدين بمعنى الأعم من </w:t>
      </w:r>
      <w:r>
        <w:rPr>
          <w:rFonts w:cs="Times New Roman"/>
          <w:rtl/>
          <w:lang w:val="ar-SA"/>
        </w:rPr>
        <w:lastRenderedPageBreak/>
        <w:t xml:space="preserve">الأعمال والعقائد </w:t>
      </w:r>
      <w:r w:rsidR="006F1DED">
        <w:rPr>
          <w:rFonts w:cs="Times New Roman"/>
          <w:rtl/>
          <w:lang w:val="ar-SA"/>
        </w:rPr>
        <w:t>ف</w:t>
      </w:r>
      <w:r>
        <w:rPr>
          <w:rFonts w:cs="Times New Roman"/>
          <w:rtl/>
          <w:lang w:val="ar-SA"/>
        </w:rPr>
        <w:t xml:space="preserve">الأعمال </w:t>
      </w:r>
      <w:r w:rsidR="006F1DED">
        <w:rPr>
          <w:rFonts w:cs="Times New Roman"/>
          <w:rtl/>
          <w:lang w:val="ar-SA"/>
        </w:rPr>
        <w:t xml:space="preserve">و إن کانت </w:t>
      </w:r>
      <w:r>
        <w:rPr>
          <w:rFonts w:cs="Times New Roman"/>
          <w:rtl/>
          <w:lang w:val="ar-SA"/>
        </w:rPr>
        <w:t xml:space="preserve">قابلةً لأن تكون متعلق الأمر بالإخلاص بمعنى قصد القربة لكن العقائد لا يمكن أن تكون متعلق الأمر بالإخلاص بهذا المعنى بل لابد أن يكون بمعنى نفي الشرك فصحة الاستدلال </w:t>
      </w:r>
      <w:r>
        <w:rPr>
          <w:rFonts w:cs="Times New Roman"/>
          <w:rtl/>
          <w:lang w:val="ar-SA"/>
        </w:rPr>
        <w:t>تتوقف على إرادة خصوص الأعمال من الد</w:t>
      </w:r>
      <w:r>
        <w:rPr>
          <w:rFonts w:cs="Times New Roman"/>
          <w:rtl/>
          <w:lang w:val="ar-SA"/>
        </w:rPr>
        <w:t>ين فيكون الاستعمال مجازياً ولا يمكن الالتزام به إلا مع القرينة</w:t>
      </w:r>
      <w:r>
        <w:rPr>
          <w:rFonts w:ascii="Al Nile" w:hAnsi="Al Nile"/>
          <w:rtl/>
          <w:lang w:val="ar-SA"/>
        </w:rPr>
        <w:t>.</w:t>
      </w:r>
    </w:p>
    <w:p w:rsidR="00B673A8" w:rsidRDefault="0050358C">
      <w:pPr>
        <w:pStyle w:val="a5"/>
        <w:rPr>
          <w:rFonts w:hint="default"/>
          <w:b/>
          <w:bCs/>
        </w:rPr>
      </w:pPr>
      <w:r>
        <w:rPr>
          <w:rFonts w:cs="Times New Roman"/>
          <w:rtl/>
          <w:lang w:val="ar-SA"/>
        </w:rPr>
        <w:t>الوجه الثاني</w:t>
      </w:r>
      <w:r>
        <w:rPr>
          <w:rFonts w:ascii="Al Nile" w:hAnsi="Al Nile"/>
          <w:rtl/>
          <w:lang w:val="ar-SA"/>
        </w:rPr>
        <w:t xml:space="preserve">: </w:t>
      </w:r>
      <w:r>
        <w:rPr>
          <w:rFonts w:cs="Times New Roman"/>
          <w:rtl/>
          <w:lang w:val="ar-SA"/>
        </w:rPr>
        <w:t xml:space="preserve">آية </w:t>
      </w:r>
      <w:r>
        <w:rPr>
          <w:rFonts w:ascii="Al Nile" w:hAnsi="Al Nile"/>
          <w:b/>
          <w:bCs/>
          <w:rtl/>
          <w:lang w:val="ar-SA"/>
        </w:rPr>
        <w:t>(</w:t>
      </w:r>
      <w:r>
        <w:rPr>
          <w:rFonts w:cs="Times New Roman"/>
          <w:b/>
          <w:bCs/>
          <w:rtl/>
          <w:lang w:val="ar-SA"/>
        </w:rPr>
        <w:t>أطيعوا الله وأطيعوا الرسول وأولي الأمر منكم</w:t>
      </w:r>
      <w:r>
        <w:rPr>
          <w:rFonts w:ascii="Al Nile" w:hAnsi="Al Nile"/>
          <w:b/>
          <w:bCs/>
          <w:rtl/>
          <w:lang w:val="ar-SA"/>
        </w:rPr>
        <w:t>)</w:t>
      </w:r>
    </w:p>
    <w:p w:rsidR="00B673A8" w:rsidRDefault="0050358C">
      <w:pPr>
        <w:pStyle w:val="a5"/>
        <w:rPr>
          <w:rFonts w:hint="default"/>
        </w:rPr>
      </w:pPr>
      <w:r>
        <w:rPr>
          <w:rFonts w:cs="Times New Roman"/>
          <w:rtl/>
          <w:lang w:val="ar-SA"/>
        </w:rPr>
        <w:t xml:space="preserve">تقريب الاستدلال بها </w:t>
      </w:r>
      <w:r>
        <w:rPr>
          <w:rFonts w:ascii="Al Nile" w:hAnsi="Al Nile"/>
          <w:rtl/>
          <w:lang w:val="ar-SA"/>
        </w:rPr>
        <w:t xml:space="preserve">- </w:t>
      </w:r>
      <w:r>
        <w:rPr>
          <w:rFonts w:cs="Times New Roman"/>
          <w:rtl/>
          <w:lang w:val="ar-SA"/>
        </w:rPr>
        <w:t xml:space="preserve">كما أفاد الشيخ الأعظم قدس سره </w:t>
      </w:r>
      <w:r>
        <w:rPr>
          <w:rFonts w:ascii="Al Nile" w:hAnsi="Al Nile"/>
          <w:rtl/>
          <w:lang w:val="ar-SA"/>
        </w:rPr>
        <w:t xml:space="preserve">- </w:t>
      </w:r>
      <w:r>
        <w:rPr>
          <w:rFonts w:cs="Times New Roman"/>
          <w:rtl/>
          <w:lang w:val="ar-SA"/>
        </w:rPr>
        <w:t>أنها تأمر المؤمنين بالإطاعة وهي لا تحصل إلا بقصد الامتثال ولا يصدق عنوان ا</w:t>
      </w:r>
      <w:r>
        <w:rPr>
          <w:rFonts w:cs="Times New Roman"/>
          <w:rtl/>
          <w:lang w:val="ar-SA"/>
        </w:rPr>
        <w:t>لإطاعة فيما إذا أتى المكلف بمتعلق الأمر بداعٍ آخر</w:t>
      </w:r>
      <w:r>
        <w:rPr>
          <w:rFonts w:ascii="Al Nile" w:hAnsi="Al Nile"/>
          <w:rtl/>
          <w:lang w:val="ar-SA"/>
        </w:rPr>
        <w:t xml:space="preserve">. </w:t>
      </w:r>
    </w:p>
    <w:p w:rsidR="00B673A8" w:rsidRDefault="0050358C">
      <w:pPr>
        <w:pStyle w:val="a5"/>
        <w:rPr>
          <w:rFonts w:hint="default"/>
        </w:rPr>
      </w:pPr>
      <w:r>
        <w:rPr>
          <w:rFonts w:cs="Times New Roman"/>
          <w:rtl/>
          <w:lang w:val="ar-SA"/>
        </w:rPr>
        <w:t xml:space="preserve">ثم ذكر قدس سره للتوضيح أن الأوامر الأصلية مثل </w:t>
      </w:r>
      <w:r>
        <w:rPr>
          <w:rFonts w:ascii="Al Nile" w:hAnsi="Al Nile"/>
          <w:rtl/>
          <w:lang w:val="ar-SA"/>
        </w:rPr>
        <w:t>(</w:t>
      </w:r>
      <w:r>
        <w:rPr>
          <w:rFonts w:cs="Times New Roman"/>
          <w:rtl/>
          <w:lang w:val="ar-SA"/>
        </w:rPr>
        <w:t>أقيموا الصلاة</w:t>
      </w:r>
      <w:r>
        <w:rPr>
          <w:rFonts w:ascii="Al Nile" w:hAnsi="Al Nile"/>
          <w:rtl/>
          <w:lang w:val="ar-SA"/>
        </w:rPr>
        <w:t xml:space="preserve">) </w:t>
      </w:r>
      <w:r>
        <w:rPr>
          <w:rFonts w:cs="Times New Roman"/>
          <w:rtl/>
          <w:lang w:val="ar-SA"/>
        </w:rPr>
        <w:t>لا دلالة لها على قصد القربة لكن هذه الآية حاكمة عليها وتدل على لزوم قصد القربة في موافقة الأوامر الشرعية كما أن الأوامر الأصلية لا دلالة لها ع</w:t>
      </w:r>
      <w:r>
        <w:rPr>
          <w:rFonts w:cs="Times New Roman"/>
          <w:rtl/>
          <w:lang w:val="ar-SA"/>
        </w:rPr>
        <w:t xml:space="preserve">لى الفور لكن آية </w:t>
      </w:r>
      <w:r>
        <w:rPr>
          <w:rFonts w:ascii="Al Nile" w:hAnsi="Al Nile"/>
          <w:rtl/>
          <w:lang w:val="ar-SA"/>
        </w:rPr>
        <w:t>(</w:t>
      </w:r>
      <w:r>
        <w:rPr>
          <w:rFonts w:cs="Times New Roman"/>
          <w:rtl/>
          <w:lang w:val="ar-SA"/>
        </w:rPr>
        <w:t>سارعوا إلى مغفرة من ربكم</w:t>
      </w:r>
      <w:r>
        <w:rPr>
          <w:rFonts w:ascii="Al Nile" w:hAnsi="Al Nile"/>
          <w:rtl/>
          <w:lang w:val="ar-SA"/>
        </w:rPr>
        <w:t xml:space="preserve">) </w:t>
      </w:r>
      <w:r>
        <w:rPr>
          <w:rFonts w:cs="Times New Roman"/>
          <w:rtl/>
          <w:lang w:val="ar-SA"/>
        </w:rPr>
        <w:t>ناظرة إلى تلك الأوامر وحاكمة عليها</w:t>
      </w:r>
      <w:r>
        <w:rPr>
          <w:rFonts w:ascii="Al Nile" w:hAnsi="Al Nile"/>
          <w:rtl/>
          <w:lang w:val="ar-SA"/>
        </w:rPr>
        <w:t>.</w:t>
      </w:r>
    </w:p>
    <w:p w:rsidR="00B673A8" w:rsidRDefault="0050358C" w:rsidP="006F1DED">
      <w:pPr>
        <w:pStyle w:val="a5"/>
        <w:rPr>
          <w:rFonts w:hint="default"/>
        </w:rPr>
      </w:pPr>
      <w:r>
        <w:rPr>
          <w:rFonts w:cs="Times New Roman"/>
          <w:rtl/>
          <w:lang w:val="ar-SA"/>
        </w:rPr>
        <w:t>ناقش الشيخ قدس سره هذا الوجه بأنا نسلّم أن المراد بالإطاعة أحياناً العمل مع مراعاة قصد القربة لكن يراد بها في كثير من الاستعمالات مجرد موافقة الأمر بلا مدخلية لقصد الأمر و</w:t>
      </w:r>
      <w:r>
        <w:rPr>
          <w:rFonts w:cs="Times New Roman"/>
          <w:rtl/>
          <w:lang w:val="ar-SA"/>
        </w:rPr>
        <w:t>هذ</w:t>
      </w:r>
      <w:r>
        <w:rPr>
          <w:rFonts w:cs="Times New Roman"/>
          <w:rtl/>
          <w:lang w:val="ar-SA"/>
        </w:rPr>
        <w:t xml:space="preserve">ه الآية من هذا القبيل لأن عنوان الإطاعة فيها كما نُسب إلى الله تعالى نُسب إلى رسول الله صلى الله عليه وآله ومن الواضح المراد بإطاعة الرسول ليس الإتيان بالعمل تقرباً إليه حيث لا يوجد مثل ذلك في الشريعة بل لابد من الإتيان بالأعمال بقصد التقرب إلى الله تعالى </w:t>
      </w:r>
      <w:r>
        <w:rPr>
          <w:rFonts w:cs="Times New Roman"/>
          <w:rtl/>
          <w:lang w:val="ar-SA"/>
        </w:rPr>
        <w:t>فالمراد بإطاعة الرسول مطلق الموافقة لأوامره فكذلك المراد بإطاعة الله مطلق الموافقة لأوامره</w:t>
      </w:r>
      <w:r>
        <w:rPr>
          <w:rFonts w:ascii="Al Nile" w:hAnsi="Al Nile"/>
          <w:rtl/>
          <w:lang w:val="ar-SA"/>
        </w:rPr>
        <w:t>.</w:t>
      </w:r>
    </w:p>
    <w:p w:rsidR="00B673A8" w:rsidRDefault="0050358C" w:rsidP="006F1DED">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وليس يجوز أن يكون المراد بها في المقام هو الأوّل</w:t>
      </w:r>
      <w:r>
        <w:rPr>
          <w:b/>
          <w:bCs/>
          <w:cs/>
        </w:rPr>
        <w:t xml:space="preserve">، </w:t>
      </w:r>
      <w:r>
        <w:rPr>
          <w:rFonts w:cs="Times New Roman"/>
          <w:b/>
          <w:bCs/>
          <w:rtl/>
          <w:cs/>
        </w:rPr>
        <w:t xml:space="preserve">إذ على تقديره يلزم أن يكون إطاعة الرسول </w:t>
      </w:r>
      <w:r w:rsidR="006F1DED">
        <w:rPr>
          <w:rFonts w:cs="Times New Roman"/>
          <w:b/>
          <w:bCs/>
          <w:rtl/>
          <w:cs/>
        </w:rPr>
        <w:t xml:space="preserve">واجبةً أيضاً </w:t>
      </w:r>
      <w:r>
        <w:rPr>
          <w:rFonts w:cs="Times New Roman"/>
          <w:b/>
          <w:bCs/>
          <w:rtl/>
          <w:cs/>
        </w:rPr>
        <w:t xml:space="preserve"> بمعنى قصد التقرّب إليه </w:t>
      </w:r>
      <w:r>
        <w:rPr>
          <w:b/>
          <w:bCs/>
          <w:cs/>
        </w:rPr>
        <w:t xml:space="preserve">، </w:t>
      </w:r>
      <w:r>
        <w:rPr>
          <w:rFonts w:cs="Times New Roman"/>
          <w:b/>
          <w:bCs/>
          <w:rtl/>
          <w:cs/>
        </w:rPr>
        <w:t>مع أنّ</w:t>
      </w:r>
      <w:r>
        <w:rPr>
          <w:rFonts w:hint="default"/>
          <w:rtl/>
        </w:rPr>
        <w:t>‏</w:t>
      </w:r>
      <w:r>
        <w:rPr>
          <w:rFonts w:ascii="Al Nile" w:hAnsi="Al Nile"/>
          <w:b/>
          <w:bCs/>
        </w:rPr>
        <w:t xml:space="preserve"> </w:t>
      </w:r>
      <w:r>
        <w:rPr>
          <w:rFonts w:cs="Times New Roman"/>
          <w:b/>
          <w:bCs/>
          <w:rtl/>
          <w:cs/>
        </w:rPr>
        <w:t>الإجماع</w:t>
      </w:r>
      <w:r>
        <w:rPr>
          <w:rFonts w:hint="default"/>
          <w:rtl/>
        </w:rPr>
        <w:t>‏</w:t>
      </w:r>
      <w:r>
        <w:rPr>
          <w:rFonts w:ascii="Al Nile" w:hAnsi="Al Nile"/>
          <w:b/>
          <w:bCs/>
        </w:rPr>
        <w:t xml:space="preserve"> </w:t>
      </w:r>
      <w:r>
        <w:rPr>
          <w:rFonts w:cs="Times New Roman"/>
          <w:b/>
          <w:bCs/>
          <w:rtl/>
          <w:cs/>
        </w:rPr>
        <w:t>قائم</w:t>
      </w:r>
      <w:r>
        <w:rPr>
          <w:rFonts w:hint="default"/>
          <w:rtl/>
        </w:rPr>
        <w:t>‏</w:t>
      </w:r>
      <w:r>
        <w:rPr>
          <w:rFonts w:ascii="Al Nile" w:hAnsi="Al Nile"/>
          <w:b/>
          <w:bCs/>
        </w:rPr>
        <w:t xml:space="preserve"> </w:t>
      </w:r>
      <w:r>
        <w:rPr>
          <w:rFonts w:cs="Times New Roman"/>
          <w:b/>
          <w:bCs/>
          <w:rtl/>
          <w:cs/>
        </w:rPr>
        <w:t>بعدم</w:t>
      </w:r>
      <w:r>
        <w:rPr>
          <w:rFonts w:hint="default"/>
          <w:rtl/>
        </w:rPr>
        <w:t>‏</w:t>
      </w:r>
      <w:r>
        <w:rPr>
          <w:rFonts w:ascii="Al Nile" w:hAnsi="Al Nile"/>
          <w:b/>
          <w:bCs/>
        </w:rPr>
        <w:t xml:space="preserve"> </w:t>
      </w:r>
      <w:r>
        <w:rPr>
          <w:rFonts w:cs="Times New Roman"/>
          <w:b/>
          <w:bCs/>
          <w:rtl/>
          <w:cs/>
        </w:rPr>
        <w:t>وجوب إطاعة الرسول بهذا المعنى</w:t>
      </w:r>
      <w:r>
        <w:rPr>
          <w:b/>
          <w:bCs/>
          <w:cs/>
        </w:rPr>
        <w:t xml:space="preserve">، </w:t>
      </w:r>
      <w:r>
        <w:rPr>
          <w:rFonts w:cs="Times New Roman"/>
          <w:b/>
          <w:bCs/>
          <w:rtl/>
          <w:cs/>
        </w:rPr>
        <w:t>إذ لم يقل بوجوب قصد التقرّب إليه أحد من العلماء</w:t>
      </w:r>
      <w:r>
        <w:rPr>
          <w:b/>
          <w:bCs/>
          <w:cs/>
        </w:rPr>
        <w:t xml:space="preserve">، </w:t>
      </w:r>
      <w:r>
        <w:rPr>
          <w:rFonts w:cs="Times New Roman"/>
          <w:b/>
          <w:bCs/>
          <w:rtl/>
          <w:cs/>
        </w:rPr>
        <w:t xml:space="preserve">و لا يكفي في ذلك أنّ إطاعة </w:t>
      </w:r>
      <w:r>
        <w:rPr>
          <w:rFonts w:cs="Times New Roman"/>
          <w:b/>
          <w:bCs/>
          <w:rtl/>
          <w:lang w:val="ar-SA"/>
        </w:rPr>
        <w:t>الله</w:t>
      </w:r>
      <w:r>
        <w:rPr>
          <w:rFonts w:cs="Times New Roman"/>
          <w:b/>
          <w:bCs/>
          <w:rtl/>
          <w:cs/>
        </w:rPr>
        <w:t xml:space="preserve"> بعينها هي إطاعة الرسول</w:t>
      </w:r>
      <w:r>
        <w:rPr>
          <w:b/>
          <w:bCs/>
          <w:cs/>
        </w:rPr>
        <w:t xml:space="preserve">، </w:t>
      </w:r>
      <w:r>
        <w:rPr>
          <w:rFonts w:cs="Times New Roman"/>
          <w:b/>
          <w:bCs/>
          <w:rtl/>
          <w:cs/>
        </w:rPr>
        <w:t>إذ الظاهر من تكرار الأمر في الآية تكرار المأمور به</w:t>
      </w:r>
      <w:r>
        <w:rPr>
          <w:b/>
          <w:bCs/>
          <w:cs/>
        </w:rPr>
        <w:t xml:space="preserve">، </w:t>
      </w:r>
      <w:r>
        <w:rPr>
          <w:rFonts w:cs="Times New Roman"/>
          <w:b/>
          <w:bCs/>
          <w:rtl/>
          <w:cs/>
        </w:rPr>
        <w:t>ولذلك أوردنا في الاستدلال هذه الآية</w:t>
      </w:r>
      <w:r>
        <w:rPr>
          <w:b/>
          <w:bCs/>
          <w:cs/>
        </w:rPr>
        <w:t xml:space="preserve">، </w:t>
      </w:r>
      <w:r>
        <w:rPr>
          <w:rFonts w:cs="Times New Roman"/>
          <w:b/>
          <w:bCs/>
          <w:rtl/>
          <w:cs/>
        </w:rPr>
        <w:t>مع أنّه يمكن الاستدلال ب</w:t>
      </w:r>
      <w:r>
        <w:rPr>
          <w:rFonts w:cs="Times New Roman"/>
          <w:b/>
          <w:bCs/>
          <w:rtl/>
          <w:cs/>
        </w:rPr>
        <w:t>آية لم يكرّر فيها الإطاعة</w:t>
      </w:r>
      <w:r>
        <w:rPr>
          <w:b/>
          <w:bCs/>
          <w:cs/>
        </w:rPr>
        <w:t xml:space="preserve">، </w:t>
      </w:r>
      <w:r>
        <w:rPr>
          <w:rFonts w:cs="Times New Roman"/>
          <w:b/>
          <w:bCs/>
          <w:rtl/>
          <w:cs/>
        </w:rPr>
        <w:t>فتدبّر</w:t>
      </w:r>
      <w:r>
        <w:rPr>
          <w:rFonts w:ascii="Al Nile" w:hAnsi="Al Nile"/>
          <w:b/>
          <w:bCs/>
        </w:rPr>
        <w:t>.</w:t>
      </w:r>
      <w:r>
        <w:rPr>
          <w:rFonts w:ascii="Al Nile" w:hAnsi="Al Nile"/>
          <w:b/>
          <w:bCs/>
          <w:rtl/>
          <w:lang w:val="ar-SA"/>
        </w:rPr>
        <w:t>)</w:t>
      </w:r>
    </w:p>
    <w:p w:rsidR="00B673A8" w:rsidRDefault="0050358C">
      <w:pPr>
        <w:pStyle w:val="a5"/>
        <w:rPr>
          <w:rFonts w:hint="default"/>
        </w:rPr>
      </w:pPr>
      <w:r>
        <w:rPr>
          <w:rFonts w:cs="Times New Roman"/>
          <w:rtl/>
          <w:lang w:val="ar-SA"/>
        </w:rPr>
        <w:t>المناقشة الثانية</w:t>
      </w:r>
      <w:r>
        <w:rPr>
          <w:rFonts w:ascii="Al Nile" w:hAnsi="Al Nile"/>
          <w:rtl/>
          <w:lang w:val="ar-SA"/>
        </w:rPr>
        <w:t xml:space="preserve">: </w:t>
      </w:r>
      <w:r>
        <w:rPr>
          <w:rFonts w:cs="Times New Roman"/>
          <w:rtl/>
          <w:lang w:val="ar-SA"/>
        </w:rPr>
        <w:t>نفس المناقشة الثانية في الوجه السابق فإن عنوان الإطاعة وإن كان في حد نفسه ظاهراً في موافقة الأمر بقصد الأمر لكن لازم ذلك تخصيص الأكثر المستهجن فنرفع اليد عن هذا الظهور ونحمل الآية على أن المراد موافقة ا</w:t>
      </w:r>
      <w:r>
        <w:rPr>
          <w:rFonts w:cs="Times New Roman"/>
          <w:rtl/>
          <w:lang w:val="ar-SA"/>
        </w:rPr>
        <w:t>لأمر والإتيان بذات المتعلق لا خصوص الإطاعة بقصد الأمر</w:t>
      </w:r>
      <w:r>
        <w:rPr>
          <w:rFonts w:ascii="Al Nile" w:hAnsi="Al Nile"/>
          <w:rtl/>
          <w:lang w:val="ar-SA"/>
        </w:rPr>
        <w:t>.</w:t>
      </w:r>
    </w:p>
    <w:p w:rsidR="00B673A8" w:rsidRDefault="0050358C" w:rsidP="0002246F">
      <w:pPr>
        <w:pStyle w:val="a5"/>
        <w:rPr>
          <w:rFonts w:hint="default"/>
          <w:b/>
          <w:bCs/>
        </w:rPr>
      </w:pP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rtl/>
          <w:cs/>
        </w:rPr>
        <w:t>سلّمنا و لكنّه تخصيص للأكثر على وجه لا يكاد يلتزم به المنصف</w:t>
      </w:r>
      <w:r>
        <w:rPr>
          <w:b/>
          <w:bCs/>
          <w:cs/>
        </w:rPr>
        <w:t xml:space="preserve">، </w:t>
      </w:r>
      <w:r>
        <w:rPr>
          <w:rFonts w:cs="Times New Roman"/>
          <w:b/>
          <w:bCs/>
          <w:rtl/>
          <w:cs/>
        </w:rPr>
        <w:t>فلا بدّ من أن يحمل على المعنى الثاني</w:t>
      </w:r>
      <w:r>
        <w:rPr>
          <w:b/>
          <w:bCs/>
          <w:cs/>
        </w:rPr>
        <w:t xml:space="preserve">، </w:t>
      </w:r>
      <w:r>
        <w:rPr>
          <w:rFonts w:cs="Times New Roman"/>
          <w:b/>
          <w:bCs/>
          <w:rtl/>
          <w:cs/>
        </w:rPr>
        <w:t>كما يشعر بذلك ورودها بهذا المعنى في كثير من الموارد في القرآن الكريم وغيره</w:t>
      </w:r>
      <w:r>
        <w:rPr>
          <w:b/>
          <w:bCs/>
          <w:cs/>
        </w:rPr>
        <w:t xml:space="preserve">، </w:t>
      </w:r>
      <w:r>
        <w:rPr>
          <w:rFonts w:cs="Times New Roman"/>
          <w:b/>
          <w:bCs/>
          <w:rtl/>
          <w:cs/>
        </w:rPr>
        <w:t xml:space="preserve">كما في الأمر بإطاعة </w:t>
      </w:r>
      <w:r>
        <w:rPr>
          <w:rFonts w:cs="Times New Roman"/>
          <w:b/>
          <w:bCs/>
          <w:rtl/>
          <w:cs/>
        </w:rPr>
        <w:t>الوالدين</w:t>
      </w:r>
      <w:r>
        <w:rPr>
          <w:rFonts w:hint="default"/>
          <w:rtl/>
        </w:rPr>
        <w:t>‏</w:t>
      </w:r>
      <w:r>
        <w:rPr>
          <w:rFonts w:cs="Times New Roman"/>
          <w:b/>
          <w:bCs/>
          <w:rtl/>
          <w:cs/>
        </w:rPr>
        <w:t>،</w:t>
      </w:r>
      <w:r w:rsidR="0002246F">
        <w:rPr>
          <w:rFonts w:cs="Times New Roman"/>
          <w:b/>
          <w:bCs/>
          <w:rtl/>
          <w:cs/>
        </w:rPr>
        <w:t>اذ ليس المراد بها فيه الا مجرد عدم المخالفة</w:t>
      </w:r>
      <w:r>
        <w:rPr>
          <w:rFonts w:ascii="Al Nile" w:hAnsi="Al Nile"/>
          <w:b/>
          <w:bCs/>
        </w:rPr>
        <w:t xml:space="preserve">. </w:t>
      </w:r>
      <w:r>
        <w:rPr>
          <w:rFonts w:cs="Times New Roman"/>
          <w:b/>
          <w:bCs/>
          <w:rtl/>
          <w:cs/>
        </w:rPr>
        <w:t>وكما في قوله تعالى</w:t>
      </w:r>
      <w:r>
        <w:rPr>
          <w:rFonts w:ascii="Al Nile" w:hAnsi="Al Nile"/>
          <w:b/>
          <w:bCs/>
        </w:rPr>
        <w:t xml:space="preserve">: </w:t>
      </w:r>
      <w:r>
        <w:rPr>
          <w:rFonts w:cs="Times New Roman"/>
          <w:b/>
          <w:bCs/>
          <w:rtl/>
          <w:cs/>
        </w:rPr>
        <w:t xml:space="preserve">مَنْ يُطِعِ الرَّسُولَ فَقَدْ أَطاعَ </w:t>
      </w:r>
      <w:r>
        <w:rPr>
          <w:rFonts w:cs="Times New Roman"/>
          <w:b/>
          <w:bCs/>
          <w:rtl/>
          <w:lang w:val="ar-SA"/>
        </w:rPr>
        <w:t>الله</w:t>
      </w:r>
      <w:r>
        <w:rPr>
          <w:rFonts w:cs="Times New Roman"/>
          <w:b/>
          <w:bCs/>
          <w:rtl/>
          <w:cs/>
        </w:rPr>
        <w:t xml:space="preserve"> وَمَنْ تَوَلَّى فَما أَرْسَلْناكَ عَلَيْهِمْ حَفِيظاً فإنّ مقابلة التولّي بالإطاعة </w:t>
      </w:r>
      <w:r>
        <w:rPr>
          <w:rFonts w:cs="Times New Roman"/>
          <w:b/>
          <w:bCs/>
          <w:rtl/>
          <w:cs/>
        </w:rPr>
        <w:lastRenderedPageBreak/>
        <w:t>من أقوى الشواهد على أنّ المراد بها في الآية عدم المخا</w:t>
      </w:r>
      <w:r>
        <w:rPr>
          <w:rFonts w:cs="Times New Roman"/>
          <w:b/>
          <w:bCs/>
          <w:rtl/>
          <w:cs/>
        </w:rPr>
        <w:t>لفة</w:t>
      </w:r>
      <w:r>
        <w:rPr>
          <w:b/>
          <w:bCs/>
          <w:cs/>
        </w:rPr>
        <w:t xml:space="preserve">، </w:t>
      </w:r>
      <w:r>
        <w:rPr>
          <w:rFonts w:cs="Times New Roman"/>
          <w:b/>
          <w:bCs/>
          <w:rtl/>
          <w:cs/>
        </w:rPr>
        <w:t>وقوله تعالى</w:t>
      </w:r>
      <w:r>
        <w:rPr>
          <w:rFonts w:ascii="Al Nile" w:hAnsi="Al Nile"/>
          <w:b/>
          <w:bCs/>
        </w:rPr>
        <w:t xml:space="preserve">: </w:t>
      </w:r>
      <w:r>
        <w:rPr>
          <w:rFonts w:cs="Times New Roman"/>
          <w:b/>
          <w:bCs/>
          <w:rtl/>
          <w:cs/>
        </w:rPr>
        <w:t xml:space="preserve">أَطِيعُوا </w:t>
      </w:r>
      <w:r>
        <w:rPr>
          <w:rFonts w:cs="Times New Roman"/>
          <w:b/>
          <w:bCs/>
          <w:rtl/>
          <w:lang w:val="ar-SA"/>
        </w:rPr>
        <w:t>الله</w:t>
      </w:r>
      <w:r>
        <w:rPr>
          <w:rFonts w:cs="Times New Roman"/>
          <w:b/>
          <w:bCs/>
          <w:rtl/>
          <w:cs/>
        </w:rPr>
        <w:t xml:space="preserve"> وَأَطِيعُوا الرَّسُولَ فَإِنْ تَوَلَّوْا فَإِنَّما عَلَيْهِ ما حُمِّلَ وَعَلَيْكُمْ ما حُمِّلْتُمْ وَإِنْ تُطِيعُوهُ تَهْتَدُوا</w:t>
      </w:r>
      <w:r>
        <w:rPr>
          <w:b/>
          <w:bCs/>
          <w:cs/>
        </w:rPr>
        <w:t xml:space="preserve">، </w:t>
      </w:r>
      <w:r>
        <w:rPr>
          <w:rFonts w:cs="Times New Roman"/>
          <w:b/>
          <w:bCs/>
          <w:rtl/>
          <w:cs/>
        </w:rPr>
        <w:t>وقوله</w:t>
      </w:r>
      <w:r>
        <w:rPr>
          <w:rFonts w:ascii="Al Nile" w:hAnsi="Al Nile"/>
          <w:b/>
          <w:bCs/>
        </w:rPr>
        <w:t xml:space="preserve">: </w:t>
      </w:r>
      <w:r>
        <w:rPr>
          <w:rFonts w:cs="Times New Roman"/>
          <w:b/>
          <w:bCs/>
          <w:rtl/>
          <w:cs/>
        </w:rPr>
        <w:t xml:space="preserve">أَطِيعُوا </w:t>
      </w:r>
      <w:r>
        <w:rPr>
          <w:rFonts w:cs="Times New Roman"/>
          <w:b/>
          <w:bCs/>
          <w:rtl/>
          <w:lang w:val="ar-SA"/>
        </w:rPr>
        <w:t>الله</w:t>
      </w:r>
      <w:r>
        <w:rPr>
          <w:rFonts w:cs="Times New Roman"/>
          <w:b/>
          <w:bCs/>
          <w:rtl/>
          <w:cs/>
        </w:rPr>
        <w:t xml:space="preserve"> وَالرَّسُولَ فَإِنْ تَوَلَّوْا فَإِنَّ </w:t>
      </w:r>
      <w:r>
        <w:rPr>
          <w:rFonts w:cs="Times New Roman"/>
          <w:b/>
          <w:bCs/>
          <w:rtl/>
          <w:lang w:val="ar-SA"/>
        </w:rPr>
        <w:t>الله</w:t>
      </w:r>
      <w:r>
        <w:rPr>
          <w:rFonts w:cs="Times New Roman"/>
          <w:b/>
          <w:bCs/>
          <w:rtl/>
          <w:cs/>
        </w:rPr>
        <w:t xml:space="preserve"> لا يُحِبُّ الْكافِرِينَ</w:t>
      </w:r>
      <w:r>
        <w:rPr>
          <w:rFonts w:hint="default"/>
          <w:rtl/>
        </w:rPr>
        <w:t>‏</w:t>
      </w:r>
      <w:r>
        <w:rPr>
          <w:rFonts w:cs="Times New Roman"/>
          <w:b/>
          <w:bCs/>
          <w:rtl/>
          <w:cs/>
        </w:rPr>
        <w:t xml:space="preserve">، </w:t>
      </w:r>
      <w:r>
        <w:rPr>
          <w:b/>
          <w:bCs/>
          <w:cs/>
        </w:rPr>
        <w:t>وف</w:t>
      </w:r>
      <w:r>
        <w:rPr>
          <w:rFonts w:cs="Times New Roman"/>
          <w:b/>
          <w:bCs/>
          <w:rtl/>
          <w:cs/>
        </w:rPr>
        <w:t xml:space="preserve">ي الزيارات </w:t>
      </w:r>
      <w:r>
        <w:rPr>
          <w:rFonts w:ascii="Al Nile" w:hAnsi="Al Nile"/>
          <w:b/>
          <w:bCs/>
        </w:rPr>
        <w:t>"</w:t>
      </w:r>
      <w:r>
        <w:rPr>
          <w:rFonts w:cs="Times New Roman"/>
          <w:b/>
          <w:bCs/>
          <w:rtl/>
          <w:cs/>
        </w:rPr>
        <w:t xml:space="preserve">من أطاعكم فقد أطاع </w:t>
      </w:r>
      <w:r>
        <w:rPr>
          <w:rFonts w:cs="Times New Roman"/>
          <w:b/>
          <w:bCs/>
          <w:rtl/>
          <w:lang w:val="ar-SA"/>
        </w:rPr>
        <w:t>الله</w:t>
      </w:r>
      <w:r>
        <w:rPr>
          <w:rFonts w:cs="Times New Roman"/>
          <w:b/>
          <w:bCs/>
          <w:rtl/>
          <w:cs/>
        </w:rPr>
        <w:t xml:space="preserve"> ومن عصاكم فقد عصى </w:t>
      </w:r>
      <w:r>
        <w:rPr>
          <w:rFonts w:cs="Times New Roman"/>
          <w:b/>
          <w:bCs/>
          <w:rtl/>
          <w:lang w:val="ar-SA"/>
        </w:rPr>
        <w:t>الله</w:t>
      </w:r>
      <w:r>
        <w:rPr>
          <w:rFonts w:ascii="Al Nile" w:hAnsi="Al Nile"/>
          <w:b/>
          <w:bCs/>
        </w:rPr>
        <w:t>"</w:t>
      </w:r>
      <w:r>
        <w:rPr>
          <w:rFonts w:ascii="Al Nile" w:hAnsi="Al Nile"/>
          <w:b/>
          <w:bCs/>
          <w:rtl/>
          <w:lang w:val="ar-SA"/>
        </w:rPr>
        <w:t xml:space="preserve"> </w:t>
      </w:r>
      <w:r>
        <w:rPr>
          <w:rFonts w:cs="Times New Roman"/>
          <w:b/>
          <w:bCs/>
          <w:rtl/>
          <w:cs/>
        </w:rPr>
        <w:t>فإنّ مقابلة العصيان كمقابلة التولّي يؤذن بالمراد منها</w:t>
      </w:r>
      <w:r>
        <w:rPr>
          <w:rFonts w:ascii="Al Nile" w:hAnsi="Al Nile"/>
          <w:b/>
          <w:bCs/>
        </w:rPr>
        <w:t>.</w:t>
      </w:r>
      <w:r>
        <w:rPr>
          <w:rFonts w:ascii="Al Nile" w:hAnsi="Al Nile"/>
          <w:b/>
          <w:bCs/>
          <w:rtl/>
          <w:lang w:val="ar-SA"/>
        </w:rPr>
        <w:t>)</w:t>
      </w:r>
    </w:p>
    <w:p w:rsidR="00B673A8" w:rsidRDefault="0050358C">
      <w:pPr>
        <w:pStyle w:val="a5"/>
        <w:rPr>
          <w:rFonts w:hint="default"/>
        </w:rPr>
      </w:pPr>
      <w:r>
        <w:rPr>
          <w:rFonts w:cs="Times New Roman"/>
          <w:rtl/>
          <w:lang w:val="ar-SA"/>
        </w:rPr>
        <w:t>الوجه الثالث</w:t>
      </w:r>
      <w:r>
        <w:rPr>
          <w:rFonts w:ascii="Al Nile" w:hAnsi="Al Nile"/>
          <w:rtl/>
          <w:lang w:val="ar-SA"/>
        </w:rPr>
        <w:t xml:space="preserve">: </w:t>
      </w:r>
      <w:r>
        <w:rPr>
          <w:rFonts w:cs="Times New Roman"/>
          <w:rtl/>
          <w:lang w:val="ar-SA"/>
        </w:rPr>
        <w:t>الاستدلال بجملة من الروايات أشار الشيخ قدس سره إلى بعضها مثل</w:t>
      </w:r>
      <w:r>
        <w:rPr>
          <w:rFonts w:ascii="Al Nile" w:hAnsi="Al Nile"/>
          <w:rtl/>
          <w:lang w:val="ar-SA"/>
        </w:rPr>
        <w:t xml:space="preserve">: </w:t>
      </w:r>
      <w:r>
        <w:rPr>
          <w:rFonts w:ascii="Al Nile" w:hAnsi="Al Nile"/>
          <w:b/>
          <w:bCs/>
          <w:rtl/>
          <w:lang w:val="ar-SA"/>
        </w:rPr>
        <w:t>(</w:t>
      </w:r>
      <w:r>
        <w:rPr>
          <w:rFonts w:cs="Times New Roman"/>
          <w:b/>
          <w:bCs/>
          <w:rtl/>
          <w:lang w:val="ar-SA"/>
        </w:rPr>
        <w:t>إنما</w:t>
      </w:r>
      <w:r>
        <w:rPr>
          <w:rFonts w:ascii="Al Nile" w:hAnsi="Al Nile"/>
          <w:b/>
          <w:bCs/>
        </w:rPr>
        <w:t xml:space="preserve"> </w:t>
      </w:r>
      <w:r>
        <w:rPr>
          <w:rFonts w:cs="Times New Roman"/>
          <w:b/>
          <w:bCs/>
          <w:rtl/>
          <w:lang w:val="ar-SA"/>
        </w:rPr>
        <w:t>الأعمال</w:t>
      </w:r>
      <w:r>
        <w:rPr>
          <w:rFonts w:ascii="Al Nile" w:hAnsi="Al Nile"/>
          <w:b/>
          <w:bCs/>
        </w:rPr>
        <w:t xml:space="preserve"> </w:t>
      </w:r>
      <w:r>
        <w:rPr>
          <w:rFonts w:cs="Times New Roman"/>
          <w:b/>
          <w:bCs/>
          <w:rtl/>
          <w:lang w:val="ar-SA"/>
        </w:rPr>
        <w:t>بالنيات</w:t>
      </w:r>
      <w:r>
        <w:rPr>
          <w:rFonts w:ascii="Al Nile" w:hAnsi="Al Nile"/>
          <w:b/>
          <w:bCs/>
          <w:rtl/>
          <w:lang w:val="ar-SA"/>
        </w:rPr>
        <w:t>)</w:t>
      </w:r>
      <w:r>
        <w:rPr>
          <w:rFonts w:cs="Times New Roman"/>
          <w:rtl/>
          <w:cs/>
        </w:rPr>
        <w:t xml:space="preserve"> و </w:t>
      </w:r>
      <w:r>
        <w:rPr>
          <w:rFonts w:ascii="Al Nile" w:hAnsi="Al Nile"/>
          <w:b/>
          <w:bCs/>
          <w:rtl/>
          <w:lang w:val="ar-SA"/>
        </w:rPr>
        <w:t>(</w:t>
      </w:r>
      <w:r>
        <w:rPr>
          <w:rFonts w:cs="Times New Roman"/>
          <w:b/>
          <w:bCs/>
          <w:rtl/>
          <w:cs/>
        </w:rPr>
        <w:t xml:space="preserve">لا عمل </w:t>
      </w:r>
      <w:r>
        <w:rPr>
          <w:rFonts w:cs="Times New Roman"/>
          <w:b/>
          <w:bCs/>
          <w:rtl/>
          <w:lang w:val="ar-SA"/>
        </w:rPr>
        <w:t>إلا</w:t>
      </w:r>
      <w:r>
        <w:rPr>
          <w:rFonts w:ascii="Al Nile" w:hAnsi="Al Nile"/>
          <w:b/>
          <w:bCs/>
        </w:rPr>
        <w:t xml:space="preserve"> </w:t>
      </w:r>
      <w:r>
        <w:rPr>
          <w:rFonts w:cs="Times New Roman"/>
          <w:b/>
          <w:bCs/>
          <w:rtl/>
          <w:lang w:val="ar-SA"/>
        </w:rPr>
        <w:t>بالنية</w:t>
      </w:r>
      <w:r>
        <w:rPr>
          <w:rFonts w:ascii="Al Nile" w:hAnsi="Al Nile"/>
          <w:b/>
          <w:bCs/>
          <w:rtl/>
          <w:lang w:val="ar-SA"/>
        </w:rPr>
        <w:t>)</w:t>
      </w:r>
      <w:r>
        <w:rPr>
          <w:rFonts w:cs="Times New Roman"/>
          <w:rtl/>
          <w:cs/>
        </w:rPr>
        <w:t xml:space="preserve"> و </w:t>
      </w:r>
      <w:r>
        <w:rPr>
          <w:rFonts w:ascii="Al Nile" w:hAnsi="Al Nile"/>
          <w:b/>
          <w:bCs/>
          <w:rtl/>
          <w:lang w:val="ar-SA"/>
        </w:rPr>
        <w:t>(</w:t>
      </w:r>
      <w:r>
        <w:rPr>
          <w:rFonts w:cs="Times New Roman"/>
          <w:b/>
          <w:bCs/>
          <w:rtl/>
          <w:lang w:val="ar-SA"/>
        </w:rPr>
        <w:t>لكل</w:t>
      </w:r>
      <w:r>
        <w:rPr>
          <w:rFonts w:ascii="Al Nile" w:hAnsi="Al Nile"/>
          <w:b/>
          <w:bCs/>
        </w:rPr>
        <w:t xml:space="preserve"> </w:t>
      </w:r>
      <w:r>
        <w:rPr>
          <w:rFonts w:cs="Times New Roman"/>
          <w:b/>
          <w:bCs/>
          <w:rtl/>
          <w:lang w:val="ar-SA"/>
        </w:rPr>
        <w:t>امرء</w:t>
      </w:r>
      <w:r>
        <w:rPr>
          <w:rFonts w:cs="Times New Roman"/>
          <w:b/>
          <w:bCs/>
          <w:rtl/>
          <w:cs/>
        </w:rPr>
        <w:t xml:space="preserve"> ما </w:t>
      </w:r>
      <w:r>
        <w:rPr>
          <w:rFonts w:cs="Times New Roman"/>
          <w:b/>
          <w:bCs/>
          <w:rtl/>
          <w:lang w:val="ar-SA"/>
        </w:rPr>
        <w:t>نوى</w:t>
      </w:r>
      <w:r>
        <w:rPr>
          <w:rFonts w:ascii="Al Nile" w:hAnsi="Al Nile"/>
          <w:b/>
          <w:bCs/>
          <w:rtl/>
          <w:lang w:val="ar-SA"/>
        </w:rPr>
        <w:t>)</w:t>
      </w:r>
      <w:r>
        <w:rPr>
          <w:rFonts w:cs="Times New Roman"/>
          <w:rtl/>
          <w:lang w:val="ar-SA"/>
        </w:rPr>
        <w:t xml:space="preserve"> وأفاد أن المستفاد منها أن العمل يكون صحيحاً ويسقط التكليف به إذا كان مع النية وقصد الامتثال ولا يكفي الإتيان بذات العمل</w:t>
      </w:r>
      <w:r>
        <w:rPr>
          <w:rFonts w:ascii="Al Nile" w:hAnsi="Al Nile"/>
          <w:rtl/>
          <w:lang w:val="ar-SA"/>
        </w:rPr>
        <w:t>.</w:t>
      </w:r>
    </w:p>
    <w:p w:rsidR="00B673A8" w:rsidRDefault="0050358C">
      <w:pPr>
        <w:pStyle w:val="a5"/>
        <w:rPr>
          <w:rFonts w:hint="default"/>
        </w:rPr>
      </w:pPr>
      <w:r>
        <w:rPr>
          <w:rFonts w:cs="Times New Roman"/>
          <w:rtl/>
          <w:lang w:val="ar-SA"/>
        </w:rPr>
        <w:t>نوقش هذا الوجه أيضاً بمناقشات ناقشه الشيخ بمناقشات ثلاث</w:t>
      </w:r>
      <w:r>
        <w:rPr>
          <w:rFonts w:ascii="Al Nile" w:hAnsi="Al Nile"/>
          <w:rtl/>
          <w:lang w:val="ar-SA"/>
        </w:rPr>
        <w:t>:</w:t>
      </w:r>
    </w:p>
    <w:p w:rsidR="00B673A8" w:rsidRDefault="0050358C">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 xml:space="preserve">أن من المحتمل أن لا يكون المقصود بالعمل مطلق العمل بل خصوص العبادة </w:t>
      </w:r>
      <w:r>
        <w:rPr>
          <w:rFonts w:cs="Times New Roman"/>
          <w:rtl/>
          <w:lang w:val="ar-SA"/>
        </w:rPr>
        <w:t>حيث عبّر عن العبادة في بعض التعابير بالعمل كما في مثل</w:t>
      </w:r>
      <w:r>
        <w:rPr>
          <w:rFonts w:ascii="Al Nile" w:hAnsi="Al Nile"/>
          <w:rtl/>
          <w:lang w:val="ar-SA"/>
        </w:rPr>
        <w:t>: (</w:t>
      </w:r>
      <w:r>
        <w:rPr>
          <w:rFonts w:cs="Times New Roman"/>
          <w:rtl/>
          <w:lang w:val="ar-SA"/>
        </w:rPr>
        <w:t>والعالمون كلهم هالكون إلا العاملون</w:t>
      </w:r>
      <w:r>
        <w:rPr>
          <w:rFonts w:ascii="Al Nile" w:hAnsi="Al Nile"/>
          <w:rtl/>
          <w:lang w:val="ar-SA"/>
        </w:rPr>
        <w:t xml:space="preserve">) </w:t>
      </w:r>
      <w:r>
        <w:rPr>
          <w:rFonts w:cs="Times New Roman"/>
          <w:rtl/>
          <w:lang w:val="ar-SA"/>
        </w:rPr>
        <w:t xml:space="preserve">أي العابدون و </w:t>
      </w:r>
      <w:r>
        <w:rPr>
          <w:rFonts w:ascii="Al Nile" w:hAnsi="Al Nile"/>
          <w:rtl/>
          <w:lang w:val="ar-SA"/>
        </w:rPr>
        <w:t>(</w:t>
      </w:r>
      <w:r>
        <w:rPr>
          <w:rFonts w:cs="Times New Roman"/>
          <w:rtl/>
          <w:lang w:val="ar-SA"/>
        </w:rPr>
        <w:t>لا عمل لي استحق به الجنة</w:t>
      </w:r>
      <w:r>
        <w:rPr>
          <w:rFonts w:ascii="Al Nile" w:hAnsi="Al Nile"/>
          <w:rtl/>
          <w:lang w:val="ar-SA"/>
        </w:rPr>
        <w:t xml:space="preserve">) </w:t>
      </w:r>
      <w:r>
        <w:rPr>
          <w:rFonts w:cs="Times New Roman"/>
          <w:rtl/>
          <w:lang w:val="ar-SA"/>
        </w:rPr>
        <w:t>إذ الذي يوجب استحقاق الثواب العبادة لا ذات العمل</w:t>
      </w:r>
      <w:r>
        <w:rPr>
          <w:rFonts w:ascii="Al Nile" w:hAnsi="Al Nile"/>
          <w:rtl/>
          <w:lang w:val="ar-SA"/>
        </w:rPr>
        <w:t xml:space="preserve">. </w:t>
      </w:r>
      <w:r>
        <w:rPr>
          <w:rFonts w:cs="Times New Roman"/>
          <w:rtl/>
          <w:lang w:val="ar-SA"/>
        </w:rPr>
        <w:t>فمكن المحتمل أن يكون المقصود بالعمل في هذه الروايات خصوص العمل العبادي</w:t>
      </w:r>
      <w:r>
        <w:rPr>
          <w:rFonts w:ascii="Al Nile" w:hAnsi="Al Nile"/>
          <w:rtl/>
          <w:lang w:val="ar-SA"/>
        </w:rPr>
        <w:t>.</w:t>
      </w:r>
    </w:p>
    <w:p w:rsidR="00B673A8" w:rsidRDefault="0050358C">
      <w:pPr>
        <w:pStyle w:val="a5"/>
        <w:rPr>
          <w:rFonts w:hint="default"/>
        </w:rPr>
      </w:pPr>
      <w:r>
        <w:rPr>
          <w:rFonts w:cs="Times New Roman"/>
          <w:rtl/>
          <w:lang w:val="ar-SA"/>
        </w:rPr>
        <w:t>و</w:t>
      </w:r>
      <w:r>
        <w:rPr>
          <w:rFonts w:cs="Times New Roman"/>
          <w:rtl/>
          <w:lang w:val="ar-SA"/>
        </w:rPr>
        <w:t>لم يذكر هذه المناقشة الأعلام المتأخرون لأن ظاهر العمل عند الإطلاق ذات العمل فالاحتمال المذكور خلاف الظاهر</w:t>
      </w:r>
      <w:r>
        <w:rPr>
          <w:rFonts w:ascii="Al Nile" w:hAnsi="Al Nile"/>
          <w:rtl/>
          <w:lang w:val="ar-SA"/>
        </w:rPr>
        <w:t>.</w:t>
      </w:r>
    </w:p>
    <w:p w:rsidR="00B673A8" w:rsidRDefault="0050358C">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 xml:space="preserve">أن المقصود بالنية ليس خصوص قصد القربة بل كون العمل عن قصد واختيار وقيمة كل العمل بقصد العامل من ذلك العمل وقد ورد في روايات أخرى أن الذي </w:t>
      </w:r>
      <w:r>
        <w:rPr>
          <w:rFonts w:cs="Times New Roman"/>
          <w:rtl/>
          <w:lang w:val="ar-SA"/>
        </w:rPr>
        <w:t>يجاهد إن كان قصده من الجهاد الدواعي القربية استحق الثواب وإن كان قصده الحصول على متاع الدنيا لا يستحق شيئاً</w:t>
      </w:r>
      <w:r>
        <w:rPr>
          <w:rFonts w:ascii="Al Nile" w:hAnsi="Al Nile"/>
          <w:rtl/>
          <w:lang w:val="ar-SA"/>
        </w:rPr>
        <w:t>.</w:t>
      </w:r>
    </w:p>
    <w:p w:rsidR="00B673A8" w:rsidRDefault="0050358C">
      <w:pPr>
        <w:pStyle w:val="a5"/>
        <w:rPr>
          <w:rFonts w:hint="default"/>
        </w:rPr>
      </w:pPr>
      <w:r>
        <w:rPr>
          <w:rFonts w:cs="Times New Roman"/>
          <w:rtl/>
          <w:lang w:val="ar-SA"/>
        </w:rPr>
        <w:t>الثالثة</w:t>
      </w:r>
      <w:r>
        <w:rPr>
          <w:rFonts w:ascii="Al Nile" w:hAnsi="Al Nile"/>
          <w:rtl/>
          <w:lang w:val="ar-SA"/>
        </w:rPr>
        <w:t xml:space="preserve">: </w:t>
      </w:r>
      <w:r>
        <w:rPr>
          <w:rFonts w:cs="Times New Roman"/>
          <w:rtl/>
          <w:lang w:val="ar-SA"/>
        </w:rPr>
        <w:t>إشكال تخصيص الأكثر المستهجن بالتوضيح المتقدم</w:t>
      </w:r>
      <w:r>
        <w:rPr>
          <w:rFonts w:ascii="Al Nile" w:hAnsi="Al Nile"/>
          <w:rtl/>
          <w:lang w:val="ar-SA"/>
        </w:rPr>
        <w:t>.</w:t>
      </w:r>
    </w:p>
    <w:p w:rsidR="00B673A8" w:rsidRDefault="0050358C">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bookmarkStart w:id="0" w:name="_GoBack"/>
      <w:bookmarkEnd w:id="0"/>
    </w:p>
    <w:sectPr w:rsidR="00B673A8">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58C" w:rsidRDefault="0050358C">
      <w:r>
        <w:separator/>
      </w:r>
    </w:p>
  </w:endnote>
  <w:endnote w:type="continuationSeparator" w:id="0">
    <w:p w:rsidR="0050358C" w:rsidRDefault="0050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3A8" w:rsidRDefault="0050358C">
    <w:pPr>
      <w:pStyle w:val="a4"/>
      <w:jc w:val="center"/>
    </w:pPr>
    <w:r>
      <w:fldChar w:fldCharType="begin"/>
    </w:r>
    <w:r>
      <w:instrText xml:space="preserve"> PAGE </w:instrText>
    </w:r>
    <w:r w:rsidR="00A91B48">
      <w:fldChar w:fldCharType="separate"/>
    </w:r>
    <w:r w:rsidR="0002246F">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58C" w:rsidRDefault="0050358C">
      <w:r>
        <w:separator/>
      </w:r>
    </w:p>
  </w:footnote>
  <w:footnote w:type="continuationSeparator" w:id="0">
    <w:p w:rsidR="0050358C" w:rsidRDefault="005035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3A8" w:rsidRDefault="00B673A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673A8"/>
    <w:rsid w:val="0002246F"/>
    <w:rsid w:val="0050358C"/>
    <w:rsid w:val="006F1DED"/>
    <w:rsid w:val="00A91B48"/>
    <w:rsid w:val="00B673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1282</Words>
  <Characters>7309</Characters>
  <Application>Microsoft Office Word</Application>
  <DocSecurity>0</DocSecurity>
  <Lines>60</Lines>
  <Paragraphs>17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2022-12-31T07:12:00Z</dcterms:created>
  <dcterms:modified xsi:type="dcterms:W3CDTF">2022-12-31T07:40:00Z</dcterms:modified>
</cp:coreProperties>
</file>