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F74" w:rsidRDefault="00F21258">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٣٤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١٥</w:t>
      </w:r>
    </w:p>
    <w:p w:rsidR="00171F74" w:rsidRDefault="00F21258">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171F74" w:rsidRDefault="00F21258" w:rsidP="00F21258">
      <w:pPr>
        <w:pStyle w:val="a5"/>
        <w:rPr>
          <w:rFonts w:hint="default"/>
        </w:rPr>
      </w:pPr>
      <w:r>
        <w:rPr>
          <w:rFonts w:cs="Times New Roman"/>
          <w:rtl/>
          <w:lang w:val="ar-SA"/>
        </w:rPr>
        <w:t>ما زال الكلام في المسألة الرابعة من مسائل بحث التعبدية والتوصلية وهي في الشك في التعبدية والتوصلية بمعنى اعتبار قصد القربة في صحة العمل وعدمه</w:t>
      </w:r>
      <w:r>
        <w:rPr>
          <w:rFonts w:ascii="Al Nile" w:hAnsi="Al Nile"/>
          <w:rtl/>
          <w:lang w:val="ar-SA"/>
        </w:rPr>
        <w:t>.</w:t>
      </w:r>
    </w:p>
    <w:p w:rsidR="00171F74" w:rsidRDefault="00F21258">
      <w:pPr>
        <w:pStyle w:val="a5"/>
        <w:rPr>
          <w:rFonts w:hint="default"/>
        </w:rPr>
      </w:pPr>
      <w:r>
        <w:rPr>
          <w:rFonts w:cs="Times New Roman"/>
          <w:rtl/>
          <w:lang w:val="ar-SA"/>
        </w:rPr>
        <w:t xml:space="preserve">قلنا بالتأمل فيما أفاده المحقق الآخوند قدس سره في </w:t>
      </w:r>
      <w:r>
        <w:rPr>
          <w:rFonts w:cs="Times New Roman"/>
          <w:rtl/>
          <w:cs/>
        </w:rPr>
        <w:t xml:space="preserve">المقدمة الثانية </w:t>
      </w:r>
      <w:r>
        <w:rPr>
          <w:rFonts w:ascii="Al Nile" w:hAnsi="Al Nile"/>
        </w:rPr>
        <w:t xml:space="preserve">- </w:t>
      </w:r>
      <w:r>
        <w:rPr>
          <w:rFonts w:cs="Times New Roman"/>
          <w:rtl/>
          <w:cs/>
        </w:rPr>
        <w:t xml:space="preserve">وهي العمدة في هذه المسألة </w:t>
      </w:r>
      <w:r>
        <w:rPr>
          <w:rFonts w:ascii="Al Nile" w:hAnsi="Al Nile"/>
        </w:rPr>
        <w:t>-</w:t>
      </w:r>
      <w:r>
        <w:rPr>
          <w:rFonts w:cs="Times New Roman"/>
          <w:rtl/>
          <w:lang w:val="ar-SA"/>
        </w:rPr>
        <w:t xml:space="preserve"> يتضح أن ما أفاد يرجع إلى خمس نقاط</w:t>
      </w:r>
      <w:r>
        <w:rPr>
          <w:rFonts w:ascii="Al Nile" w:hAnsi="Al Nile"/>
          <w:rtl/>
          <w:lang w:val="ar-SA"/>
        </w:rPr>
        <w:t>:</w:t>
      </w:r>
    </w:p>
    <w:p w:rsidR="00171F74" w:rsidRDefault="00F21258">
      <w:pPr>
        <w:pStyle w:val="a5"/>
        <w:rPr>
          <w:rFonts w:hint="default"/>
        </w:rPr>
      </w:pPr>
      <w:r>
        <w:rPr>
          <w:rFonts w:cs="Times New Roman"/>
          <w:rtl/>
          <w:lang w:val="ar-SA"/>
        </w:rPr>
        <w:t>وصل الكلام إلى النقطة الرابعة وهي أن تصحيح أخذ قصد الأمر عن طريق تعدد الأمر غير ممكن وقلنا ذكر قدس سره لذلك دليلين ذكرنا الأول والمناقشة فيه</w:t>
      </w:r>
      <w:r>
        <w:rPr>
          <w:rFonts w:ascii="Al Nile" w:hAnsi="Al Nile"/>
          <w:rtl/>
          <w:lang w:val="ar-SA"/>
        </w:rPr>
        <w:t>.</w:t>
      </w:r>
    </w:p>
    <w:p w:rsidR="00171F74" w:rsidRDefault="00F21258">
      <w:pPr>
        <w:pStyle w:val="a5"/>
        <w:rPr>
          <w:rFonts w:hint="default"/>
        </w:rPr>
      </w:pPr>
      <w:r>
        <w:rPr>
          <w:rFonts w:cs="Times New Roman"/>
          <w:rtl/>
          <w:lang w:val="ar-SA"/>
        </w:rPr>
        <w:t>الدليل الثاني</w:t>
      </w:r>
      <w:r>
        <w:rPr>
          <w:rFonts w:ascii="Al Nile" w:hAnsi="Al Nile"/>
          <w:rtl/>
          <w:lang w:val="ar-SA"/>
        </w:rPr>
        <w:t xml:space="preserve">: </w:t>
      </w:r>
      <w:r>
        <w:rPr>
          <w:rFonts w:cs="Times New Roman"/>
          <w:rtl/>
          <w:lang w:val="ar-SA"/>
        </w:rPr>
        <w:t>أن الأمر الأول إما يكون توصلياً أو تعبدياً فإن قلتم بأنه توصلي ويسقط بالإتيان بذات المتعلق يكون الأمر الثاني حينئذٍ بلا وجه وملاك وإن قلتم بأنه تعبدي ولا يسقط بالإتيان بذات المتعلق فمعنى ذلك ضيق الغرض وضيق الغرض يوجب أن يحكم العقل بلزوم إتيان العمل بقصد القربة ويكفي حكم العقل هذا لسوق المكلف نحو العمل بقصد القربة ولا حاجة إلى الأمر الثاني ويكون لغواً</w:t>
      </w:r>
      <w:r>
        <w:rPr>
          <w:rFonts w:ascii="Al Nile" w:hAnsi="Al Nile"/>
          <w:rtl/>
          <w:lang w:val="ar-SA"/>
        </w:rPr>
        <w:t xml:space="preserve">. </w:t>
      </w:r>
    </w:p>
    <w:p w:rsidR="00171F74" w:rsidRDefault="00F21258">
      <w:pPr>
        <w:pStyle w:val="a5"/>
        <w:rPr>
          <w:rFonts w:hint="default"/>
        </w:rPr>
      </w:pPr>
      <w:r>
        <w:rPr>
          <w:rFonts w:cs="Times New Roman"/>
          <w:rtl/>
          <w:lang w:val="ar-SA"/>
        </w:rPr>
        <w:t>أشكل المتأخرون عن الآخوند قدس سره على هذا الدليل بإشكالات متعددة لكن العمدة إشكال المحققين الإصفهاني والنائيني قدس سرهما وكل منهما اختار أحد الشقين المذكورين</w:t>
      </w:r>
      <w:r>
        <w:rPr>
          <w:rFonts w:ascii="Al Nile" w:hAnsi="Al Nile"/>
          <w:rtl/>
          <w:lang w:val="ar-SA"/>
        </w:rPr>
        <w:t>:</w:t>
      </w:r>
    </w:p>
    <w:p w:rsidR="00171F74" w:rsidRDefault="00F21258">
      <w:pPr>
        <w:pStyle w:val="a5"/>
        <w:rPr>
          <w:rFonts w:hint="default"/>
        </w:rPr>
      </w:pPr>
      <w:r>
        <w:rPr>
          <w:rFonts w:cs="Times New Roman"/>
          <w:rtl/>
          <w:lang w:val="ar-SA"/>
        </w:rPr>
        <w:t>أما إشكال المحقق الإصفهاني قدس سره فمحصله أنا نختار الشق الأول ونقول بأن الأمر الأول توصلي تعلّق بذات الفعل وهو وإن كان يسقط بالإتيان بذات الفعل بدون قصد القربة أيضاً لكن سقوط الأمر وتحقق الامتثال ليس علةً تامةً لحصول الغرض النهائي فيكون للأمر الثاني مجال لأن من الممكن أن يكون لفعل مثل الصلاة مرتبتان من الغرض مرتبة في ذات الفعل تحصل بالإتيان بها ومرتبة أخرى لأجل تحصيلها يتعلق أمر ثانٍ بالإتيان بالصلاة مع قصد الأمر</w:t>
      </w:r>
      <w:r>
        <w:rPr>
          <w:rFonts w:ascii="Al Nile" w:hAnsi="Al Nile"/>
          <w:rtl/>
          <w:lang w:val="ar-SA"/>
        </w:rPr>
        <w:t>.</w:t>
      </w:r>
    </w:p>
    <w:p w:rsidR="00171F74" w:rsidRDefault="00F21258">
      <w:pPr>
        <w:pStyle w:val="a5"/>
        <w:rPr>
          <w:rFonts w:hint="default"/>
        </w:rPr>
      </w:pPr>
      <w:r>
        <w:rPr>
          <w:rFonts w:cs="Times New Roman"/>
          <w:rtl/>
          <w:lang w:val="ar-SA"/>
        </w:rPr>
        <w:t>مثلاً لو فرضنا أن مجموع الصلاة مع قصد القربة واجد لمائة درجة من الملاك يتصور أن تكون ذات الصلاة واجدةً لستين درجةً فيتعلق بها الأمر ويسقط بالإتيان بها ولكن تبقى أربعون درجةً أخرى لا تحصل إلا بالإتيان بها مع قصد القربة وهذه الأربعون درجة أيضاً مهمة في نظر الشارع المقدس فلتحصيلها يأمر بالأمر الثاني بالصلاة مع قصد القربة ليحصل المكلف بالإتيان بالصلاة مع قصد القربة على تلك الأربعين أيضاً وإن كان يسقط الأمر الأول بالإتيان بذات الصلاة لكن يبقى الأمر الثاني ويكون لتبديل الامتثال مجال</w:t>
      </w:r>
      <w:r>
        <w:rPr>
          <w:rFonts w:ascii="Al Nile" w:hAnsi="Al Nile"/>
          <w:rtl/>
          <w:lang w:val="ar-SA"/>
        </w:rPr>
        <w:t>.</w:t>
      </w:r>
    </w:p>
    <w:p w:rsidR="00171F74" w:rsidRDefault="00F21258">
      <w:pPr>
        <w:pStyle w:val="a5"/>
        <w:rPr>
          <w:rFonts w:hint="default"/>
        </w:rPr>
      </w:pPr>
      <w:r>
        <w:rPr>
          <w:rFonts w:cs="Times New Roman"/>
          <w:rtl/>
          <w:lang w:val="ar-SA"/>
        </w:rPr>
        <w:t xml:space="preserve">نعم، قد تكون المصلحة الباقية غير لزومية فتكون الإعادة راجحةً فقط كما في صلاة الجماعة حيث ورد الأمر الاستحبابي بإعادة الصلاة جماعةً لكن إن كانت </w:t>
      </w:r>
      <w:r>
        <w:rPr>
          <w:rFonts w:cs="Times New Roman"/>
          <w:rtl/>
          <w:lang w:val="ar-SA"/>
        </w:rPr>
        <w:lastRenderedPageBreak/>
        <w:t>المصلحة الباقية لزوميةً فتكون الإعادة واجبةً فموافقة الأمر الأول وإن كان موجبةً لسقوطه لكن الأمر الثاني بعدُ باقٍ وله مجال</w:t>
      </w:r>
      <w:r>
        <w:rPr>
          <w:rFonts w:ascii="Al Nile" w:hAnsi="Al Nile"/>
          <w:rtl/>
          <w:lang w:val="ar-SA"/>
        </w:rPr>
        <w:t>.</w:t>
      </w:r>
      <w:r>
        <w:rPr>
          <w:rFonts w:ascii="Al Nile" w:eastAsia="Al Nile" w:hAnsi="Al Nile" w:cs="Al Nile"/>
          <w:vertAlign w:val="superscript"/>
        </w:rPr>
        <w:footnoteReference w:id="2"/>
      </w:r>
    </w:p>
    <w:p w:rsidR="00171F74" w:rsidRDefault="00F21258">
      <w:pPr>
        <w:pStyle w:val="a5"/>
        <w:rPr>
          <w:rFonts w:hint="default"/>
        </w:rPr>
      </w:pPr>
      <w:r>
        <w:rPr>
          <w:rFonts w:cs="Times New Roman"/>
          <w:rtl/>
          <w:lang w:val="ar-SA"/>
        </w:rPr>
        <w:t>ولكن يجاب عن هذا الإشكال بأن ما صوّره المحقق الإصفهاني قدس سره وإن كان صحيحاً بمقتضى الصناعة لكنه أخص من الدعى ولا يمكن أن يُثبت المدعى في جميع العبادات لأن التصوير المذكور متوقف على أن يكون العمل بقصد القربة ذا مصلحتين</w:t>
      </w:r>
      <w:r>
        <w:rPr>
          <w:rFonts w:ascii="Al Nile" w:hAnsi="Al Nile"/>
          <w:rtl/>
          <w:lang w:val="ar-SA"/>
        </w:rPr>
        <w:t xml:space="preserve">: </w:t>
      </w:r>
      <w:r>
        <w:rPr>
          <w:rFonts w:cs="Times New Roman"/>
          <w:rtl/>
          <w:lang w:val="ar-SA"/>
        </w:rPr>
        <w:t>مصلحة في ذات العمل ومصلحة في العمل مع قصد القربة ولكن فيما إذا كانت المصلحة في العمل مع قصد القربة فقط لا في ذات العمل لا يأتي هذا التصوير</w:t>
      </w:r>
      <w:r>
        <w:rPr>
          <w:rFonts w:ascii="Al Nile" w:hAnsi="Al Nile"/>
          <w:rtl/>
          <w:lang w:val="ar-SA"/>
        </w:rPr>
        <w:t xml:space="preserve">. </w:t>
      </w:r>
      <w:r>
        <w:rPr>
          <w:rFonts w:cs="Times New Roman"/>
          <w:rtl/>
          <w:lang w:val="ar-SA"/>
        </w:rPr>
        <w:t>ولا كاشف إثباتاً عن كون ذات العمل واجدةً لمصلحة فمن المحتمل أن لا تكون فيها بدون قصد القربة مصلحة أصلاً</w:t>
      </w:r>
      <w:r>
        <w:rPr>
          <w:rFonts w:ascii="Al Nile" w:hAnsi="Al Nile"/>
          <w:rtl/>
          <w:lang w:val="ar-SA"/>
        </w:rPr>
        <w:t>.</w:t>
      </w:r>
    </w:p>
    <w:p w:rsidR="00171F74" w:rsidRDefault="00F21258" w:rsidP="005078E2">
      <w:pPr>
        <w:pStyle w:val="a5"/>
        <w:rPr>
          <w:rFonts w:hint="default"/>
        </w:rPr>
      </w:pPr>
      <w:r>
        <w:rPr>
          <w:rFonts w:cs="Times New Roman"/>
          <w:rtl/>
          <w:lang w:val="ar-SA"/>
        </w:rPr>
        <w:t>وأما إشكال الم</w:t>
      </w:r>
      <w:r w:rsidR="005078E2">
        <w:rPr>
          <w:rFonts w:cs="Times New Roman"/>
          <w:rtl/>
          <w:lang w:val="ar-SA"/>
        </w:rPr>
        <w:t>حقق</w:t>
      </w:r>
      <w:r>
        <w:rPr>
          <w:rFonts w:cs="Times New Roman"/>
          <w:rtl/>
          <w:lang w:val="ar-SA"/>
        </w:rPr>
        <w:t xml:space="preserve"> النائيني قدس سره فمحصله أنا نختار الشق الثاني ونقول بأن الأمر الأول تعبدي ولا يسقط بالإتيان بذات الفعل ونسلّم بأن عدم السقوط لأجل ضيق الغرض لكن ما ذكرتم من أن العقل في موارد ضيق الغرض يحكم مستقلاً بأن الفعل </w:t>
      </w:r>
      <w:r w:rsidR="005078E2">
        <w:rPr>
          <w:rFonts w:cs="Times New Roman"/>
          <w:rtl/>
          <w:lang w:val="ar-SA"/>
        </w:rPr>
        <w:t xml:space="preserve">المأموربه </w:t>
      </w:r>
      <w:r>
        <w:rPr>
          <w:rFonts w:cs="Times New Roman"/>
          <w:rtl/>
          <w:lang w:val="ar-SA"/>
        </w:rPr>
        <w:t>لابد أن يؤتى به بحيث يُحرز حصول الغرض ففيه أن التشريع والأمر والنهي من شؤون المولى وليس من شؤون العقل ليكون العقل شارعاً في مقابل الشارع المقدس بل شأن العقل فقط إدراك أن هذا الفعل مما أراده الشارع أم لا</w:t>
      </w:r>
      <w:r>
        <w:rPr>
          <w:rFonts w:ascii="Al Nile" w:hAnsi="Al Nile"/>
          <w:rtl/>
          <w:lang w:val="ar-SA"/>
        </w:rPr>
        <w:t xml:space="preserve">. </w:t>
      </w:r>
      <w:r>
        <w:rPr>
          <w:rFonts w:cs="Times New Roman"/>
          <w:rtl/>
          <w:lang w:val="ar-SA"/>
        </w:rPr>
        <w:t>لذا بملاحظة أن الغرض من الأمر الأول ضيق لابد أن تتعلق إرادة الشارع بالمتعلق بشكل ضيق ليكون سبباً لسوق المكلف نحو الإتيان بالعمل مع قصد القربة فإن كان أخذ قصد القربة في الأمر الأول ممكناً أخذه فيه وإن لم يكن ممكناً لابد من الأمر الثاني</w:t>
      </w:r>
      <w:r>
        <w:rPr>
          <w:rFonts w:ascii="Al Nile" w:hAnsi="Al Nile"/>
          <w:rtl/>
          <w:lang w:val="ar-SA"/>
        </w:rPr>
        <w:t xml:space="preserve">.  </w:t>
      </w:r>
    </w:p>
    <w:p w:rsidR="00171F74" w:rsidRDefault="00F21258" w:rsidP="009F46DF">
      <w:pPr>
        <w:pStyle w:val="a5"/>
        <w:rPr>
          <w:rFonts w:hint="default"/>
        </w:rPr>
      </w:pPr>
      <w:r>
        <w:rPr>
          <w:rFonts w:cs="Times New Roman"/>
          <w:rtl/>
          <w:lang w:val="ar-SA"/>
        </w:rPr>
        <w:t>ولكن يجاب عن هذا الإشكال أيضاً بأن انحصار شأن العقل في إدراك أمر الشارع ونهيه مستلزم لإنكار الحسن والقبح العقليين ولإنكار الملازمة بين حكم العقل وحكم الشرع وهذا منافٍ لكلمات أخرى للمحقق النائيني قدس سره نفسه</w:t>
      </w:r>
      <w:r>
        <w:rPr>
          <w:rFonts w:ascii="Al Nile" w:hAnsi="Al Nile"/>
          <w:rtl/>
          <w:lang w:val="ar-SA"/>
        </w:rPr>
        <w:t xml:space="preserve">. </w:t>
      </w:r>
      <w:r>
        <w:rPr>
          <w:rFonts w:cs="Times New Roman"/>
          <w:rtl/>
          <w:lang w:val="ar-SA"/>
        </w:rPr>
        <w:t>لا إشكال في أن العقل يحكم بقبح بعض الأفعال وحسنها مثلاً نفس لزوم إطاعة المولى في أوامره ونواهيه بلا إشكال بحكم العقل المستقل ف</w:t>
      </w:r>
      <w:r w:rsidR="005078E2">
        <w:rPr>
          <w:rFonts w:cs="Times New Roman"/>
          <w:rtl/>
          <w:lang w:val="ar-SA"/>
        </w:rPr>
        <w:t>لا يمکن ردّ کلام المحقق ال</w:t>
      </w:r>
      <w:r w:rsidR="009F46DF">
        <w:rPr>
          <w:rFonts w:cs="Times New Roman"/>
          <w:rtl/>
          <w:lang w:val="ar-SA"/>
        </w:rPr>
        <w:t>آخوند</w:t>
      </w:r>
      <w:r w:rsidR="005078E2">
        <w:rPr>
          <w:rFonts w:cs="Times New Roman"/>
          <w:rtl/>
          <w:lang w:val="ar-SA"/>
        </w:rPr>
        <w:t xml:space="preserve"> قدس سره بهذا </w:t>
      </w:r>
      <w:r>
        <w:rPr>
          <w:rFonts w:cs="Times New Roman"/>
          <w:rtl/>
          <w:lang w:val="ar-SA"/>
        </w:rPr>
        <w:t>الإشكال</w:t>
      </w:r>
      <w:r>
        <w:rPr>
          <w:rFonts w:ascii="Al Nile" w:hAnsi="Al Nile"/>
          <w:rtl/>
          <w:lang w:val="ar-SA"/>
        </w:rPr>
        <w:t xml:space="preserve">.  </w:t>
      </w:r>
    </w:p>
    <w:p w:rsidR="00171F74" w:rsidRDefault="005078E2" w:rsidP="009F46DF">
      <w:pPr>
        <w:pStyle w:val="a5"/>
        <w:rPr>
          <w:rFonts w:hint="default"/>
        </w:rPr>
      </w:pPr>
      <w:r>
        <w:rPr>
          <w:rFonts w:cs="Times New Roman"/>
          <w:rtl/>
          <w:lang w:val="ar-SA"/>
        </w:rPr>
        <w:t xml:space="preserve">بل </w:t>
      </w:r>
      <w:r w:rsidR="00F21258">
        <w:rPr>
          <w:rFonts w:ascii="Al Nile" w:hAnsi="Al Nile"/>
          <w:rtl/>
          <w:lang w:val="ar-SA"/>
        </w:rPr>
        <w:t xml:space="preserve">- </w:t>
      </w:r>
      <w:r w:rsidR="00F21258">
        <w:rPr>
          <w:rFonts w:cs="Times New Roman"/>
          <w:rtl/>
          <w:lang w:val="ar-SA"/>
        </w:rPr>
        <w:t xml:space="preserve">بعد الفراغ عن الحسن والقبح العقليين </w:t>
      </w:r>
      <w:r w:rsidR="00F21258">
        <w:rPr>
          <w:rFonts w:ascii="Al Nile" w:hAnsi="Al Nile"/>
          <w:rtl/>
          <w:lang w:val="ar-SA"/>
        </w:rPr>
        <w:t xml:space="preserve">- </w:t>
      </w:r>
      <w:r>
        <w:rPr>
          <w:rFonts w:cs="Times New Roman"/>
          <w:rtl/>
          <w:lang w:val="ar-SA"/>
        </w:rPr>
        <w:t xml:space="preserve">لابد أن يلاحظ </w:t>
      </w:r>
      <w:r w:rsidR="00F21258">
        <w:rPr>
          <w:rFonts w:cs="Times New Roman"/>
          <w:rtl/>
          <w:lang w:val="ar-SA"/>
        </w:rPr>
        <w:t>هل في محل البحث يحكم العقل بلزوم إتيان العمل بقصد القربة وعدم جواز الاكتفاء بذات العمل أو لا؟ فيمكن أن يق</w:t>
      </w:r>
      <w:r w:rsidR="009F46DF">
        <w:rPr>
          <w:rFonts w:cs="Times New Roman"/>
          <w:rtl/>
          <w:lang w:val="ar-SA"/>
        </w:rPr>
        <w:t>ا</w:t>
      </w:r>
      <w:r w:rsidR="00F21258">
        <w:rPr>
          <w:rFonts w:cs="Times New Roman"/>
          <w:rtl/>
          <w:lang w:val="ar-SA"/>
        </w:rPr>
        <w:t>ل في الإشكال على المحقق الآخوند قدس سره أن العقل لا يحكم بذلك أو يقول العقل يحكم بذلك لكن حكمه هذا لا يغني عن حكم الشارع بل يبقى لأمر الشارع مجال</w:t>
      </w:r>
      <w:r w:rsidR="00F21258">
        <w:rPr>
          <w:rFonts w:ascii="Al Nile" w:hAnsi="Al Nile"/>
          <w:rtl/>
          <w:lang w:val="ar-SA"/>
        </w:rPr>
        <w:t>.</w:t>
      </w:r>
    </w:p>
    <w:p w:rsidR="00171F74" w:rsidRDefault="009F46DF" w:rsidP="009F46DF">
      <w:pPr>
        <w:pStyle w:val="a5"/>
        <w:rPr>
          <w:rFonts w:hint="default"/>
        </w:rPr>
      </w:pPr>
      <w:r>
        <w:rPr>
          <w:rFonts w:cs="Times New Roman"/>
          <w:rtl/>
          <w:lang w:val="ar-SA"/>
        </w:rPr>
        <w:t xml:space="preserve">والصحيح </w:t>
      </w:r>
      <w:r w:rsidR="00F21258">
        <w:rPr>
          <w:rFonts w:cs="Times New Roman"/>
          <w:rtl/>
          <w:lang w:val="ar-SA"/>
        </w:rPr>
        <w:t>ف</w:t>
      </w:r>
      <w:r>
        <w:rPr>
          <w:rFonts w:cs="Times New Roman"/>
          <w:rtl/>
          <w:lang w:val="ar-SA"/>
        </w:rPr>
        <w:t xml:space="preserve">ي </w:t>
      </w:r>
      <w:r w:rsidR="00F21258">
        <w:rPr>
          <w:rFonts w:cs="Times New Roman"/>
          <w:rtl/>
          <w:lang w:val="ar-SA"/>
        </w:rPr>
        <w:t>الإشكال</w:t>
      </w:r>
      <w:r>
        <w:rPr>
          <w:rFonts w:cs="Times New Roman"/>
          <w:rtl/>
          <w:lang w:val="ar-SA"/>
        </w:rPr>
        <w:t xml:space="preserve"> </w:t>
      </w:r>
      <w:r w:rsidR="00F21258">
        <w:rPr>
          <w:rFonts w:cs="Times New Roman"/>
          <w:rtl/>
          <w:lang w:val="ar-SA"/>
        </w:rPr>
        <w:t>عليه قدس سره أن</w:t>
      </w:r>
      <w:r>
        <w:rPr>
          <w:rFonts w:cs="Times New Roman"/>
          <w:rtl/>
          <w:lang w:val="ar-SA"/>
        </w:rPr>
        <w:t xml:space="preserve"> يقال</w:t>
      </w:r>
      <w:r w:rsidR="00F21258">
        <w:rPr>
          <w:rFonts w:cs="Times New Roman"/>
          <w:rtl/>
          <w:lang w:val="ar-SA"/>
        </w:rPr>
        <w:t xml:space="preserve"> أولاً العقل لا يحكم في هذه الموارد بلزوم العمل وثانياً لو حكم بذلك لأجل ضيق الغرض لابد أن يظهر هذا التضييق في ناحية أمر المولى أيضاً على أساس القاعدة التي أشرنا إليها سابقاً وهي أن </w:t>
      </w:r>
      <w:r w:rsidR="00F21258">
        <w:rPr>
          <w:rFonts w:cs="Times New Roman"/>
          <w:rtl/>
          <w:lang w:val="ar-SA"/>
        </w:rPr>
        <w:lastRenderedPageBreak/>
        <w:t>الحكم في حدوده وخصوصياته من حيث السعة والضيق تابع للغرض فلذا إن أحرزنا في مورد أن العمل المأمور به تعبدي لا يحصل غرض المولى إلا بقصد القربة فيمكن أن يقال لا مجال للأمر الثاني في هذا المورد ولكن إن لم نحرز ذلك كما في أغلب الموارد فمجرد احتمال المكلف أن الغرض ضيق لا يوجب</w:t>
      </w:r>
      <w:r>
        <w:rPr>
          <w:rFonts w:cs="Times New Roman"/>
          <w:rtl/>
          <w:lang w:val="ar-SA"/>
        </w:rPr>
        <w:t xml:space="preserve"> عليه</w:t>
      </w:r>
      <w:r w:rsidR="00F21258">
        <w:rPr>
          <w:rFonts w:cs="Times New Roman"/>
          <w:rtl/>
          <w:lang w:val="ar-SA"/>
        </w:rPr>
        <w:t xml:space="preserve"> أن يلتزم في مقام العمل بقصد الأمر</w:t>
      </w:r>
      <w:r w:rsidR="00F21258">
        <w:rPr>
          <w:rFonts w:ascii="Al Nile" w:hAnsi="Al Nile"/>
          <w:rtl/>
          <w:lang w:val="ar-SA"/>
        </w:rPr>
        <w:t>.</w:t>
      </w:r>
    </w:p>
    <w:p w:rsidR="00171F74" w:rsidRDefault="00F21258" w:rsidP="009F46DF">
      <w:pPr>
        <w:pStyle w:val="a5"/>
        <w:rPr>
          <w:rFonts w:hint="default"/>
        </w:rPr>
      </w:pPr>
      <w:r>
        <w:rPr>
          <w:rFonts w:cs="Times New Roman"/>
          <w:rtl/>
          <w:lang w:val="ar-SA"/>
        </w:rPr>
        <w:t xml:space="preserve">بالنتيجة إن كان مقصود المولى </w:t>
      </w:r>
      <w:r w:rsidR="009F46DF">
        <w:rPr>
          <w:rFonts w:cs="Times New Roman"/>
          <w:rtl/>
          <w:lang w:val="ar-SA"/>
        </w:rPr>
        <w:t xml:space="preserve">والغرض </w:t>
      </w:r>
      <w:r>
        <w:rPr>
          <w:rFonts w:cs="Times New Roman"/>
          <w:rtl/>
          <w:lang w:val="ar-SA"/>
        </w:rPr>
        <w:t xml:space="preserve">الأصلي أن يأتي المكلف بالعمل بقصد القربة فلابد لتحصيل هذا الغرض أن يوصل ذلك إلى المكلف بالأمر الثاني وإذا شككنا في التعبدية والتوصلية لا يحكم العقل </w:t>
      </w:r>
      <w:r w:rsidR="009F46DF">
        <w:rPr>
          <w:rFonts w:cs="Times New Roman"/>
          <w:rtl/>
          <w:lang w:val="ar-SA"/>
        </w:rPr>
        <w:t>ب</w:t>
      </w:r>
      <w:r>
        <w:rPr>
          <w:rFonts w:cs="Times New Roman"/>
          <w:rtl/>
          <w:lang w:val="ar-SA"/>
        </w:rPr>
        <w:t>لزوم قصد القربة لأن ما هو لازم على المكلف مراعاة أوامر المولى ومن هنا إذا لم يصل أمر و نهي في مورد لكن علمنا بوجود الغرض لا يكون مراعاة الغرض لازمةً بلا إشكال</w:t>
      </w:r>
      <w:r>
        <w:rPr>
          <w:rFonts w:ascii="Al Nile" w:hAnsi="Al Nile"/>
          <w:rtl/>
          <w:lang w:val="ar-SA"/>
        </w:rPr>
        <w:t xml:space="preserve">. </w:t>
      </w:r>
      <w:r>
        <w:rPr>
          <w:rFonts w:cs="Times New Roman"/>
          <w:rtl/>
          <w:lang w:val="ar-SA"/>
        </w:rPr>
        <w:t>بعبارة أخرى</w:t>
      </w:r>
      <w:r>
        <w:rPr>
          <w:rFonts w:ascii="Al Nile" w:hAnsi="Al Nile"/>
          <w:rtl/>
          <w:lang w:val="ar-SA"/>
        </w:rPr>
        <w:t xml:space="preserve">: </w:t>
      </w:r>
      <w:r>
        <w:rPr>
          <w:rFonts w:cs="Times New Roman"/>
          <w:rtl/>
          <w:lang w:val="ar-SA"/>
        </w:rPr>
        <w:t>إذا ورد من الشارع أمر حتى إن شككنا في السعة والضيق</w:t>
      </w:r>
      <w:r w:rsidR="009F46DF">
        <w:rPr>
          <w:rFonts w:cs="Times New Roman"/>
          <w:rtl/>
          <w:lang w:val="ar-SA"/>
        </w:rPr>
        <w:t xml:space="preserve"> من ناحية الغرض</w:t>
      </w:r>
      <w:r>
        <w:rPr>
          <w:rFonts w:cs="Times New Roman"/>
          <w:rtl/>
          <w:lang w:val="ar-SA"/>
        </w:rPr>
        <w:t xml:space="preserve"> لايحكم العقل بلزوم إتيان العمل بنحو يُحرز به تحصيل الغرض</w:t>
      </w:r>
      <w:r>
        <w:rPr>
          <w:rFonts w:ascii="Al Nile" w:hAnsi="Al Nile"/>
          <w:rtl/>
          <w:lang w:val="ar-SA"/>
        </w:rPr>
        <w:t>.</w:t>
      </w:r>
    </w:p>
    <w:p w:rsidR="00171F74" w:rsidRDefault="00F21258" w:rsidP="009F46DF">
      <w:pPr>
        <w:pStyle w:val="a5"/>
        <w:rPr>
          <w:rFonts w:hint="default"/>
        </w:rPr>
      </w:pPr>
      <w:r>
        <w:rPr>
          <w:rFonts w:cs="Times New Roman"/>
          <w:rtl/>
          <w:lang w:val="ar-SA"/>
        </w:rPr>
        <w:t xml:space="preserve">فلذلك </w:t>
      </w:r>
      <w:r w:rsidR="009F46DF">
        <w:rPr>
          <w:rFonts w:cs="Times New Roman"/>
          <w:rtl/>
          <w:lang w:val="ar-SA"/>
        </w:rPr>
        <w:t xml:space="preserve">بينما </w:t>
      </w:r>
      <w:r w:rsidR="009F46DF">
        <w:rPr>
          <w:rFonts w:cs="Times New Roman"/>
          <w:rtl/>
          <w:lang w:val="ar-SA"/>
        </w:rPr>
        <w:t>أفاد المحقق الآخوند قدس سره</w:t>
      </w:r>
      <w:r w:rsidR="009F46DF">
        <w:rPr>
          <w:rFonts w:cs="Times New Roman"/>
          <w:rtl/>
          <w:lang w:val="ar-SA"/>
        </w:rPr>
        <w:t xml:space="preserve"> </w:t>
      </w:r>
      <w:r>
        <w:rPr>
          <w:rFonts w:cs="Times New Roman"/>
          <w:rtl/>
          <w:lang w:val="ar-SA"/>
        </w:rPr>
        <w:t>في بحث الأقل والأكثر الارتباطيين أن من وجوه حكم العقل بالاحتياط أن المكلف يعلم بأن للشارع من الأمر بالصلاة غرضاً ولا يحصل العلم بحصول الغرض إلا بالإتيان بالأكثر أورد عليه هناك بأنه بعدما تصدى الشارع نفسه</w:t>
      </w:r>
      <w:r w:rsidR="009F46DF">
        <w:rPr>
          <w:rFonts w:cs="Times New Roman"/>
          <w:rtl/>
          <w:lang w:val="ar-SA"/>
        </w:rPr>
        <w:t xml:space="preserve"> لبيان المأموربه</w:t>
      </w:r>
      <w:r>
        <w:rPr>
          <w:rFonts w:cs="Times New Roman"/>
          <w:rtl/>
          <w:lang w:val="ar-SA"/>
        </w:rPr>
        <w:t xml:space="preserve"> وأمر بالصلاة وذكر عشرة أجزاء إذا شككنا في الجزء الحادي عشر فما يلزم مراعاته فقط عشرة أجزاء التي أمر بها الشارع وليس للعقل حكم في الزائد على ذلك ولا يعيّن وظيفةً تجاهه</w:t>
      </w:r>
      <w:r>
        <w:rPr>
          <w:rFonts w:ascii="Al Nile" w:hAnsi="Al Nile"/>
          <w:rtl/>
          <w:lang w:val="ar-SA"/>
        </w:rPr>
        <w:t xml:space="preserve">.  </w:t>
      </w:r>
    </w:p>
    <w:p w:rsidR="00171F74" w:rsidRDefault="00F21258">
      <w:pPr>
        <w:pStyle w:val="a5"/>
        <w:rPr>
          <w:rFonts w:hint="default"/>
        </w:rPr>
      </w:pPr>
      <w:r>
        <w:rPr>
          <w:rFonts w:cs="Times New Roman"/>
          <w:rtl/>
          <w:lang w:val="ar-SA"/>
        </w:rPr>
        <w:t>فيُقال هنا أيضاً بأنا إذا لم نحرز تعبدية العمل وشككنا فيها لا يحكم العقل بلزوم مراعاة قصد الأمر حتى يقال</w:t>
      </w:r>
      <w:bookmarkStart w:id="0" w:name="_GoBack"/>
      <w:bookmarkEnd w:id="0"/>
      <w:r>
        <w:rPr>
          <w:rFonts w:cs="Times New Roman"/>
          <w:rtl/>
          <w:lang w:val="ar-SA"/>
        </w:rPr>
        <w:t xml:space="preserve"> لا يبقى مجال للأمر الثاني ويكون لغواً</w:t>
      </w:r>
      <w:r>
        <w:rPr>
          <w:rFonts w:ascii="Al Nile" w:hAnsi="Al Nile"/>
          <w:rtl/>
          <w:lang w:val="ar-SA"/>
        </w:rPr>
        <w:t>.</w:t>
      </w:r>
    </w:p>
    <w:p w:rsidR="00171F74" w:rsidRDefault="00F21258">
      <w:pPr>
        <w:pStyle w:val="a5"/>
        <w:rPr>
          <w:rFonts w:hint="default"/>
        </w:rPr>
      </w:pPr>
      <w:r>
        <w:rPr>
          <w:rFonts w:cs="Times New Roman"/>
          <w:rtl/>
          <w:lang w:val="ar-SA"/>
        </w:rPr>
        <w:t>لا يقال</w:t>
      </w:r>
      <w:r>
        <w:rPr>
          <w:rFonts w:ascii="Al Nile" w:hAnsi="Al Nile"/>
          <w:rtl/>
          <w:lang w:val="ar-SA"/>
        </w:rPr>
        <w:t xml:space="preserve">: </w:t>
      </w:r>
      <w:r>
        <w:rPr>
          <w:rFonts w:cs="Times New Roman"/>
          <w:rtl/>
          <w:lang w:val="ar-SA"/>
        </w:rPr>
        <w:t>وإن لم يمكن أخذ قصد الأمر في الأمر الأول لكن مع ذلك لا حاجة إلى الأمر الثاني بل يمكن أن يوصل المولى لزوم قصد القربة بجملة خبرية بعنوان الإرشاد إلى أن الغرض من الأمر الأول ضيّق ولا يحصل إلا بقصد القربة وهذا البيان الإرشادي يكفي لسوق المكلف نحو العمل بقصد القربة ومع إمكان سوق المكلف بالبيان الإرشادي لا وجه لجعل آخر بالأمر الثاني فيعود إشكال لغوية الأمر الثاني</w:t>
      </w:r>
      <w:r>
        <w:rPr>
          <w:rFonts w:ascii="Al Nile" w:hAnsi="Al Nile"/>
          <w:rtl/>
          <w:lang w:val="ar-SA"/>
        </w:rPr>
        <w:t>.</w:t>
      </w:r>
    </w:p>
    <w:p w:rsidR="00171F74" w:rsidRDefault="00F21258">
      <w:pPr>
        <w:pStyle w:val="a5"/>
        <w:rPr>
          <w:rFonts w:ascii="B Badr" w:eastAsia="B Badr" w:hAnsi="B Badr" w:cs="B Badr" w:hint="default"/>
        </w:rPr>
      </w:pPr>
      <w:r>
        <w:rPr>
          <w:rFonts w:cs="Times New Roman"/>
          <w:rtl/>
          <w:lang w:val="ar-SA"/>
        </w:rPr>
        <w:t>فإنه يقال</w:t>
      </w:r>
      <w:r>
        <w:rPr>
          <w:rFonts w:ascii="Al Nile" w:hAnsi="Al Nile"/>
          <w:rtl/>
          <w:lang w:val="ar-SA"/>
        </w:rPr>
        <w:t xml:space="preserve">: </w:t>
      </w:r>
      <w:r>
        <w:rPr>
          <w:rFonts w:cs="Times New Roman"/>
          <w:rtl/>
          <w:lang w:val="ar-SA"/>
        </w:rPr>
        <w:t>كما قلنا التكليف في حدوده تابع للغرض ولابد من ظهور التقييد الموجود في ناحية الغرض في ناحية الأمر والجعل أيضاً لأن أصل الجعل للوصول إلى الغرض وكيفية الجعل لابد أن تكون بحيث تناسب ذلك الغرض فلذا إن لم يمكن أن يأخذ المولى قصد الأمر في متعلق الأمر الأول لابد أن يأخذه في الأمر الثاني</w:t>
      </w:r>
      <w:r>
        <w:rPr>
          <w:rFonts w:ascii="Al Nile" w:hAnsi="Al Nile"/>
          <w:rtl/>
          <w:lang w:val="ar-SA"/>
        </w:rPr>
        <w:t xml:space="preserve">. </w:t>
      </w:r>
      <w:r>
        <w:rPr>
          <w:rFonts w:cs="Times New Roman"/>
          <w:rtl/>
          <w:lang w:val="ar-SA"/>
        </w:rPr>
        <w:t>نعم، الأخذ في الأمر الثاني ليس إعمالاً لمولوية ثانية بل تكميل للأمر الأول وبتعبير المحقق النائيني قدس سره متمم للجعل</w:t>
      </w:r>
      <w:r>
        <w:rPr>
          <w:rFonts w:ascii="Al Nile" w:hAnsi="Al Nile"/>
          <w:rtl/>
          <w:lang w:val="ar-SA"/>
        </w:rPr>
        <w:t>.</w:t>
      </w:r>
    </w:p>
    <w:p w:rsidR="00171F74" w:rsidRDefault="00F21258">
      <w:pPr>
        <w:pStyle w:val="a5"/>
        <w:rPr>
          <w:rFonts w:hint="default"/>
        </w:rPr>
      </w:pPr>
      <w:r>
        <w:rPr>
          <w:rFonts w:cs="Times New Roman"/>
          <w:rtl/>
          <w:lang w:val="ar-SA"/>
        </w:rPr>
        <w:t>نتيجة البحث في هذه النقطة أنه يمكن أخذ قصد الأمر في المتعلق عن طريق تعدد الأمر خلافاً للمحقق الآخوند قدس سره</w:t>
      </w:r>
      <w:r>
        <w:rPr>
          <w:rFonts w:ascii="Al Nile" w:hAnsi="Al Nile"/>
          <w:rtl/>
          <w:lang w:val="ar-SA"/>
        </w:rPr>
        <w:t xml:space="preserve">. </w:t>
      </w:r>
      <w:r>
        <w:rPr>
          <w:rFonts w:cs="Times New Roman"/>
          <w:rtl/>
          <w:lang w:val="ar-SA"/>
        </w:rPr>
        <w:t xml:space="preserve">نعم، إن قلنا بإمكان أخذ قصد الأمر في </w:t>
      </w:r>
      <w:r>
        <w:rPr>
          <w:rFonts w:cs="Times New Roman"/>
          <w:rtl/>
          <w:lang w:val="ar-SA"/>
        </w:rPr>
        <w:lastRenderedPageBreak/>
        <w:t>متعلق الأمر الأول فلا يبقى مجال لأخذه في متعلق الأمر الثاني ولكن إن قلنا بعدم إمكان الأخذ في متعلق الأمر الأول تصل النوبة إلى الأخذ في متعلق الأمر الثاني</w:t>
      </w:r>
      <w:r>
        <w:rPr>
          <w:rFonts w:ascii="Al Nile" w:hAnsi="Al Nile"/>
          <w:rtl/>
          <w:lang w:val="ar-SA"/>
        </w:rPr>
        <w:t>.</w:t>
      </w:r>
    </w:p>
    <w:p w:rsidR="00171F74" w:rsidRPr="00D276B3" w:rsidRDefault="00F21258">
      <w:pPr>
        <w:pStyle w:val="a5"/>
        <w:rPr>
          <w:rFonts w:cstheme="minorBidi" w:hint="default"/>
          <w:lang w:bidi="fa-IR"/>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171F74" w:rsidRPr="00D276B3">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D4F" w:rsidRDefault="001F3D4F">
      <w:r>
        <w:separator/>
      </w:r>
    </w:p>
  </w:endnote>
  <w:endnote w:type="continuationSeparator" w:id="0">
    <w:p w:rsidR="001F3D4F" w:rsidRDefault="001F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Times New Roman"/>
    <w:charset w:val="00"/>
    <w:family w:val="roman"/>
    <w:pitch w:val="default"/>
  </w:font>
  <w:font w:name="B Badr">
    <w:panose1 w:val="00000400000000000000"/>
    <w:charset w:val="B2"/>
    <w:family w:val="auto"/>
    <w:pitch w:val="variable"/>
    <w:sig w:usb0="00002001" w:usb1="80000000" w:usb2="00000008" w:usb3="00000000" w:csb0="00000040"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258" w:rsidRDefault="00F21258">
    <w:pPr>
      <w:pStyle w:val="a4"/>
      <w:jc w:val="center"/>
    </w:pPr>
    <w:r>
      <w:fldChar w:fldCharType="begin"/>
    </w:r>
    <w:r>
      <w:instrText xml:space="preserve"> PAGE </w:instrText>
    </w:r>
    <w:r>
      <w:fldChar w:fldCharType="separate"/>
    </w:r>
    <w:r w:rsidR="00D276B3">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D4F" w:rsidRDefault="001F3D4F">
      <w:r>
        <w:separator/>
      </w:r>
    </w:p>
  </w:footnote>
  <w:footnote w:type="continuationSeparator" w:id="0">
    <w:p w:rsidR="001F3D4F" w:rsidRDefault="001F3D4F">
      <w:r>
        <w:continuationSeparator/>
      </w:r>
    </w:p>
  </w:footnote>
  <w:footnote w:type="continuationNotice" w:id="1">
    <w:p w:rsidR="001F3D4F" w:rsidRDefault="001F3D4F"/>
  </w:footnote>
  <w:footnote w:id="2">
    <w:p w:rsidR="00F21258" w:rsidRDefault="00F21258">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نهاية الدراية، ج١، ص٣٣٢</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258" w:rsidRDefault="00F2125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171F74"/>
    <w:rsid w:val="00171F74"/>
    <w:rsid w:val="001F3D4F"/>
    <w:rsid w:val="005078E2"/>
    <w:rsid w:val="009F46DF"/>
    <w:rsid w:val="00D276B3"/>
    <w:rsid w:val="00F212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TotalTime>
  <Pages>4</Pages>
  <Words>1015</Words>
  <Characters>5788</Characters>
  <Application>Microsoft Office Word</Application>
  <DocSecurity>0</DocSecurity>
  <Lines>48</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2022-12-04T07:35:00Z</dcterms:created>
  <dcterms:modified xsi:type="dcterms:W3CDTF">2022-12-04T19:52:00Z</dcterms:modified>
</cp:coreProperties>
</file>