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951" w:rsidRDefault="001F4789">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٢٥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٨</w:t>
      </w:r>
      <w:r>
        <w:rPr>
          <w:rFonts w:ascii="Al Nile" w:hAnsi="Al Nile"/>
          <w:rtl/>
          <w:lang w:val="ar-SA"/>
        </w:rPr>
        <w:t>/</w:t>
      </w:r>
      <w:r>
        <w:rPr>
          <w:rFonts w:cs="Times New Roman"/>
          <w:rtl/>
          <w:lang w:val="ar-SA"/>
        </w:rPr>
        <w:t>١</w:t>
      </w:r>
    </w:p>
    <w:p w:rsidR="00CC7951" w:rsidRDefault="001F4789">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CC7951" w:rsidRDefault="001F4789">
      <w:pPr>
        <w:pStyle w:val="a5"/>
        <w:rPr>
          <w:rFonts w:hint="default"/>
        </w:rPr>
      </w:pPr>
      <w:r>
        <w:rPr>
          <w:rFonts w:cs="Times New Roman"/>
          <w:rtl/>
          <w:lang w:val="ar-SA"/>
        </w:rPr>
        <w:t>وصل الكلام إلى المسألة الثالثة من مسائل بحث التعبدية والتوصلية وهي في الشك في سقوط</w:t>
      </w:r>
      <w:r>
        <w:rPr>
          <w:rFonts w:cs="Times New Roman"/>
          <w:rtl/>
          <w:cs/>
        </w:rPr>
        <w:t xml:space="preserve"> التكليف </w:t>
      </w:r>
      <w:r>
        <w:rPr>
          <w:rFonts w:cs="Times New Roman"/>
          <w:rtl/>
          <w:lang w:val="ar-SA"/>
        </w:rPr>
        <w:t xml:space="preserve">بالإتيان بالفرد المحرّم هل يسقط التكليف المتعلق بالطبيعي بالإتيان بالفرد المحرّم أو لا يسقط؟ </w:t>
      </w:r>
    </w:p>
    <w:p w:rsidR="00CC7951" w:rsidRDefault="001F4789">
      <w:pPr>
        <w:pStyle w:val="a5"/>
        <w:rPr>
          <w:rFonts w:hint="default"/>
        </w:rPr>
      </w:pPr>
      <w:r>
        <w:rPr>
          <w:rFonts w:cs="Times New Roman"/>
          <w:rtl/>
          <w:lang w:val="ar-SA"/>
        </w:rPr>
        <w:t xml:space="preserve">قلنا يقع البحث عن مقتضى الأصل في هذه المسألة أيضاً </w:t>
      </w:r>
      <w:r>
        <w:rPr>
          <w:rFonts w:ascii="Al Nile" w:hAnsi="Al Nile"/>
          <w:rtl/>
          <w:lang w:val="ar-SA"/>
        </w:rPr>
        <w:t xml:space="preserve">- </w:t>
      </w:r>
      <w:r>
        <w:rPr>
          <w:rFonts w:cs="Times New Roman"/>
          <w:rtl/>
          <w:lang w:val="ar-SA"/>
        </w:rPr>
        <w:t xml:space="preserve">كالمسألتين السابقتين </w:t>
      </w:r>
      <w:r>
        <w:rPr>
          <w:rFonts w:ascii="Al Nile" w:hAnsi="Al Nile"/>
          <w:rtl/>
          <w:lang w:val="ar-SA"/>
        </w:rPr>
        <w:t xml:space="preserve">- </w:t>
      </w:r>
      <w:r>
        <w:rPr>
          <w:rFonts w:cs="Times New Roman"/>
          <w:rtl/>
          <w:lang w:val="ar-SA"/>
        </w:rPr>
        <w:t>في مقامين</w:t>
      </w:r>
      <w:r>
        <w:rPr>
          <w:rFonts w:ascii="Al Nile" w:hAnsi="Al Nile"/>
          <w:rtl/>
          <w:lang w:val="ar-SA"/>
        </w:rPr>
        <w:t xml:space="preserve">: </w:t>
      </w:r>
      <w:r>
        <w:rPr>
          <w:rFonts w:cs="Times New Roman"/>
          <w:rtl/>
          <w:lang w:val="ar-SA"/>
        </w:rPr>
        <w:t>المقام الأول</w:t>
      </w:r>
      <w:r>
        <w:rPr>
          <w:rFonts w:ascii="Al Nile" w:hAnsi="Al Nile"/>
          <w:rtl/>
          <w:lang w:val="ar-SA"/>
        </w:rPr>
        <w:t xml:space="preserve">: </w:t>
      </w:r>
      <w:r>
        <w:rPr>
          <w:rFonts w:cs="Times New Roman"/>
          <w:rtl/>
          <w:lang w:val="ar-SA"/>
        </w:rPr>
        <w:t>في مقتضى الأصل اللفظي</w:t>
      </w:r>
    </w:p>
    <w:p w:rsidR="00CC7951" w:rsidRDefault="001F4789">
      <w:pPr>
        <w:pStyle w:val="a5"/>
        <w:rPr>
          <w:rFonts w:hint="default"/>
        </w:rPr>
      </w:pPr>
      <w:r>
        <w:rPr>
          <w:rFonts w:cs="Times New Roman"/>
          <w:rtl/>
          <w:lang w:val="ar-SA"/>
        </w:rPr>
        <w:t xml:space="preserve">وقلنا كما أفاد المحقق النائيني قدس سره </w:t>
      </w:r>
      <w:r>
        <w:rPr>
          <w:rFonts w:cs="Times New Roman"/>
          <w:rtl/>
          <w:lang w:val="ar-SA"/>
        </w:rPr>
        <w:t>لابد من البحث في هذا المقام على تقديرين</w:t>
      </w:r>
      <w:r>
        <w:rPr>
          <w:rFonts w:ascii="Al Nile" w:hAnsi="Al Nile"/>
          <w:rtl/>
          <w:lang w:val="ar-SA"/>
        </w:rPr>
        <w:t xml:space="preserve">: </w:t>
      </w:r>
      <w:r>
        <w:rPr>
          <w:rFonts w:cs="Times New Roman"/>
          <w:rtl/>
          <w:lang w:val="ar-SA"/>
        </w:rPr>
        <w:t>الأول</w:t>
      </w:r>
      <w:r>
        <w:rPr>
          <w:rFonts w:ascii="Al Nile" w:hAnsi="Al Nile"/>
          <w:rtl/>
          <w:lang w:val="ar-SA"/>
        </w:rPr>
        <w:t xml:space="preserve">: </w:t>
      </w:r>
      <w:r>
        <w:rPr>
          <w:rFonts w:cs="Times New Roman"/>
          <w:rtl/>
          <w:lang w:val="ar-SA"/>
        </w:rPr>
        <w:t>فيما كانت النسبة بين متعلق الأمر والنهي العموم والخصوص المطلق والثاني</w:t>
      </w:r>
      <w:r>
        <w:rPr>
          <w:rFonts w:ascii="Al Nile" w:hAnsi="Al Nile"/>
          <w:rtl/>
          <w:lang w:val="ar-SA"/>
        </w:rPr>
        <w:t xml:space="preserve">: </w:t>
      </w:r>
      <w:r>
        <w:rPr>
          <w:rFonts w:cs="Times New Roman"/>
          <w:rtl/>
          <w:lang w:val="ar-SA"/>
        </w:rPr>
        <w:t>فيما كانت النسبة بينهما العموم والخصوص من وجه</w:t>
      </w:r>
      <w:r>
        <w:rPr>
          <w:rFonts w:ascii="Al Nile" w:hAnsi="Al Nile"/>
          <w:rtl/>
          <w:lang w:val="ar-SA"/>
        </w:rPr>
        <w:t>.</w:t>
      </w:r>
    </w:p>
    <w:p w:rsidR="00CC7951" w:rsidRDefault="001F4789">
      <w:pPr>
        <w:pStyle w:val="a5"/>
        <w:rPr>
          <w:rFonts w:hint="default"/>
        </w:rPr>
      </w:pPr>
      <w:r>
        <w:rPr>
          <w:rFonts w:cs="Times New Roman"/>
          <w:rtl/>
          <w:lang w:val="ar-SA"/>
        </w:rPr>
        <w:t xml:space="preserve">فعلى التقدير الأول ذهب المحقق النائيني قدس سره وأكثر المحققين إلى أنه لا يمكن الحكم بسقوط </w:t>
      </w:r>
      <w:r>
        <w:rPr>
          <w:rFonts w:cs="Times New Roman"/>
          <w:rtl/>
          <w:lang w:val="ar-SA"/>
        </w:rPr>
        <w:t>التكليف بالإتيان بالفرد المحرّم لأن دليل النهي لأخصيته يقيّد خطاب الأمر ويختص متعلق الأمر بالأفراد المباحة من الطبيعي والفرد المحرّم خارج عن دائرة التكليف فلا يوجب الإتيان به سقوط التكليف</w:t>
      </w:r>
      <w:r>
        <w:rPr>
          <w:rFonts w:ascii="Al Nile" w:hAnsi="Al Nile"/>
          <w:rtl/>
          <w:lang w:val="ar-SA"/>
        </w:rPr>
        <w:t>.</w:t>
      </w:r>
    </w:p>
    <w:p w:rsidR="00CC7951" w:rsidRDefault="001F4789">
      <w:pPr>
        <w:pStyle w:val="a5"/>
        <w:rPr>
          <w:rFonts w:hint="default"/>
        </w:rPr>
      </w:pPr>
      <w:r>
        <w:rPr>
          <w:rFonts w:cs="Times New Roman"/>
          <w:rtl/>
          <w:lang w:val="ar-SA"/>
        </w:rPr>
        <w:t>وفي المقابل أفاد المحقق العراقي قدس سره أن الفرد المحرم وإن كان خار</w:t>
      </w:r>
      <w:r>
        <w:rPr>
          <w:rFonts w:cs="Times New Roman"/>
          <w:rtl/>
          <w:lang w:val="ar-SA"/>
        </w:rPr>
        <w:t>جاً عن دائرة التكليف ولم يكن مصداقاً للمأمور به لكن مع ذلك يمكن الحكم بصحة العمل وسقوط التكليف بالإتيان بالفرد المحرم لوجود الملاك فيه والدليل على وجود الملاك إطلاق المادة في خطاب الأمر حيث تعلق بالطبيعي فإنه يقتضي أن يكون الملاك في الطبيعي بلا فرق بين الف</w:t>
      </w:r>
      <w:r>
        <w:rPr>
          <w:rFonts w:cs="Times New Roman"/>
          <w:rtl/>
          <w:lang w:val="ar-SA"/>
        </w:rPr>
        <w:t>رد المحرم وغيره</w:t>
      </w:r>
      <w:r>
        <w:rPr>
          <w:rFonts w:ascii="Al Nile" w:hAnsi="Al Nile"/>
          <w:rtl/>
          <w:lang w:val="ar-SA"/>
        </w:rPr>
        <w:t xml:space="preserve">.  </w:t>
      </w:r>
    </w:p>
    <w:p w:rsidR="00CC7951" w:rsidRDefault="001F4789">
      <w:pPr>
        <w:pStyle w:val="a5"/>
        <w:rPr>
          <w:rFonts w:hint="default"/>
          <w:shd w:val="clear" w:color="auto" w:fill="FFFFFF"/>
        </w:rPr>
      </w:pPr>
      <w:r>
        <w:rPr>
          <w:rFonts w:cs="Times New Roman"/>
          <w:rtl/>
          <w:lang w:val="ar-SA"/>
        </w:rPr>
        <w:t>قلنا</w:t>
      </w:r>
      <w:r>
        <w:rPr>
          <w:rFonts w:ascii="Al Nile" w:hAnsi="Al Nile"/>
          <w:b/>
          <w:bCs/>
          <w:shd w:val="clear" w:color="auto" w:fill="FFFFFF"/>
          <w:rtl/>
          <w:lang w:val="ar-SA"/>
        </w:rPr>
        <w:t xml:space="preserve"> </w:t>
      </w:r>
      <w:r>
        <w:rPr>
          <w:rFonts w:cs="Times New Roman"/>
          <w:shd w:val="clear" w:color="auto" w:fill="FFFFFF"/>
          <w:rtl/>
          <w:lang w:val="ar-SA"/>
        </w:rPr>
        <w:t>يلاحظ على ما أفاد بمناقشتين</w:t>
      </w:r>
      <w:r>
        <w:rPr>
          <w:rFonts w:ascii="Al Nile" w:hAnsi="Al Nile"/>
          <w:shd w:val="clear" w:color="auto" w:fill="FFFFFF"/>
          <w:rtl/>
          <w:lang w:val="ar-SA"/>
        </w:rPr>
        <w:t>:</w:t>
      </w:r>
    </w:p>
    <w:p w:rsidR="00CC7951" w:rsidRDefault="001F4789">
      <w:pPr>
        <w:pStyle w:val="a5"/>
        <w:rPr>
          <w:rFonts w:hint="default"/>
          <w:shd w:val="clear" w:color="auto" w:fill="FFFFFF"/>
        </w:rPr>
      </w:pPr>
      <w:r>
        <w:rPr>
          <w:rFonts w:cs="Times New Roman"/>
          <w:shd w:val="clear" w:color="auto" w:fill="FFFFFF"/>
          <w:rtl/>
          <w:lang w:val="ar-SA"/>
        </w:rPr>
        <w:t>الأولى</w:t>
      </w:r>
      <w:r>
        <w:rPr>
          <w:rFonts w:ascii="Al Nile" w:hAnsi="Al Nile"/>
          <w:shd w:val="clear" w:color="auto" w:fill="FFFFFF"/>
          <w:rtl/>
          <w:lang w:val="ar-SA"/>
        </w:rPr>
        <w:t xml:space="preserve">: </w:t>
      </w:r>
      <w:r>
        <w:rPr>
          <w:rFonts w:cs="Times New Roman"/>
          <w:shd w:val="clear" w:color="auto" w:fill="FFFFFF"/>
          <w:rtl/>
          <w:lang w:val="ar-SA"/>
        </w:rPr>
        <w:t>أنه لا دلالة مستقلة للخطاب على وجود الملاك في الطبيعي في عرض دلالته على تعلق التكليف بالطبيعي بل دلالته على وجود الملاك دلالة التزامية وفي طول دلالته على تعلق التكليف وعندما كانت الدلالة التزامية</w:t>
      </w:r>
      <w:r>
        <w:rPr>
          <w:rFonts w:cs="Times New Roman"/>
          <w:shd w:val="clear" w:color="auto" w:fill="FFFFFF"/>
          <w:rtl/>
          <w:lang w:val="ar-SA"/>
        </w:rPr>
        <w:t>ً وقبِلتم أن الدلالة المطابقية مقيّدة ولا تشمل الفرد المحرّم فلا وجه للتمسك بالدلالة الالتزامية لتبعية الدلالة الالتزامية للمطابقية في الثبوت والحجية</w:t>
      </w:r>
      <w:r>
        <w:rPr>
          <w:rFonts w:ascii="Al Nile" w:hAnsi="Al Nile"/>
          <w:shd w:val="clear" w:color="auto" w:fill="FFFFFF"/>
          <w:rtl/>
          <w:lang w:val="ar-SA"/>
        </w:rPr>
        <w:t>.</w:t>
      </w:r>
    </w:p>
    <w:p w:rsidR="00CC7951" w:rsidRDefault="001F4789">
      <w:pPr>
        <w:pStyle w:val="a5"/>
        <w:rPr>
          <w:rFonts w:hint="default"/>
          <w:shd w:val="clear" w:color="auto" w:fill="FFFFFF"/>
        </w:rPr>
      </w:pPr>
      <w:r>
        <w:rPr>
          <w:rFonts w:cs="Times New Roman"/>
          <w:shd w:val="clear" w:color="auto" w:fill="FFFFFF"/>
          <w:rtl/>
          <w:lang w:val="ar-SA"/>
        </w:rPr>
        <w:t>الثانية</w:t>
      </w:r>
      <w:r>
        <w:rPr>
          <w:rFonts w:ascii="Al Nile" w:hAnsi="Al Nile"/>
          <w:shd w:val="clear" w:color="auto" w:fill="FFFFFF"/>
          <w:rtl/>
          <w:lang w:val="ar-SA"/>
        </w:rPr>
        <w:t xml:space="preserve">: </w:t>
      </w:r>
      <w:r>
        <w:rPr>
          <w:rFonts w:cs="Times New Roman"/>
          <w:shd w:val="clear" w:color="auto" w:fill="FFFFFF"/>
          <w:rtl/>
          <w:lang w:val="ar-SA"/>
        </w:rPr>
        <w:t xml:space="preserve">لو سلمنا أن الدلالة الالتزامية غير تابعة للدلالة المطابقية في الحجية وإن كانت تابعةً لها في أصل الثبوت </w:t>
      </w:r>
      <w:r>
        <w:rPr>
          <w:rFonts w:ascii="Al Nile" w:hAnsi="Al Nile"/>
          <w:shd w:val="clear" w:color="auto" w:fill="FFFFFF"/>
          <w:rtl/>
          <w:lang w:val="ar-SA"/>
        </w:rPr>
        <w:t xml:space="preserve">- </w:t>
      </w:r>
      <w:r>
        <w:rPr>
          <w:rFonts w:cs="Times New Roman"/>
          <w:shd w:val="clear" w:color="auto" w:fill="FFFFFF"/>
          <w:rtl/>
          <w:lang w:val="ar-SA"/>
        </w:rPr>
        <w:t xml:space="preserve">كما هو مختار المحقق النائيني قدس سره </w:t>
      </w:r>
      <w:r>
        <w:rPr>
          <w:rFonts w:ascii="Al Nile" w:hAnsi="Al Nile"/>
          <w:shd w:val="clear" w:color="auto" w:fill="FFFFFF"/>
          <w:rtl/>
          <w:lang w:val="ar-SA"/>
        </w:rPr>
        <w:t xml:space="preserve">- </w:t>
      </w:r>
      <w:r>
        <w:rPr>
          <w:rFonts w:cs="Times New Roman"/>
          <w:shd w:val="clear" w:color="auto" w:fill="FFFFFF"/>
          <w:rtl/>
          <w:lang w:val="ar-SA"/>
        </w:rPr>
        <w:t xml:space="preserve">مع ذلك لا يمكن أن يُكشف في التقدير الأول </w:t>
      </w:r>
      <w:r>
        <w:rPr>
          <w:rFonts w:ascii="Al Nile" w:hAnsi="Al Nile"/>
          <w:shd w:val="clear" w:color="auto" w:fill="FFFFFF"/>
          <w:rtl/>
          <w:lang w:val="ar-SA"/>
        </w:rPr>
        <w:t xml:space="preserve">- </w:t>
      </w:r>
      <w:r>
        <w:rPr>
          <w:rFonts w:cs="Times New Roman"/>
          <w:shd w:val="clear" w:color="auto" w:fill="FFFFFF"/>
          <w:rtl/>
          <w:lang w:val="ar-SA"/>
        </w:rPr>
        <w:t xml:space="preserve">الذي تكون النسبة بين المتعلقين العموم والخصوص المطلق </w:t>
      </w:r>
      <w:r>
        <w:rPr>
          <w:rFonts w:ascii="Al Nile" w:hAnsi="Al Nile"/>
          <w:shd w:val="clear" w:color="auto" w:fill="FFFFFF"/>
          <w:rtl/>
          <w:lang w:val="ar-SA"/>
        </w:rPr>
        <w:t xml:space="preserve">- </w:t>
      </w:r>
      <w:r>
        <w:rPr>
          <w:rFonts w:cs="Times New Roman"/>
          <w:shd w:val="clear" w:color="auto" w:fill="FFFFFF"/>
          <w:rtl/>
          <w:lang w:val="ar-SA"/>
        </w:rPr>
        <w:t>كون الفرد المح</w:t>
      </w:r>
      <w:r>
        <w:rPr>
          <w:rFonts w:cs="Times New Roman"/>
          <w:shd w:val="clear" w:color="auto" w:fill="FFFFFF"/>
          <w:rtl/>
          <w:lang w:val="ar-SA"/>
        </w:rPr>
        <w:t xml:space="preserve">رّم واجداً للملاك لأن إطلاق المادة وإن كان في نفسه وبقطع النظر عن النهي دالاً على وجود الملاك في الطبيعي بلا فرق بين أفراده لكن عندما أتى دليل النهي </w:t>
      </w:r>
      <w:r>
        <w:rPr>
          <w:rFonts w:ascii="Al Nile" w:hAnsi="Al Nile"/>
          <w:shd w:val="clear" w:color="auto" w:fill="FFFFFF"/>
          <w:rtl/>
          <w:lang w:val="ar-SA"/>
        </w:rPr>
        <w:t xml:space="preserve">- </w:t>
      </w:r>
      <w:r>
        <w:rPr>
          <w:rFonts w:cs="Times New Roman"/>
          <w:shd w:val="clear" w:color="auto" w:fill="FFFFFF"/>
          <w:rtl/>
          <w:lang w:val="ar-SA"/>
        </w:rPr>
        <w:t xml:space="preserve">كالدليل الناهي عن غسل الثوب بالماء المغصوب أو الناهي عن صوم العيدين </w:t>
      </w:r>
      <w:r>
        <w:rPr>
          <w:rFonts w:ascii="Al Nile" w:hAnsi="Al Nile"/>
          <w:shd w:val="clear" w:color="auto" w:fill="FFFFFF"/>
          <w:rtl/>
          <w:lang w:val="ar-SA"/>
        </w:rPr>
        <w:t xml:space="preserve">- </w:t>
      </w:r>
      <w:r>
        <w:rPr>
          <w:rFonts w:cs="Times New Roman"/>
          <w:shd w:val="clear" w:color="auto" w:fill="FFFFFF"/>
          <w:rtl/>
          <w:lang w:val="ar-SA"/>
        </w:rPr>
        <w:t xml:space="preserve">له مدلول مطابقي وهو حرمة غسل الثوب </w:t>
      </w:r>
      <w:r>
        <w:rPr>
          <w:rFonts w:cs="Times New Roman"/>
          <w:shd w:val="clear" w:color="auto" w:fill="FFFFFF"/>
          <w:rtl/>
          <w:lang w:val="ar-SA"/>
        </w:rPr>
        <w:t xml:space="preserve">بالماء المغصوب أو حرمة صوم العيدين ولكن له أيضاً مدلول التزامي باعتبار أن الحرمة تكون ناشئةً عن وجود مفسدة ملزمة فيدل دليل النهي بالالتزام </w:t>
      </w:r>
      <w:r>
        <w:rPr>
          <w:rFonts w:cs="Times New Roman"/>
          <w:shd w:val="clear" w:color="auto" w:fill="FFFFFF"/>
          <w:rtl/>
          <w:lang w:val="ar-SA"/>
        </w:rPr>
        <w:lastRenderedPageBreak/>
        <w:t>على وجود مفسدة ملزمة محضة أو غالبة على المصلحة في الفرد المنهي عنه ومقتضى وجود المفسدة المحضة أو الغالبة في هذا الفرد</w:t>
      </w:r>
      <w:r>
        <w:rPr>
          <w:rFonts w:cs="Times New Roman"/>
          <w:shd w:val="clear" w:color="auto" w:fill="FFFFFF"/>
          <w:rtl/>
          <w:lang w:val="ar-SA"/>
        </w:rPr>
        <w:t xml:space="preserve"> عدم وجود المصلحة الغالبة لأن الشيء الواحد لا يمكن أن يكون واجداً للمصلحة الغالبة والمفسدة الغالبة أو المحضة</w:t>
      </w:r>
      <w:r>
        <w:rPr>
          <w:rFonts w:ascii="Al Nile" w:hAnsi="Al Nile"/>
          <w:shd w:val="clear" w:color="auto" w:fill="FFFFFF"/>
          <w:rtl/>
          <w:lang w:val="ar-SA"/>
        </w:rPr>
        <w:t xml:space="preserve">. </w:t>
      </w:r>
      <w:r>
        <w:rPr>
          <w:rFonts w:cs="Times New Roman"/>
          <w:shd w:val="clear" w:color="auto" w:fill="FFFFFF"/>
          <w:rtl/>
          <w:lang w:val="ar-SA"/>
        </w:rPr>
        <w:t>وليس ما يوجب وجود الأمر مطلق وجود المصلحة بل وجود المصلحة المحضة أو الغالبة</w:t>
      </w:r>
      <w:r>
        <w:rPr>
          <w:rFonts w:ascii="Al Nile" w:hAnsi="Al Nile"/>
          <w:shd w:val="clear" w:color="auto" w:fill="FFFFFF"/>
          <w:rtl/>
          <w:lang w:val="ar-SA"/>
        </w:rPr>
        <w:t xml:space="preserve">. </w:t>
      </w:r>
      <w:r>
        <w:rPr>
          <w:rFonts w:cs="Times New Roman"/>
          <w:shd w:val="clear" w:color="auto" w:fill="FFFFFF"/>
          <w:rtl/>
          <w:lang w:val="ar-SA"/>
        </w:rPr>
        <w:t>فدليل النهي يمنع من تلك الدلالة الالتزامية على وجود الملاك وإن كانت ا</w:t>
      </w:r>
      <w:r>
        <w:rPr>
          <w:rFonts w:cs="Times New Roman"/>
          <w:shd w:val="clear" w:color="auto" w:fill="FFFFFF"/>
          <w:rtl/>
          <w:lang w:val="ar-SA"/>
        </w:rPr>
        <w:t>لدلالة ثابتةً بقطع النظر عن النهي</w:t>
      </w:r>
      <w:r>
        <w:rPr>
          <w:rFonts w:ascii="Al Nile" w:hAnsi="Al Nile"/>
          <w:shd w:val="clear" w:color="auto" w:fill="FFFFFF"/>
          <w:rtl/>
          <w:lang w:val="ar-SA"/>
        </w:rPr>
        <w:t xml:space="preserve">. </w:t>
      </w:r>
      <w:r>
        <w:rPr>
          <w:rFonts w:cs="Times New Roman"/>
          <w:shd w:val="clear" w:color="auto" w:fill="FFFFFF"/>
          <w:rtl/>
          <w:lang w:val="ar-SA"/>
        </w:rPr>
        <w:t>وإنما لا تسقط الدلالة الالتزامية عن الحجية بسقوط الدلالة المطابقية بشرط أن لا يوجد مزاحم لنفس الدلالة الالتزامية ودليل النهي مزاحم لها</w:t>
      </w:r>
      <w:r>
        <w:rPr>
          <w:rFonts w:ascii="Al Nile" w:hAnsi="Al Nile"/>
          <w:shd w:val="clear" w:color="auto" w:fill="FFFFFF"/>
          <w:rtl/>
          <w:lang w:val="ar-SA"/>
        </w:rPr>
        <w:t>.</w:t>
      </w:r>
    </w:p>
    <w:p w:rsidR="00CC7951" w:rsidRDefault="001F4789">
      <w:pPr>
        <w:pStyle w:val="a5"/>
        <w:rPr>
          <w:rFonts w:hint="default"/>
          <w:shd w:val="clear" w:color="auto" w:fill="FFFFFF"/>
        </w:rPr>
      </w:pPr>
      <w:r>
        <w:rPr>
          <w:rFonts w:cs="Times New Roman"/>
          <w:shd w:val="clear" w:color="auto" w:fill="FFFFFF"/>
          <w:rtl/>
          <w:lang w:val="ar-SA"/>
        </w:rPr>
        <w:t>فلذلك المحقق النائيني قدس سره مع قوله بعدم تبعية الدلالة الالتزامية للمطابقية في الحج</w:t>
      </w:r>
      <w:r>
        <w:rPr>
          <w:rFonts w:cs="Times New Roman"/>
          <w:shd w:val="clear" w:color="auto" w:fill="FFFFFF"/>
          <w:rtl/>
          <w:lang w:val="ar-SA"/>
        </w:rPr>
        <w:t>ية قال في التقدير الأول أن مقتضى الأصل التعبدية وعدم سقوط التكليف بالإتيان بالفرد المحرّم لأن دليل النهي أخرج الفرد المحرّم عن دائرة متعلق الأمر وبعد خروجه لا طريق للحكم بصحة العمل وسقوط التكليف به</w:t>
      </w:r>
      <w:r>
        <w:rPr>
          <w:rFonts w:ascii="Al Nile" w:hAnsi="Al Nile"/>
          <w:shd w:val="clear" w:color="auto" w:fill="FFFFFF"/>
          <w:rtl/>
          <w:lang w:val="ar-SA"/>
        </w:rPr>
        <w:t>.</w:t>
      </w:r>
    </w:p>
    <w:p w:rsidR="00CC7951" w:rsidRDefault="001F4789">
      <w:pPr>
        <w:pStyle w:val="a5"/>
        <w:rPr>
          <w:rFonts w:hint="default"/>
          <w:shd w:val="clear" w:color="auto" w:fill="FFFFFF"/>
        </w:rPr>
      </w:pPr>
      <w:r>
        <w:rPr>
          <w:rFonts w:cs="Times New Roman"/>
          <w:shd w:val="clear" w:color="auto" w:fill="FFFFFF"/>
          <w:rtl/>
          <w:lang w:val="ar-SA"/>
        </w:rPr>
        <w:t>هذا كله على التقدير الأول</w:t>
      </w:r>
      <w:r>
        <w:rPr>
          <w:rFonts w:ascii="Al Nile" w:hAnsi="Al Nile"/>
          <w:shd w:val="clear" w:color="auto" w:fill="FFFFFF"/>
          <w:rtl/>
          <w:lang w:val="ar-SA"/>
        </w:rPr>
        <w:t>.</w:t>
      </w:r>
    </w:p>
    <w:p w:rsidR="00CC7951" w:rsidRDefault="001F4789">
      <w:pPr>
        <w:pStyle w:val="a5"/>
        <w:rPr>
          <w:rFonts w:hint="default"/>
          <w:shd w:val="clear" w:color="auto" w:fill="FFFFFF"/>
        </w:rPr>
      </w:pPr>
      <w:r>
        <w:rPr>
          <w:rFonts w:cs="Times New Roman"/>
          <w:shd w:val="clear" w:color="auto" w:fill="FFFFFF"/>
          <w:rtl/>
          <w:lang w:val="ar-SA"/>
        </w:rPr>
        <w:t xml:space="preserve">وعلى التقدير الثاني </w:t>
      </w:r>
      <w:r>
        <w:rPr>
          <w:rFonts w:ascii="Al Nile" w:hAnsi="Al Nile"/>
          <w:shd w:val="clear" w:color="auto" w:fill="FFFFFF"/>
          <w:rtl/>
          <w:lang w:val="ar-SA"/>
        </w:rPr>
        <w:t xml:space="preserve">- </w:t>
      </w:r>
      <w:r>
        <w:rPr>
          <w:rFonts w:cs="Times New Roman"/>
          <w:shd w:val="clear" w:color="auto" w:fill="FFFFFF"/>
          <w:rtl/>
          <w:lang w:val="ar-SA"/>
        </w:rPr>
        <w:t>وهو أن ت</w:t>
      </w:r>
      <w:r>
        <w:rPr>
          <w:rFonts w:cs="Times New Roman"/>
          <w:shd w:val="clear" w:color="auto" w:fill="FFFFFF"/>
          <w:rtl/>
          <w:lang w:val="ar-SA"/>
        </w:rPr>
        <w:t xml:space="preserve">كون النسبة بين المتعلقين العموم والخصوص من وجه لتكون المسألة داخلةً في باب اجتماع الأمر والنهي كالصلاة في الدار المغصوبة أو دفن الميت في المكان المغصوب </w:t>
      </w:r>
      <w:r>
        <w:rPr>
          <w:rFonts w:ascii="Al Nile" w:hAnsi="Al Nile"/>
          <w:shd w:val="clear" w:color="auto" w:fill="FFFFFF"/>
          <w:rtl/>
          <w:lang w:val="ar-SA"/>
        </w:rPr>
        <w:t xml:space="preserve">- </w:t>
      </w:r>
      <w:r>
        <w:rPr>
          <w:rFonts w:cs="Times New Roman"/>
          <w:shd w:val="clear" w:color="auto" w:fill="FFFFFF"/>
          <w:rtl/>
          <w:lang w:val="ar-SA"/>
        </w:rPr>
        <w:t xml:space="preserve">فهل مقتضى الأصل اللفظي على هذا التقدير التوصلية وسقوط التكليف بالإتيان بالمجمع أو التعبدية وعدم سقوطه </w:t>
      </w:r>
      <w:r>
        <w:rPr>
          <w:rFonts w:cs="Times New Roman"/>
          <w:shd w:val="clear" w:color="auto" w:fill="FFFFFF"/>
          <w:rtl/>
          <w:lang w:val="ar-SA"/>
        </w:rPr>
        <w:t>بالإتيان بالمجمع؟</w:t>
      </w:r>
    </w:p>
    <w:p w:rsidR="00CC7951" w:rsidRDefault="001F4789">
      <w:pPr>
        <w:pStyle w:val="a5"/>
        <w:rPr>
          <w:rFonts w:hint="default"/>
          <w:shd w:val="clear" w:color="auto" w:fill="FFFFFF"/>
        </w:rPr>
      </w:pPr>
      <w:r>
        <w:rPr>
          <w:rFonts w:cs="Times New Roman"/>
          <w:shd w:val="clear" w:color="auto" w:fill="FFFFFF"/>
          <w:rtl/>
          <w:lang w:val="ar-SA"/>
        </w:rPr>
        <w:t>أفاد المحقق النائيني قدس سره على هذا التقدير أيضاً أن مقتضى الأصل التعبدية وعدم سقوط التكليف بالإتيان بالفرد المحرّم سواء قلنا بجواز اجتماع الأمر والنهي أو قلنا بامتناعه وسواء كان متعلق الأمر من التعبديات بالمعنى المعروف أو من التوصليات</w:t>
      </w:r>
      <w:r>
        <w:rPr>
          <w:rFonts w:ascii="Al Nile" w:hAnsi="Al Nile"/>
          <w:shd w:val="clear" w:color="auto" w:fill="FFFFFF"/>
          <w:rtl/>
          <w:lang w:val="ar-SA"/>
        </w:rPr>
        <w:t xml:space="preserve">. </w:t>
      </w:r>
    </w:p>
    <w:p w:rsidR="00CC7951" w:rsidRDefault="001F4789" w:rsidP="00F725FD">
      <w:pPr>
        <w:pStyle w:val="a5"/>
        <w:rPr>
          <w:rFonts w:hint="default"/>
          <w:shd w:val="clear" w:color="auto" w:fill="FFFFFF"/>
        </w:rPr>
      </w:pPr>
      <w:r>
        <w:rPr>
          <w:rFonts w:cs="Times New Roman"/>
          <w:shd w:val="clear" w:color="auto" w:fill="FFFFFF"/>
          <w:rtl/>
          <w:lang w:val="ar-SA"/>
        </w:rPr>
        <w:t xml:space="preserve">والوجه في ذلك </w:t>
      </w:r>
      <w:r>
        <w:rPr>
          <w:rFonts w:ascii="Al Nile" w:hAnsi="Al Nile"/>
          <w:shd w:val="clear" w:color="auto" w:fill="FFFFFF"/>
          <w:rtl/>
          <w:lang w:val="ar-SA"/>
        </w:rPr>
        <w:t xml:space="preserve">- </w:t>
      </w:r>
      <w:r>
        <w:rPr>
          <w:rFonts w:cs="Times New Roman"/>
          <w:shd w:val="clear" w:color="auto" w:fill="FFFFFF"/>
          <w:rtl/>
          <w:lang w:val="ar-SA"/>
        </w:rPr>
        <w:t xml:space="preserve">كما تقدم توضيحه في المسألة السابقة </w:t>
      </w:r>
      <w:r>
        <w:rPr>
          <w:rFonts w:ascii="Al Nile" w:hAnsi="Al Nile"/>
          <w:shd w:val="clear" w:color="auto" w:fill="FFFFFF"/>
          <w:rtl/>
          <w:lang w:val="ar-SA"/>
        </w:rPr>
        <w:t xml:space="preserve">- </w:t>
      </w:r>
      <w:r>
        <w:rPr>
          <w:rFonts w:cs="Times New Roman"/>
          <w:shd w:val="clear" w:color="auto" w:fill="FFFFFF"/>
          <w:rtl/>
          <w:lang w:val="ar-SA"/>
        </w:rPr>
        <w:t xml:space="preserve">أنه يعتبر في صحة العمل مضافاً إلى الحسن الفعلي الحسن الفاعلي وبما أن المجمع يصدق عليه العنوان المنهي عنه </w:t>
      </w:r>
      <w:r w:rsidR="00F725FD">
        <w:rPr>
          <w:rFonts w:cs="Times New Roman"/>
          <w:shd w:val="clear" w:color="auto" w:fill="FFFFFF"/>
          <w:rtl/>
          <w:lang w:val="ar-SA"/>
        </w:rPr>
        <w:t>ف</w:t>
      </w:r>
      <w:r>
        <w:rPr>
          <w:rFonts w:cs="Times New Roman"/>
          <w:shd w:val="clear" w:color="auto" w:fill="FFFFFF"/>
          <w:rtl/>
          <w:lang w:val="ar-SA"/>
        </w:rPr>
        <w:t xml:space="preserve">لا يكون متصفاً بالحسن الفاعلي </w:t>
      </w:r>
      <w:r w:rsidR="00F725FD">
        <w:rPr>
          <w:rFonts w:cs="Times New Roman"/>
          <w:shd w:val="clear" w:color="auto" w:fill="FFFFFF"/>
          <w:rtl/>
          <w:lang w:val="ar-SA"/>
        </w:rPr>
        <w:t xml:space="preserve">و معه </w:t>
      </w:r>
      <w:r>
        <w:rPr>
          <w:rFonts w:cs="Times New Roman"/>
          <w:shd w:val="clear" w:color="auto" w:fill="FFFFFF"/>
          <w:rtl/>
          <w:lang w:val="ar-SA"/>
        </w:rPr>
        <w:t>لا يمكن الحكم بكفاية الإتيان بهذا الفرد المحرم وإن قلنا بجواز اجتم</w:t>
      </w:r>
      <w:r>
        <w:rPr>
          <w:rFonts w:cs="Times New Roman"/>
          <w:shd w:val="clear" w:color="auto" w:fill="FFFFFF"/>
          <w:rtl/>
          <w:lang w:val="ar-SA"/>
        </w:rPr>
        <w:t>اع الأمر والنهي وقلنا بأن هذا الفرد مصداق للمأمور به لكن مصداقيته للمنهي عنه يمنع من اتصافه بالحسن الفاعلي لكون صدوره بما أنه مصداق للمنهي عنه قبيحاً ومبغوضاً فيكون فاقداً للحسن الفاعلي وفقده للحسن الفاعلي يوجب خروجه عن دائرة المأمور به بالفعل وإن كان بقطع</w:t>
      </w:r>
      <w:r>
        <w:rPr>
          <w:rFonts w:cs="Times New Roman"/>
          <w:shd w:val="clear" w:color="auto" w:fill="FFFFFF"/>
          <w:rtl/>
          <w:lang w:val="ar-SA"/>
        </w:rPr>
        <w:t xml:space="preserve"> النظر عن اشتراط الحسن الفاعلي مشمولاً لإطلاق الأمر فسقوط التكليف المختص بالأفراد المباحة من الطبيعي بهذا الفرد المحرّم يرجع إلى اشتراط التكليف بقاءً بعدم الإتيان بالفرد المحرم فإذا شككنا في سقوط التكليف وعدمه يرجع شكنا إلى إطلاق نفس التكليف واشتراطه والأص</w:t>
      </w:r>
      <w:r>
        <w:rPr>
          <w:rFonts w:cs="Times New Roman"/>
          <w:shd w:val="clear" w:color="auto" w:fill="FFFFFF"/>
          <w:rtl/>
          <w:lang w:val="ar-SA"/>
        </w:rPr>
        <w:t>ل اللفظي المحكّم في هذا المورد هو إطلاق الهيئة فيكون إطلاق الهيئة في مقام الثبوت كاشفاً عن إطلاق التكليف والنتيجة عدم سقوط التكليف بالإتيان بالفرد المحرّم</w:t>
      </w:r>
      <w:r>
        <w:rPr>
          <w:rFonts w:ascii="Al Nile" w:hAnsi="Al Nile"/>
          <w:shd w:val="clear" w:color="auto" w:fill="FFFFFF"/>
          <w:rtl/>
          <w:lang w:val="ar-SA"/>
        </w:rPr>
        <w:t>.</w:t>
      </w:r>
    </w:p>
    <w:p w:rsidR="00CC7951" w:rsidRDefault="001F4789" w:rsidP="00F725FD">
      <w:pPr>
        <w:pStyle w:val="a5"/>
        <w:rPr>
          <w:rFonts w:hint="default"/>
          <w:shd w:val="clear" w:color="auto" w:fill="FFFFFF"/>
        </w:rPr>
      </w:pPr>
      <w:r>
        <w:rPr>
          <w:rFonts w:cs="Times New Roman"/>
          <w:shd w:val="clear" w:color="auto" w:fill="FFFFFF"/>
          <w:rtl/>
          <w:lang w:val="ar-SA"/>
        </w:rPr>
        <w:lastRenderedPageBreak/>
        <w:t>هذا بيان المحقق النائيني قدس سره وبه تبيّن أن مقتضى الأصل اللفظي في المسألة على التقدير الثاني أيضاً</w:t>
      </w:r>
      <w:r>
        <w:rPr>
          <w:rFonts w:cs="Times New Roman"/>
          <w:shd w:val="clear" w:color="auto" w:fill="FFFFFF"/>
          <w:rtl/>
          <w:lang w:val="ar-SA"/>
        </w:rPr>
        <w:t xml:space="preserve"> التعبدية سواء قلنا بجواز اجتماع الأمر والنهي أو قلنا بامتناعه وسواء كان متعلق الأمر من التعبديات بالمعنى المعروف أو من التوصليات ففي جميع الموارد باعتبار كون الفرد المحرّم فاقداً للحسن الفاعلي </w:t>
      </w:r>
      <w:r w:rsidR="00F725FD">
        <w:rPr>
          <w:rFonts w:cs="Times New Roman"/>
          <w:shd w:val="clear" w:color="auto" w:fill="FFFFFF"/>
          <w:rtl/>
          <w:lang w:val="ar-SA"/>
        </w:rPr>
        <w:t>و</w:t>
      </w:r>
      <w:r>
        <w:rPr>
          <w:rFonts w:cs="Times New Roman"/>
          <w:shd w:val="clear" w:color="auto" w:fill="FFFFFF"/>
          <w:rtl/>
          <w:lang w:val="ar-SA"/>
        </w:rPr>
        <w:t xml:space="preserve"> خارجاً عن دائرة متعلق التكليف</w:t>
      </w:r>
      <w:r>
        <w:rPr>
          <w:rFonts w:ascii="Al Nile" w:hAnsi="Al Nile"/>
          <w:shd w:val="clear" w:color="auto" w:fill="FFFFFF"/>
          <w:rtl/>
          <w:lang w:val="ar-SA"/>
        </w:rPr>
        <w:t>.</w:t>
      </w:r>
    </w:p>
    <w:p w:rsidR="00CC7951" w:rsidRDefault="001F4789">
      <w:pPr>
        <w:pStyle w:val="a5"/>
        <w:rPr>
          <w:rFonts w:hint="default"/>
          <w:shd w:val="clear" w:color="auto" w:fill="FFFFFF"/>
        </w:rPr>
      </w:pPr>
      <w:r>
        <w:rPr>
          <w:rFonts w:cs="Times New Roman"/>
          <w:shd w:val="clear" w:color="auto" w:fill="FFFFFF"/>
          <w:rtl/>
          <w:lang w:val="ar-SA"/>
        </w:rPr>
        <w:t xml:space="preserve">نوقش هذا البيان </w:t>
      </w:r>
      <w:r>
        <w:rPr>
          <w:rFonts w:ascii="Al Nile" w:hAnsi="Al Nile"/>
          <w:shd w:val="clear" w:color="auto" w:fill="FFFFFF"/>
          <w:rtl/>
          <w:lang w:val="ar-SA"/>
        </w:rPr>
        <w:t xml:space="preserve">- </w:t>
      </w:r>
      <w:r>
        <w:rPr>
          <w:rFonts w:cs="Times New Roman"/>
          <w:shd w:val="clear" w:color="auto" w:fill="FFFFFF"/>
          <w:rtl/>
          <w:lang w:val="ar-SA"/>
        </w:rPr>
        <w:t>كما في ت</w:t>
      </w:r>
      <w:r>
        <w:rPr>
          <w:rFonts w:cs="Times New Roman"/>
          <w:shd w:val="clear" w:color="auto" w:fill="FFFFFF"/>
          <w:rtl/>
          <w:lang w:val="ar-SA"/>
        </w:rPr>
        <w:t xml:space="preserve">عليقة الأجود للسيد الخوئي قدس سره وغيره </w:t>
      </w:r>
      <w:r>
        <w:rPr>
          <w:rFonts w:ascii="Al Nile" w:hAnsi="Al Nile"/>
          <w:shd w:val="clear" w:color="auto" w:fill="FFFFFF"/>
          <w:rtl/>
          <w:lang w:val="ar-SA"/>
        </w:rPr>
        <w:t xml:space="preserve">- </w:t>
      </w:r>
      <w:r>
        <w:rPr>
          <w:rFonts w:cs="Times New Roman"/>
          <w:shd w:val="clear" w:color="auto" w:fill="FFFFFF"/>
          <w:rtl/>
          <w:lang w:val="ar-SA"/>
        </w:rPr>
        <w:t>بما يظهر من البحث عن المسألة السابقة لأنه قدس سره أخذ في بيانه مقدمةً مسلّمةً والمناقشة في تلك المقدمة وهي أنه يعتبر في صحة العمل وسقوط التكليف مضافاً إلى الحسن الفعلي الحسن الفاعلي</w:t>
      </w:r>
      <w:r>
        <w:rPr>
          <w:rFonts w:ascii="Al Nile" w:hAnsi="Al Nile"/>
          <w:shd w:val="clear" w:color="auto" w:fill="FFFFFF"/>
          <w:rtl/>
          <w:lang w:val="ar-SA"/>
        </w:rPr>
        <w:t xml:space="preserve">. </w:t>
      </w:r>
      <w:r>
        <w:rPr>
          <w:rFonts w:cs="Times New Roman"/>
          <w:shd w:val="clear" w:color="auto" w:fill="FFFFFF"/>
          <w:rtl/>
          <w:lang w:val="ar-SA"/>
        </w:rPr>
        <w:t>وقد تقدم في المسألة السابقة إشك</w:t>
      </w:r>
      <w:r>
        <w:rPr>
          <w:rFonts w:cs="Times New Roman"/>
          <w:shd w:val="clear" w:color="auto" w:fill="FFFFFF"/>
          <w:rtl/>
          <w:lang w:val="ar-SA"/>
        </w:rPr>
        <w:t>الان على هذه المقدمة</w:t>
      </w:r>
      <w:r>
        <w:rPr>
          <w:rFonts w:ascii="Al Nile" w:hAnsi="Al Nile"/>
          <w:shd w:val="clear" w:color="auto" w:fill="FFFFFF"/>
          <w:rtl/>
          <w:lang w:val="ar-SA"/>
        </w:rPr>
        <w:t>:</w:t>
      </w:r>
    </w:p>
    <w:p w:rsidR="00CC7951" w:rsidRDefault="001F4789">
      <w:pPr>
        <w:pStyle w:val="a5"/>
        <w:rPr>
          <w:rFonts w:hint="default"/>
          <w:shd w:val="clear" w:color="auto" w:fill="FFFFFF"/>
        </w:rPr>
      </w:pPr>
      <w:r>
        <w:rPr>
          <w:rFonts w:cs="Times New Roman"/>
          <w:shd w:val="clear" w:color="auto" w:fill="FFFFFF"/>
          <w:rtl/>
          <w:lang w:val="ar-SA"/>
        </w:rPr>
        <w:t>الأول</w:t>
      </w:r>
      <w:r>
        <w:rPr>
          <w:rFonts w:ascii="Al Nile" w:hAnsi="Al Nile"/>
          <w:shd w:val="clear" w:color="auto" w:fill="FFFFFF"/>
          <w:rtl/>
          <w:lang w:val="ar-SA"/>
        </w:rPr>
        <w:t xml:space="preserve">: </w:t>
      </w:r>
      <w:r>
        <w:rPr>
          <w:rFonts w:cs="Times New Roman"/>
          <w:shd w:val="clear" w:color="auto" w:fill="FFFFFF"/>
          <w:rtl/>
          <w:lang w:val="ar-SA"/>
        </w:rPr>
        <w:t>أنه لا دليل على اعتبار الحسن الفاعلي في العمل وإن ما دل الدليل على اعتباره بنحو الشرط العام في جميع الواجبات هو  الحسن الفعلي بمعنى الاشتمال على الملاك</w:t>
      </w:r>
      <w:r>
        <w:rPr>
          <w:rFonts w:ascii="Al Nile" w:hAnsi="Al Nile"/>
          <w:shd w:val="clear" w:color="auto" w:fill="FFFFFF"/>
          <w:rtl/>
          <w:lang w:val="ar-SA"/>
        </w:rPr>
        <w:t>.</w:t>
      </w:r>
    </w:p>
    <w:p w:rsidR="00CC7951" w:rsidRDefault="001F4789">
      <w:pPr>
        <w:pStyle w:val="a5"/>
        <w:rPr>
          <w:rFonts w:hint="default"/>
          <w:shd w:val="clear" w:color="auto" w:fill="FFFFFF"/>
        </w:rPr>
      </w:pPr>
      <w:r>
        <w:rPr>
          <w:rFonts w:cs="Times New Roman"/>
          <w:shd w:val="clear" w:color="auto" w:fill="FFFFFF"/>
          <w:rtl/>
          <w:lang w:val="ar-SA"/>
        </w:rPr>
        <w:t>الثاني</w:t>
      </w:r>
      <w:r>
        <w:rPr>
          <w:rFonts w:ascii="Al Nile" w:hAnsi="Al Nile"/>
          <w:shd w:val="clear" w:color="auto" w:fill="FFFFFF"/>
          <w:rtl/>
          <w:lang w:val="ar-SA"/>
        </w:rPr>
        <w:t xml:space="preserve">: </w:t>
      </w:r>
      <w:r>
        <w:rPr>
          <w:rFonts w:cs="Times New Roman"/>
          <w:shd w:val="clear" w:color="auto" w:fill="FFFFFF"/>
          <w:rtl/>
          <w:lang w:val="ar-SA"/>
        </w:rPr>
        <w:t>أن القول باعتبار الحسن الفاعلي مستلزم لإنكار وجود واجب توصلي بالمع</w:t>
      </w:r>
      <w:r>
        <w:rPr>
          <w:rFonts w:cs="Times New Roman"/>
          <w:shd w:val="clear" w:color="auto" w:fill="FFFFFF"/>
          <w:rtl/>
          <w:lang w:val="ar-SA"/>
        </w:rPr>
        <w:t xml:space="preserve">نى المعروف في الشريعة ورجوع جميع الواجبات إلى الواجبات التعبدية ولا يلتزم بذلك أحد حتى المحقق النائيني قدس سره حيث صرّح في أول بحث التعبدي والتوصلي </w:t>
      </w:r>
      <w:r w:rsidR="00F725FD">
        <w:rPr>
          <w:rFonts w:cs="Times New Roman"/>
          <w:shd w:val="clear" w:color="auto" w:fill="FFFFFF"/>
          <w:rtl/>
          <w:lang w:val="ar-SA"/>
        </w:rPr>
        <w:t>ب</w:t>
      </w:r>
      <w:r>
        <w:rPr>
          <w:rFonts w:cs="Times New Roman"/>
          <w:shd w:val="clear" w:color="auto" w:fill="FFFFFF"/>
          <w:rtl/>
          <w:lang w:val="ar-SA"/>
        </w:rPr>
        <w:t>أن الواجبات في الشريعة على قسمين</w:t>
      </w:r>
      <w:r>
        <w:rPr>
          <w:rFonts w:ascii="Al Nile" w:hAnsi="Al Nile"/>
          <w:shd w:val="clear" w:color="auto" w:fill="FFFFFF"/>
          <w:rtl/>
          <w:lang w:val="ar-SA"/>
        </w:rPr>
        <w:t xml:space="preserve">: </w:t>
      </w:r>
      <w:r>
        <w:rPr>
          <w:rFonts w:cs="Times New Roman"/>
          <w:shd w:val="clear" w:color="auto" w:fill="FFFFFF"/>
          <w:rtl/>
          <w:lang w:val="ar-SA"/>
        </w:rPr>
        <w:t>الأول</w:t>
      </w:r>
      <w:r>
        <w:rPr>
          <w:rFonts w:ascii="Al Nile" w:hAnsi="Al Nile"/>
          <w:shd w:val="clear" w:color="auto" w:fill="FFFFFF"/>
          <w:rtl/>
          <w:lang w:val="ar-SA"/>
        </w:rPr>
        <w:t xml:space="preserve">: </w:t>
      </w:r>
      <w:r>
        <w:rPr>
          <w:rFonts w:cs="Times New Roman"/>
          <w:shd w:val="clear" w:color="auto" w:fill="FFFFFF"/>
          <w:rtl/>
          <w:lang w:val="ar-SA"/>
        </w:rPr>
        <w:t>ما يشترط في سقوط التكليف به قصد القربة والثاني</w:t>
      </w:r>
      <w:r>
        <w:rPr>
          <w:rFonts w:ascii="Al Nile" w:hAnsi="Al Nile"/>
          <w:shd w:val="clear" w:color="auto" w:fill="FFFFFF"/>
          <w:rtl/>
          <w:lang w:val="ar-SA"/>
        </w:rPr>
        <w:t xml:space="preserve">: </w:t>
      </w:r>
      <w:r>
        <w:rPr>
          <w:rFonts w:cs="Times New Roman"/>
          <w:shd w:val="clear" w:color="auto" w:fill="FFFFFF"/>
          <w:rtl/>
          <w:lang w:val="ar-SA"/>
        </w:rPr>
        <w:t>ما لا يشترط في سقوط</w:t>
      </w:r>
      <w:r>
        <w:rPr>
          <w:rFonts w:cs="Times New Roman"/>
          <w:shd w:val="clear" w:color="auto" w:fill="FFFFFF"/>
          <w:rtl/>
          <w:lang w:val="ar-SA"/>
        </w:rPr>
        <w:t xml:space="preserve"> التكليف به قصد القربة بل يكفي الإتيان بذات العمل</w:t>
      </w:r>
      <w:r>
        <w:rPr>
          <w:rFonts w:ascii="Al Nile" w:hAnsi="Al Nile"/>
          <w:shd w:val="clear" w:color="auto" w:fill="FFFFFF"/>
          <w:rtl/>
          <w:lang w:val="ar-SA"/>
        </w:rPr>
        <w:t>.</w:t>
      </w:r>
    </w:p>
    <w:p w:rsidR="00CC7951" w:rsidRDefault="001F4789" w:rsidP="00F725FD">
      <w:pPr>
        <w:pStyle w:val="a5"/>
        <w:rPr>
          <w:rFonts w:hint="default"/>
          <w:shd w:val="clear" w:color="auto" w:fill="FFFFFF"/>
        </w:rPr>
      </w:pPr>
      <w:r>
        <w:rPr>
          <w:rFonts w:cs="Times New Roman"/>
          <w:shd w:val="clear" w:color="auto" w:fill="FFFFFF"/>
          <w:rtl/>
          <w:lang w:val="ar-SA"/>
        </w:rPr>
        <w:t>فما أفاده المحقق النائيني قدس سره مبتنٍ على مقدمة ليست تامةً وهي اعتبار الحسن الفاعلي في صحة العمل وسقوط التكليف به</w:t>
      </w:r>
      <w:r>
        <w:rPr>
          <w:rFonts w:ascii="Al Nile" w:hAnsi="Al Nile"/>
          <w:shd w:val="clear" w:color="auto" w:fill="FFFFFF"/>
          <w:rtl/>
          <w:lang w:val="ar-SA"/>
        </w:rPr>
        <w:t xml:space="preserve">. </w:t>
      </w:r>
      <w:r>
        <w:rPr>
          <w:rFonts w:cs="Times New Roman"/>
          <w:shd w:val="clear" w:color="auto" w:fill="FFFFFF"/>
          <w:rtl/>
          <w:lang w:val="ar-SA"/>
        </w:rPr>
        <w:t>بعد عدم تمامية هذه المقدمة لا يبقى وجه لسقوط التكليف في المقام إلا أحد أمرين</w:t>
      </w:r>
      <w:r>
        <w:rPr>
          <w:rFonts w:ascii="Al Nile" w:hAnsi="Al Nile"/>
          <w:shd w:val="clear" w:color="auto" w:fill="FFFFFF"/>
          <w:rtl/>
          <w:lang w:val="ar-SA"/>
        </w:rPr>
        <w:t xml:space="preserve">: </w:t>
      </w:r>
      <w:r>
        <w:rPr>
          <w:rFonts w:cs="Times New Roman"/>
          <w:shd w:val="clear" w:color="auto" w:fill="FFFFFF"/>
          <w:rtl/>
          <w:lang w:val="ar-SA"/>
        </w:rPr>
        <w:t>وجود الأمر</w:t>
      </w:r>
      <w:r>
        <w:rPr>
          <w:rFonts w:cs="Times New Roman"/>
          <w:shd w:val="clear" w:color="auto" w:fill="FFFFFF"/>
          <w:rtl/>
          <w:lang w:val="ar-SA"/>
        </w:rPr>
        <w:t xml:space="preserve"> بالمجمع أو وجود الملاك فيه</w:t>
      </w:r>
      <w:r>
        <w:rPr>
          <w:rFonts w:ascii="Al Nile" w:hAnsi="Al Nile"/>
          <w:shd w:val="clear" w:color="auto" w:fill="FFFFFF"/>
          <w:rtl/>
          <w:lang w:val="ar-SA"/>
        </w:rPr>
        <w:t xml:space="preserve"> </w:t>
      </w:r>
      <w:r w:rsidR="00F725FD">
        <w:rPr>
          <w:rFonts w:ascii="Al Nile" w:hAnsi="Al Nile"/>
          <w:shd w:val="clear" w:color="auto" w:fill="FFFFFF"/>
          <w:rtl/>
          <w:lang w:val="ar-SA"/>
        </w:rPr>
        <w:t>ففي</w:t>
      </w:r>
      <w:r>
        <w:rPr>
          <w:rFonts w:cs="Times New Roman"/>
          <w:shd w:val="clear" w:color="auto" w:fill="FFFFFF"/>
          <w:rtl/>
          <w:lang w:val="ar-SA"/>
        </w:rPr>
        <w:t xml:space="preserve"> التوصليات يكفي وجود أحد هذين الأمرين وفي التعبديات </w:t>
      </w:r>
      <w:r w:rsidR="00F725FD">
        <w:rPr>
          <w:rFonts w:cs="Times New Roman"/>
          <w:shd w:val="clear" w:color="auto" w:fill="FFFFFF"/>
          <w:rtl/>
          <w:lang w:val="ar-SA"/>
        </w:rPr>
        <w:t>يعتبر</w:t>
      </w:r>
      <w:r>
        <w:rPr>
          <w:rFonts w:cs="Times New Roman"/>
          <w:shd w:val="clear" w:color="auto" w:fill="FFFFFF"/>
          <w:rtl/>
          <w:lang w:val="ar-SA"/>
        </w:rPr>
        <w:t>أحدهما مع صلاحية العمل للتقرب به وعلى هذا الأساس الحكم بالسقوط في المقام مبتنٍ على تعيين المختار في مسألة اجتماع الأمر والنهي هل نقول بجواز الاجتماع أو نقول بالامتناع فإن قل</w:t>
      </w:r>
      <w:r>
        <w:rPr>
          <w:rFonts w:cs="Times New Roman"/>
          <w:shd w:val="clear" w:color="auto" w:fill="FFFFFF"/>
          <w:rtl/>
          <w:lang w:val="ar-SA"/>
        </w:rPr>
        <w:t>نا بجواز اجتماع الأمر والنهي أو قلنا بالامتناع وتقديم جانب ال</w:t>
      </w:r>
      <w:r w:rsidR="00F725FD">
        <w:rPr>
          <w:rFonts w:cs="Times New Roman"/>
          <w:shd w:val="clear" w:color="auto" w:fill="FFFFFF"/>
          <w:rtl/>
          <w:lang w:val="ar-SA"/>
        </w:rPr>
        <w:t>أمر</w:t>
      </w:r>
      <w:r>
        <w:rPr>
          <w:rFonts w:cs="Times New Roman"/>
          <w:shd w:val="clear" w:color="auto" w:fill="FFFFFF"/>
          <w:rtl/>
          <w:lang w:val="ar-SA"/>
        </w:rPr>
        <w:t xml:space="preserve"> يكون المجمع واجداً للأمر وإن قلنا بالامتناع وتقديم جانب النهي فلابد من إحراز وجود الملاك على الأقل فالحكم يبتني على تعيين المختار في تلك المسألة</w:t>
      </w:r>
      <w:r>
        <w:rPr>
          <w:rFonts w:ascii="Al Nile" w:hAnsi="Al Nile"/>
          <w:shd w:val="clear" w:color="auto" w:fill="FFFFFF"/>
          <w:rtl/>
          <w:lang w:val="ar-SA"/>
        </w:rPr>
        <w:t>.</w:t>
      </w:r>
    </w:p>
    <w:p w:rsidR="00CC7951" w:rsidRDefault="001F4789">
      <w:pPr>
        <w:pStyle w:val="a5"/>
        <w:rPr>
          <w:rFonts w:hint="default"/>
          <w:shd w:val="clear" w:color="auto" w:fill="FFFFFF"/>
        </w:rPr>
      </w:pPr>
      <w:r>
        <w:rPr>
          <w:rFonts w:cs="Times New Roman"/>
          <w:shd w:val="clear" w:color="auto" w:fill="FFFFFF"/>
          <w:rtl/>
          <w:lang w:val="ar-SA"/>
        </w:rPr>
        <w:t xml:space="preserve">فبناءً على ما تقدم عن المحقق العراقي قدس سره </w:t>
      </w:r>
      <w:r>
        <w:rPr>
          <w:rFonts w:cs="Times New Roman"/>
          <w:shd w:val="clear" w:color="auto" w:fill="FFFFFF"/>
          <w:rtl/>
          <w:lang w:val="ar-SA"/>
        </w:rPr>
        <w:t>في التقدير الأول لابد من القول هنا على التقدير الثاني أيضاً بسقوط التكليف والحكم بالتوصلية سواء قلنا بجواز الاجتماع أو قلنا بالامتناع فإن قلنا بجواز الاجتماع أو امتناعه وتقديم جانب الأمر يكون المجمع واجداً للأمر وإن قلنا بالامتناع وتقديم جانب النهي يكون إط</w:t>
      </w:r>
      <w:r>
        <w:rPr>
          <w:rFonts w:cs="Times New Roman"/>
          <w:shd w:val="clear" w:color="auto" w:fill="FFFFFF"/>
          <w:rtl/>
          <w:lang w:val="ar-SA"/>
        </w:rPr>
        <w:t xml:space="preserve">لاق المادة في خطاب الأمر كاشفاً عن وجود الملاك حتى لو كان عبادةً كالصلاة في الدار الغصبي فإن المحقق العراقي قدس سره أفاد أن الإتيان بالفرد المحرم وإن لم </w:t>
      </w:r>
      <w:r>
        <w:rPr>
          <w:rFonts w:cs="Times New Roman"/>
          <w:shd w:val="clear" w:color="auto" w:fill="FFFFFF"/>
          <w:rtl/>
          <w:lang w:val="ar-SA"/>
        </w:rPr>
        <w:lastRenderedPageBreak/>
        <w:t>يكن مصداقاً للامتثال لعدم وجود الأمر ولكن يحكم بالصحة عن طريق وجود الملاك</w:t>
      </w:r>
      <w:r>
        <w:rPr>
          <w:rFonts w:ascii="Al Nile" w:hAnsi="Al Nile"/>
          <w:shd w:val="clear" w:color="auto" w:fill="FFFFFF"/>
          <w:rtl/>
          <w:lang w:val="ar-SA"/>
        </w:rPr>
        <w:t>.</w:t>
      </w:r>
    </w:p>
    <w:p w:rsidR="00CC7951" w:rsidRDefault="001F4789">
      <w:pPr>
        <w:pStyle w:val="a5"/>
        <w:rPr>
          <w:rFonts w:hint="default"/>
          <w:shd w:val="clear" w:color="auto" w:fill="FFFFFF"/>
        </w:rPr>
      </w:pPr>
      <w:r>
        <w:rPr>
          <w:rFonts w:cs="Times New Roman"/>
          <w:shd w:val="clear" w:color="auto" w:fill="FFFFFF"/>
          <w:rtl/>
          <w:lang w:val="ar-SA"/>
        </w:rPr>
        <w:t>ولكن تقدمت المناقشة في هذا ا</w:t>
      </w:r>
      <w:r>
        <w:rPr>
          <w:rFonts w:cs="Times New Roman"/>
          <w:shd w:val="clear" w:color="auto" w:fill="FFFFFF"/>
          <w:rtl/>
          <w:lang w:val="ar-SA"/>
        </w:rPr>
        <w:t>لبيان في التقدير الأول ومحصلها أن الخطابات الشرعية ليست في مقام بيان المصالح والمفاسد بل لبيان التكاليف والدلالة على وجود الملاك إن وجدت تكون دلالةً التزاميةً لا مطابقيةً والدلالة الالتزامية إن بقيت الدلالة المطابقية على حجيتها تكون حجةً وإلا سقطت عن الحجي</w:t>
      </w:r>
      <w:r>
        <w:rPr>
          <w:rFonts w:cs="Times New Roman"/>
          <w:shd w:val="clear" w:color="auto" w:fill="FFFFFF"/>
          <w:rtl/>
          <w:lang w:val="ar-SA"/>
        </w:rPr>
        <w:t>ة</w:t>
      </w:r>
      <w:r>
        <w:rPr>
          <w:rFonts w:ascii="Al Nile" w:hAnsi="Al Nile"/>
          <w:shd w:val="clear" w:color="auto" w:fill="FFFFFF"/>
          <w:rtl/>
          <w:lang w:val="ar-SA"/>
        </w:rPr>
        <w:t>.</w:t>
      </w:r>
    </w:p>
    <w:p w:rsidR="00CC7951" w:rsidRDefault="001F4789">
      <w:pPr>
        <w:pStyle w:val="a5"/>
        <w:rPr>
          <w:rFonts w:hint="default"/>
          <w:shd w:val="clear" w:color="auto" w:fill="FFFFFF"/>
        </w:rPr>
      </w:pPr>
      <w:r>
        <w:rPr>
          <w:rFonts w:cs="Times New Roman"/>
          <w:shd w:val="clear" w:color="auto" w:fill="FFFFFF"/>
          <w:rtl/>
          <w:lang w:val="ar-SA"/>
        </w:rPr>
        <w:t>هذا حكم المسألة في نظر المحقق العراقي قدس سره</w:t>
      </w:r>
      <w:r>
        <w:rPr>
          <w:rFonts w:ascii="Al Nile" w:hAnsi="Al Nile"/>
          <w:shd w:val="clear" w:color="auto" w:fill="FFFFFF"/>
          <w:rtl/>
          <w:lang w:val="ar-SA"/>
        </w:rPr>
        <w:t>.</w:t>
      </w:r>
    </w:p>
    <w:p w:rsidR="00CC7951" w:rsidRDefault="001F4789" w:rsidP="00F725FD">
      <w:pPr>
        <w:pStyle w:val="a5"/>
        <w:rPr>
          <w:rFonts w:hint="default"/>
          <w:shd w:val="clear" w:color="auto" w:fill="FFFFFF"/>
        </w:rPr>
      </w:pPr>
      <w:r>
        <w:rPr>
          <w:rFonts w:cs="Times New Roman"/>
          <w:shd w:val="clear" w:color="auto" w:fill="FFFFFF"/>
          <w:rtl/>
          <w:lang w:val="ar-SA"/>
        </w:rPr>
        <w:t>وبناءً على ما أفاده المحقق الآخوند قدس سره في المقدمة العاشرة من مقدمات بحث اجتماع الأمر والنهي إن قلنا بجواز اجتماع الأمر والنهي نحكم بصحة المجمع لوجود الأمر وكذلك إن قلنا بالامتناع وتقديم جانب ال</w:t>
      </w:r>
      <w:r w:rsidR="00F725FD">
        <w:rPr>
          <w:rFonts w:cs="Times New Roman"/>
          <w:shd w:val="clear" w:color="auto" w:fill="FFFFFF"/>
          <w:rtl/>
          <w:lang w:val="ar-SA"/>
        </w:rPr>
        <w:t>أمر</w:t>
      </w:r>
      <w:r>
        <w:rPr>
          <w:rFonts w:cs="Times New Roman"/>
          <w:shd w:val="clear" w:color="auto" w:fill="FFFFFF"/>
          <w:rtl/>
          <w:lang w:val="ar-SA"/>
        </w:rPr>
        <w:t xml:space="preserve"> نحكم </w:t>
      </w:r>
      <w:r>
        <w:rPr>
          <w:rFonts w:cs="Times New Roman"/>
          <w:shd w:val="clear" w:color="auto" w:fill="FFFFFF"/>
          <w:rtl/>
          <w:lang w:val="ar-SA"/>
        </w:rPr>
        <w:t xml:space="preserve">بالصحة وأما إن قلنا بالامتناع وتقديم جانب النهي لا يمكن الحكم بالصحة عن طريق وجود الأمر لكن يمكن الحكم بالصحة عن طريق وجود الملاك إن كان الواجب من التوصليات مطلقاً سواء صدر عن تقصير والتفات إلى النهي أو عن قصور وغفلة لوجود الغرض والملاك وأما إن كان الواجب </w:t>
      </w:r>
      <w:r>
        <w:rPr>
          <w:rFonts w:cs="Times New Roman"/>
          <w:shd w:val="clear" w:color="auto" w:fill="FFFFFF"/>
          <w:rtl/>
          <w:lang w:val="ar-SA"/>
        </w:rPr>
        <w:t xml:space="preserve">تعبدياً فالمجمع وإن كان واجداً للملاك </w:t>
      </w:r>
      <w:r>
        <w:rPr>
          <w:rFonts w:ascii="Al Nile" w:hAnsi="Al Nile"/>
          <w:shd w:val="clear" w:color="auto" w:fill="FFFFFF"/>
          <w:rtl/>
          <w:lang w:val="ar-SA"/>
        </w:rPr>
        <w:t xml:space="preserve">- </w:t>
      </w:r>
      <w:r>
        <w:rPr>
          <w:rFonts w:cs="Times New Roman"/>
          <w:shd w:val="clear" w:color="auto" w:fill="FFFFFF"/>
          <w:rtl/>
          <w:lang w:val="ar-SA"/>
        </w:rPr>
        <w:t xml:space="preserve">كما أفاد المحقق الآخوند قدس سره أن من شرائط اجتماع الأمر والنهي كون المجمع واجداً لملاك الأمر وملاك النهي </w:t>
      </w:r>
      <w:r>
        <w:rPr>
          <w:rFonts w:ascii="Al Nile" w:hAnsi="Al Nile"/>
          <w:shd w:val="clear" w:color="auto" w:fill="FFFFFF"/>
          <w:rtl/>
          <w:lang w:val="ar-SA"/>
        </w:rPr>
        <w:t xml:space="preserve">- </w:t>
      </w:r>
      <w:r>
        <w:rPr>
          <w:rFonts w:cs="Times New Roman"/>
          <w:shd w:val="clear" w:color="auto" w:fill="FFFFFF"/>
          <w:rtl/>
          <w:lang w:val="ar-SA"/>
        </w:rPr>
        <w:t>لكن إن صدر عن تقصير والتفات إلى النهي لا يكون صالحاً للمقرّبية لأن المكلف يعلم بأن هذا العمل مبغوض للمولى فل</w:t>
      </w:r>
      <w:r>
        <w:rPr>
          <w:rFonts w:cs="Times New Roman"/>
          <w:shd w:val="clear" w:color="auto" w:fill="FFFFFF"/>
          <w:rtl/>
          <w:lang w:val="ar-SA"/>
        </w:rPr>
        <w:t>ا يحكم بالصحة وإن صدر عن قصور وغفلة فيكون صالحاً للمقرّبية لوجود الملاك في المجمع وعدم تنجّز النهي فيحكم بالصحة ففي العبادات لاشتراط الصلاحية للمقربية لابد من التفصيل بين فرض</w:t>
      </w:r>
      <w:r w:rsidR="00F725FD">
        <w:rPr>
          <w:rFonts w:cs="Times New Roman"/>
          <w:shd w:val="clear" w:color="auto" w:fill="FFFFFF"/>
          <w:rtl/>
          <w:lang w:val="ar-SA"/>
        </w:rPr>
        <w:t>ي</w:t>
      </w:r>
      <w:r>
        <w:rPr>
          <w:rFonts w:cs="Times New Roman"/>
          <w:shd w:val="clear" w:color="auto" w:fill="FFFFFF"/>
          <w:rtl/>
          <w:lang w:val="ar-SA"/>
        </w:rPr>
        <w:t xml:space="preserve"> الارتكاب التقصيري والارتكاب القصوري</w:t>
      </w:r>
      <w:r>
        <w:rPr>
          <w:rFonts w:ascii="Al Nile" w:hAnsi="Al Nile"/>
          <w:shd w:val="clear" w:color="auto" w:fill="FFFFFF"/>
          <w:rtl/>
          <w:lang w:val="ar-SA"/>
        </w:rPr>
        <w:t>.</w:t>
      </w:r>
    </w:p>
    <w:p w:rsidR="00CC7951" w:rsidRDefault="001F4789" w:rsidP="00F725FD">
      <w:pPr>
        <w:pStyle w:val="a5"/>
        <w:rPr>
          <w:rFonts w:hint="default"/>
          <w:shd w:val="clear" w:color="auto" w:fill="FFFFFF"/>
        </w:rPr>
      </w:pPr>
      <w:r>
        <w:rPr>
          <w:rFonts w:cs="Times New Roman"/>
          <w:shd w:val="clear" w:color="auto" w:fill="FFFFFF"/>
          <w:rtl/>
          <w:lang w:val="ar-SA"/>
        </w:rPr>
        <w:t>نوقش هذا البيان في كلمات المتأخرين كالسيد ال</w:t>
      </w:r>
      <w:r>
        <w:rPr>
          <w:rFonts w:cs="Times New Roman"/>
          <w:shd w:val="clear" w:color="auto" w:fill="FFFFFF"/>
          <w:rtl/>
          <w:lang w:val="ar-SA"/>
        </w:rPr>
        <w:t xml:space="preserve">خوئي والميرزا التبريزي قدس سرهما بأن الكبرى وإن كان مسلّمةً </w:t>
      </w:r>
      <w:r>
        <w:rPr>
          <w:rFonts w:ascii="Al Nile" w:hAnsi="Al Nile"/>
          <w:shd w:val="clear" w:color="auto" w:fill="FFFFFF"/>
          <w:rtl/>
          <w:lang w:val="ar-SA"/>
        </w:rPr>
        <w:t xml:space="preserve">- </w:t>
      </w:r>
      <w:r>
        <w:rPr>
          <w:rFonts w:cs="Times New Roman"/>
          <w:shd w:val="clear" w:color="auto" w:fill="FFFFFF"/>
          <w:rtl/>
          <w:lang w:val="ar-SA"/>
        </w:rPr>
        <w:t xml:space="preserve">وهي أنه لابد للحكم بصحة العمل في التوصليات من وجود الأمر أو وجود الملاك وفي التعبديات من وجود أحد الأمرين مع الصلاحية للمقربية </w:t>
      </w:r>
      <w:r>
        <w:rPr>
          <w:rFonts w:ascii="Al Nile" w:hAnsi="Al Nile"/>
          <w:shd w:val="clear" w:color="auto" w:fill="FFFFFF"/>
          <w:rtl/>
          <w:lang w:val="ar-SA"/>
        </w:rPr>
        <w:t xml:space="preserve">- </w:t>
      </w:r>
      <w:r>
        <w:rPr>
          <w:rFonts w:cs="Times New Roman"/>
          <w:shd w:val="clear" w:color="auto" w:fill="FFFFFF"/>
          <w:rtl/>
          <w:lang w:val="ar-SA"/>
        </w:rPr>
        <w:t>لكن الإشكال في تطبيقها في التوصليات عن طريق وجود الملاك والحكم با</w:t>
      </w:r>
      <w:r>
        <w:rPr>
          <w:rFonts w:cs="Times New Roman"/>
          <w:shd w:val="clear" w:color="auto" w:fill="FFFFFF"/>
          <w:rtl/>
          <w:lang w:val="ar-SA"/>
        </w:rPr>
        <w:t>لصحة مطلقاً من أين كشفتم أن المجمع واجد للملاك؟ لا طريق لكشف الملاك غير الخطابات الشرعية فما هو الكاشف بعد البناء على تقديم جانب النهي وانتفاء الأمر؟ فلابد من الحكم بالفساد لعدم وجود الأمر وعدم وجود كاشف عن الملاك</w:t>
      </w:r>
      <w:r>
        <w:rPr>
          <w:rFonts w:ascii="Al Nile" w:hAnsi="Al Nile"/>
          <w:shd w:val="clear" w:color="auto" w:fill="FFFFFF"/>
          <w:rtl/>
          <w:lang w:val="ar-SA"/>
        </w:rPr>
        <w:t xml:space="preserve">. </w:t>
      </w:r>
      <w:r>
        <w:rPr>
          <w:rFonts w:cs="Times New Roman"/>
          <w:shd w:val="clear" w:color="auto" w:fill="FFFFFF"/>
          <w:rtl/>
          <w:lang w:val="ar-SA"/>
        </w:rPr>
        <w:t xml:space="preserve">نعم، قد يتفق </w:t>
      </w:r>
      <w:r w:rsidR="00F725FD">
        <w:rPr>
          <w:rFonts w:cs="Times New Roman"/>
          <w:shd w:val="clear" w:color="auto" w:fill="FFFFFF"/>
          <w:rtl/>
          <w:lang w:val="ar-SA"/>
        </w:rPr>
        <w:t>احراز</w:t>
      </w:r>
      <w:r w:rsidR="00F725FD">
        <w:rPr>
          <w:rFonts w:cs="Times New Roman"/>
          <w:shd w:val="clear" w:color="auto" w:fill="FFFFFF"/>
          <w:rtl/>
          <w:lang w:val="ar-SA"/>
        </w:rPr>
        <w:t xml:space="preserve">وجود الملاك في المجمع </w:t>
      </w:r>
      <w:r>
        <w:rPr>
          <w:rFonts w:cs="Times New Roman"/>
          <w:shd w:val="clear" w:color="auto" w:fill="FFFFFF"/>
          <w:rtl/>
          <w:lang w:val="ar-SA"/>
        </w:rPr>
        <w:t xml:space="preserve">في بعض الموارد </w:t>
      </w:r>
      <w:r w:rsidR="00F725FD">
        <w:rPr>
          <w:rFonts w:cs="Times New Roman"/>
          <w:shd w:val="clear" w:color="auto" w:fill="FFFFFF"/>
          <w:rtl/>
          <w:lang w:val="ar-SA"/>
        </w:rPr>
        <w:t xml:space="preserve">لقيام القرينة من </w:t>
      </w:r>
      <w:r>
        <w:rPr>
          <w:rFonts w:cs="Times New Roman"/>
          <w:shd w:val="clear" w:color="auto" w:fill="FFFFFF"/>
          <w:rtl/>
          <w:lang w:val="ar-SA"/>
        </w:rPr>
        <w:t>مناسبة الحكم</w:t>
      </w:r>
      <w:r>
        <w:rPr>
          <w:rFonts w:cs="Times New Roman"/>
          <w:shd w:val="clear" w:color="auto" w:fill="FFFFFF"/>
          <w:rtl/>
          <w:lang w:val="ar-SA"/>
        </w:rPr>
        <w:t xml:space="preserve"> للموضوع</w:t>
      </w:r>
      <w:r w:rsidR="00F725FD">
        <w:rPr>
          <w:rFonts w:cs="Times New Roman"/>
          <w:shd w:val="clear" w:color="auto" w:fill="FFFFFF"/>
          <w:rtl/>
          <w:lang w:val="ar-SA"/>
        </w:rPr>
        <w:t xml:space="preserve"> اوغيرها</w:t>
      </w:r>
      <w:r>
        <w:rPr>
          <w:rFonts w:cs="Times New Roman"/>
          <w:shd w:val="clear" w:color="auto" w:fill="FFFFFF"/>
          <w:rtl/>
          <w:lang w:val="ar-SA"/>
        </w:rPr>
        <w:t xml:space="preserve"> </w:t>
      </w:r>
      <w:bookmarkStart w:id="0" w:name="_GoBack"/>
      <w:bookmarkEnd w:id="0"/>
      <w:r>
        <w:rPr>
          <w:rFonts w:cs="Times New Roman"/>
          <w:shd w:val="clear" w:color="auto" w:fill="FFFFFF"/>
          <w:rtl/>
          <w:lang w:val="ar-SA"/>
        </w:rPr>
        <w:t xml:space="preserve"> ولكن ليس ذلك كقاعدة عامة</w:t>
      </w:r>
      <w:r>
        <w:rPr>
          <w:rFonts w:ascii="Al Nile" w:hAnsi="Al Nile"/>
          <w:shd w:val="clear" w:color="auto" w:fill="FFFFFF"/>
          <w:rtl/>
          <w:lang w:val="ar-SA"/>
        </w:rPr>
        <w:t xml:space="preserve">. </w:t>
      </w:r>
    </w:p>
    <w:p w:rsidR="00CC7951" w:rsidRDefault="001F4789">
      <w:pPr>
        <w:pStyle w:val="a5"/>
        <w:rPr>
          <w:rFonts w:hint="default"/>
        </w:rPr>
      </w:pPr>
      <w:r>
        <w:rPr>
          <w:rFonts w:cs="Times New Roman"/>
          <w:shd w:val="clear" w:color="auto" w:fill="FFFFFF"/>
          <w:rtl/>
          <w:lang w:val="ar-SA"/>
        </w:rPr>
        <w:t>وصلّى الله على محمد وآله الطاهرين</w:t>
      </w:r>
      <w:r>
        <w:rPr>
          <w:rFonts w:ascii="Al Nile" w:hAnsi="Al Nile"/>
          <w:shd w:val="clear" w:color="auto" w:fill="FFFFFF"/>
          <w:rtl/>
          <w:lang w:val="ar-SA"/>
        </w:rPr>
        <w:t>.</w:t>
      </w:r>
    </w:p>
    <w:sectPr w:rsidR="00CC7951">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789" w:rsidRDefault="001F4789">
      <w:r>
        <w:separator/>
      </w:r>
    </w:p>
  </w:endnote>
  <w:endnote w:type="continuationSeparator" w:id="0">
    <w:p w:rsidR="001F4789" w:rsidRDefault="001F4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951" w:rsidRDefault="001F4789">
    <w:pPr>
      <w:pStyle w:val="a4"/>
      <w:jc w:val="center"/>
    </w:pPr>
    <w:r>
      <w:fldChar w:fldCharType="begin"/>
    </w:r>
    <w:r>
      <w:instrText xml:space="preserve"> PAGE </w:instrText>
    </w:r>
    <w:r w:rsidR="00F725FD">
      <w:fldChar w:fldCharType="separate"/>
    </w:r>
    <w:r w:rsidR="00F725FD">
      <w:rPr>
        <w:rFonts w:cs="Times New Roman"/>
        <w:noProof/>
        <w:rtl/>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789" w:rsidRDefault="001F4789">
      <w:r>
        <w:separator/>
      </w:r>
    </w:p>
  </w:footnote>
  <w:footnote w:type="continuationSeparator" w:id="0">
    <w:p w:rsidR="001F4789" w:rsidRDefault="001F47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951" w:rsidRDefault="00CC795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C7951"/>
    <w:rsid w:val="001972EC"/>
    <w:rsid w:val="001F4789"/>
    <w:rsid w:val="00CC7951"/>
    <w:rsid w:val="00F725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1338</Words>
  <Characters>7633</Characters>
  <Application>Microsoft Office Word</Application>
  <DocSecurity>0</DocSecurity>
  <Lines>63</Lines>
  <Paragraphs>17</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2022-11-16T16:04:00Z</dcterms:created>
  <dcterms:modified xsi:type="dcterms:W3CDTF">2022-11-16T18:22:00Z</dcterms:modified>
</cp:coreProperties>
</file>