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671D" w:rsidRPr="00C11FC0" w:rsidRDefault="009B671D" w:rsidP="00EB3BA5">
      <w:pPr>
        <w:pStyle w:val="Heading1"/>
        <w:spacing w:line="276" w:lineRule="auto"/>
        <w:rPr>
          <w:rFonts w:ascii="Adobe Arabic" w:eastAsia="MS UI Gothic" w:hAnsi="Adobe Arabic" w:cs="Adobe Arabic"/>
          <w:b/>
          <w:bCs/>
          <w:sz w:val="20"/>
          <w:szCs w:val="20"/>
        </w:rPr>
      </w:pPr>
      <w:r w:rsidRPr="00C11FC0">
        <w:rPr>
          <w:rFonts w:ascii="Adobe Arabic" w:eastAsia="MS UI Gothic" w:hAnsi="Adobe Arabic" w:cs="Adobe Arabic"/>
          <w:b/>
          <w:bCs/>
          <w:sz w:val="20"/>
          <w:szCs w:val="20"/>
          <w:rtl/>
        </w:rPr>
        <w:t>دَعَواتُ الأَكلِ وَالشُّربِ‏ (ادعیه ی خوردن و آشامیدن</w:t>
      </w:r>
      <w:r w:rsidR="00F627D6" w:rsidRPr="00C11FC0">
        <w:rPr>
          <w:rFonts w:ascii="Adobe Arabic" w:eastAsia="MS UI Gothic" w:hAnsi="Adobe Arabic" w:cs="Adobe Arabic"/>
          <w:b/>
          <w:bCs/>
          <w:sz w:val="20"/>
          <w:szCs w:val="20"/>
          <w:rtl/>
        </w:rPr>
        <w:t xml:space="preserve"> از کتاب کنزالدعاء جمع آوری حضرت آیت الله ریشهری ج 2 ص 95</w:t>
      </w:r>
      <w:r w:rsidRPr="00C11FC0">
        <w:rPr>
          <w:rFonts w:ascii="Adobe Arabic" w:eastAsia="MS UI Gothic" w:hAnsi="Adobe Arabic" w:cs="Adobe Arabic"/>
          <w:b/>
          <w:bCs/>
          <w:sz w:val="20"/>
          <w:szCs w:val="20"/>
          <w:rtl/>
        </w:rPr>
        <w:t>)</w:t>
      </w:r>
    </w:p>
    <w:p w:rsidR="009B671D" w:rsidRPr="00C11FC0" w:rsidRDefault="009B671D" w:rsidP="00EB3BA5">
      <w:pPr>
        <w:pStyle w:val="Heading1"/>
        <w:spacing w:line="276" w:lineRule="auto"/>
        <w:rPr>
          <w:rFonts w:ascii="Neirizi" w:hAnsi="Neirizi" w:cs="QuranTaha"/>
          <w:sz w:val="24"/>
          <w:szCs w:val="24"/>
          <w:rtl/>
        </w:rPr>
      </w:pPr>
      <w:r w:rsidRPr="00C11FC0">
        <w:rPr>
          <w:rFonts w:ascii="Neirizi" w:hAnsi="Neirizi" w:cs="QuranTaha"/>
          <w:sz w:val="24"/>
          <w:szCs w:val="24"/>
          <w:rtl/>
        </w:rPr>
        <w:t>الأَدعِيَةُ المَأثورَةُ عِندَ وَضعِ المائِدَةِ (دعا در هنگام پهن شدن سفره)</w:t>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بِسمِ اللَّهِ وبِاللَّهِ، وهذا مِن فَضلِ اللَّهِ، وبَرَكَةِ رَسولِ اللَّهِ وآلِ رَسولِ اللَّهِ، بِسمِ اللَّهِ خَيرِ الأَسماءِ، بِسمِ اللَّهِ رَبّ</w:t>
      </w:r>
      <w:bookmarkStart w:id="0" w:name="_GoBack"/>
      <w:bookmarkEnd w:id="0"/>
      <w:r w:rsidRPr="00C11FC0">
        <w:rPr>
          <w:rFonts w:ascii="Neirizi" w:hAnsi="Neirizi" w:cs="Neirizi"/>
          <w:sz w:val="20"/>
          <w:szCs w:val="20"/>
          <w:rtl/>
        </w:rPr>
        <w:t>ِ الأَرضِ وَالسَّماءِ، بِسمِ اللَّهِ الَّذي لا يَضُرُّ مَعَ اسمِهِ شَي‏ءٌ فِي الأَرضِ ولا فِي السَّماءِ وهُوَ السَّميعُ العَليمُ، اللَّهُمَّ أسعِدني مِن مَطعَمي هذا بِخَيرِهِ، وأَعِذني مِن شَرِّهِ، وأَمتِعني بِنَفعِهِ، وسَلِّمني مِن ضَرِّهِ.</w:t>
      </w:r>
      <w:r w:rsidRPr="00C11FC0">
        <w:rPr>
          <w:rFonts w:ascii="Neirizi" w:hAnsi="Neirizi" w:cs="Neirizi"/>
          <w:sz w:val="20"/>
          <w:szCs w:val="20"/>
          <w:vertAlign w:val="superscript"/>
          <w:rtl/>
        </w:rPr>
        <w:footnoteReference w:id="1"/>
      </w:r>
      <w:r w:rsidRPr="00C11FC0">
        <w:rPr>
          <w:rFonts w:ascii="Neirizi" w:hAnsi="Neirizi" w:cs="Neirizi"/>
          <w:sz w:val="20"/>
          <w:szCs w:val="20"/>
          <w:rtl/>
        </w:rPr>
        <w:t xml:space="preserve"> بِسمِ اللَّهِ عَلى‏ أوَّلِهِ وآخِرِهِ،</w:t>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 xml:space="preserve">سُبحانَكَ اللَّهُمَّ ما أحسَنَ ما تَبتَلينا! سُبحانَكَ ما أكثَرَ ما تُعطينا! سُبحانَكَ ما أكثَرَ ما تُعافينا! </w:t>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اللَّهُمَّ أوسِع عَلَينا وعَلى‏ فُقَراءِ المُؤمِنينَ وَالمُؤمِناتِ، وَالمُسلِمينَ وَالمُسلِماتِ.</w:t>
      </w:r>
      <w:r w:rsidRPr="00C11FC0">
        <w:rPr>
          <w:rFonts w:ascii="Neirizi" w:hAnsi="Neirizi" w:cs="Neirizi"/>
          <w:sz w:val="20"/>
          <w:szCs w:val="20"/>
          <w:vertAlign w:val="superscript"/>
          <w:rtl/>
        </w:rPr>
        <w:footnoteReference w:id="2"/>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اللَّهُمَّ اجعَلها نِعمَةً مَشكورَةً تَصِلُ بِها نِعمَةَ الجَنَّةِ.</w:t>
      </w:r>
      <w:r w:rsidRPr="00C11FC0">
        <w:rPr>
          <w:rFonts w:ascii="Neirizi" w:hAnsi="Neirizi" w:cs="Neirizi"/>
          <w:sz w:val="20"/>
          <w:szCs w:val="20"/>
          <w:vertAlign w:val="superscript"/>
          <w:rtl/>
        </w:rPr>
        <w:footnoteReference w:id="3"/>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اللَّهُمَّ إنَّ هذا مِن‏عَطائِكَ فَبارِك لَنا فيهِ وسَوِّغناهُ‏</w:t>
      </w:r>
      <w:r w:rsidRPr="00C11FC0">
        <w:rPr>
          <w:rFonts w:ascii="Neirizi" w:hAnsi="Neirizi" w:cs="Neirizi"/>
          <w:sz w:val="20"/>
          <w:szCs w:val="20"/>
          <w:vertAlign w:val="superscript"/>
          <w:rtl/>
        </w:rPr>
        <w:footnoteReference w:id="4"/>
      </w:r>
      <w:r w:rsidRPr="00C11FC0">
        <w:rPr>
          <w:rFonts w:ascii="Neirizi" w:hAnsi="Neirizi" w:cs="Neirizi"/>
          <w:sz w:val="20"/>
          <w:szCs w:val="20"/>
          <w:rtl/>
        </w:rPr>
        <w:t>، وَاخلُف‏لَنا خَلَفاً لِما أكَلناهُ أو شَرِبناهُ، مِن غَيرِ حَولٍ مِنّا ولا قُوَّةٍ، رَزَقتَ فَأَحسَنتَ فَلَكَ الحَمدُ، رَبِّ اجعَلنا مِنَ الشّاكِرينَ.</w:t>
      </w:r>
      <w:r w:rsidRPr="00C11FC0">
        <w:rPr>
          <w:rFonts w:ascii="Neirizi" w:hAnsi="Neirizi" w:cs="Neirizi"/>
          <w:sz w:val="20"/>
          <w:szCs w:val="20"/>
          <w:vertAlign w:val="superscript"/>
          <w:rtl/>
        </w:rPr>
        <w:footnoteReference w:id="5"/>
      </w:r>
      <w:r w:rsidRPr="00C11FC0">
        <w:rPr>
          <w:rFonts w:ascii="Neirizi" w:hAnsi="Neirizi" w:cs="Neirizi"/>
          <w:sz w:val="20"/>
          <w:szCs w:val="20"/>
          <w:rtl/>
        </w:rPr>
        <w:t>...</w:t>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اللَّهُمَّ إنّي أسأَ لُكَ في أكلي وشُربِي السَّلامَةَ مِن وَعكِهِ‏</w:t>
      </w:r>
      <w:r w:rsidRPr="00C11FC0">
        <w:rPr>
          <w:rFonts w:ascii="Neirizi" w:hAnsi="Neirizi" w:cs="Neirizi"/>
          <w:sz w:val="20"/>
          <w:szCs w:val="20"/>
          <w:vertAlign w:val="superscript"/>
          <w:rtl/>
        </w:rPr>
        <w:footnoteReference w:id="6"/>
      </w:r>
      <w:r w:rsidRPr="00C11FC0">
        <w:rPr>
          <w:rFonts w:ascii="Neirizi" w:hAnsi="Neirizi" w:cs="Neirizi"/>
          <w:sz w:val="20"/>
          <w:szCs w:val="20"/>
          <w:rtl/>
        </w:rPr>
        <w:t>، وَالقُوَّةَ بِهِ عَلى‏ طاعَتِكَ وذِكرِكَ وشُكرِكَ فيما بَقَّيتَهُ في بَدَني، وأَن تُشَجِّعَني بِقُوَّتِها عَلى‏ عِبادَتِكَ، وأَن تُلهِمَني حُسنَ التَّحَرُّزِ مِن مَعصِيَتِكَ.</w:t>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اللَّهُمَّ هذا مِن مَنِّكَ وفَضلِكَ وعَطائِكَ، فَبارِك لَنا فيهِ وسَوِّغناهُ، وَارزُقنا خَلَفاً إذا أكَلناهُ، ورُبَّ مُحتاجٍ إلَيهِ، رَزَقتَ فَأَحسَنتَ. اللَّهُمَّ وَاجعَلنا مِنَ الشّاكِرينَ.</w:t>
      </w:r>
      <w:r w:rsidRPr="00C11FC0">
        <w:rPr>
          <w:rFonts w:ascii="Neirizi" w:hAnsi="Neirizi" w:cs="Neirizi"/>
          <w:sz w:val="20"/>
          <w:szCs w:val="20"/>
          <w:vertAlign w:val="superscript"/>
          <w:rtl/>
        </w:rPr>
        <w:footnoteReference w:id="7"/>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اللَّهُمَّ كَما أشبَعتَنا فَأَشبِع كُلَّ مُؤمِنٍ ومُؤمِنَةٍ، وبارِك لَنا في طَعامِنا وشَرابِنا وأَجسادِنا وأَموالِنا.</w:t>
      </w:r>
      <w:r w:rsidRPr="00C11FC0">
        <w:rPr>
          <w:rFonts w:ascii="Neirizi" w:hAnsi="Neirizi" w:cs="Neirizi"/>
          <w:sz w:val="20"/>
          <w:szCs w:val="20"/>
          <w:vertAlign w:val="superscript"/>
          <w:rtl/>
        </w:rPr>
        <w:footnoteReference w:id="8"/>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اللَّهُمَّ لَكَ الحَمدُ عَلى‏ما رَزَقتَني مِن طَعامٍ وإدامٍ‏</w:t>
      </w:r>
      <w:r w:rsidRPr="00C11FC0">
        <w:rPr>
          <w:rFonts w:ascii="Neirizi" w:hAnsi="Neirizi" w:cs="Neirizi"/>
          <w:sz w:val="20"/>
          <w:szCs w:val="20"/>
          <w:vertAlign w:val="superscript"/>
          <w:rtl/>
        </w:rPr>
        <w:footnoteReference w:id="9"/>
      </w:r>
      <w:r w:rsidRPr="00C11FC0">
        <w:rPr>
          <w:rFonts w:ascii="Neirizi" w:hAnsi="Neirizi" w:cs="Neirizi"/>
          <w:sz w:val="20"/>
          <w:szCs w:val="20"/>
          <w:rtl/>
        </w:rPr>
        <w:t xml:space="preserve"> في‏يُسرٍ مِنكَ وعافِيَةٍ، مِن غَيرِ كَدٍّ</w:t>
      </w:r>
      <w:r w:rsidRPr="00C11FC0">
        <w:rPr>
          <w:rFonts w:ascii="Neirizi" w:hAnsi="Neirizi" w:cs="Neirizi"/>
          <w:sz w:val="20"/>
          <w:szCs w:val="20"/>
          <w:vertAlign w:val="superscript"/>
          <w:rtl/>
        </w:rPr>
        <w:footnoteReference w:id="10"/>
      </w:r>
      <w:r w:rsidRPr="00C11FC0">
        <w:rPr>
          <w:rFonts w:ascii="Neirizi" w:hAnsi="Neirizi" w:cs="Neirizi"/>
          <w:sz w:val="20"/>
          <w:szCs w:val="20"/>
          <w:rtl/>
        </w:rPr>
        <w:t xml:space="preserve"> مِنّي ومَشَقَّةٍ.</w:t>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الحَمدُ للَّهِ الَّذي يُطعِمُ ولا يُطعَمُ، ويُجيرُ ولا يُجارُ عَلَيهِ، ويَستَغني ويُفتَقَرُ إلَيهِ.</w:t>
      </w:r>
      <w:r w:rsidRPr="00C11FC0">
        <w:rPr>
          <w:rFonts w:ascii="Neirizi" w:hAnsi="Neirizi" w:cs="Neirizi"/>
          <w:sz w:val="20"/>
          <w:szCs w:val="20"/>
          <w:rtl/>
        </w:rPr>
        <w:br w:type="page"/>
      </w:r>
    </w:p>
    <w:p w:rsidR="009B671D" w:rsidRPr="00C11FC0" w:rsidRDefault="009B671D" w:rsidP="00EB3BA5">
      <w:pPr>
        <w:pStyle w:val="Heading1"/>
        <w:spacing w:line="276" w:lineRule="auto"/>
        <w:rPr>
          <w:rFonts w:ascii="Neirizi" w:hAnsi="Neirizi" w:cs="Neirizi"/>
          <w:sz w:val="24"/>
          <w:szCs w:val="24"/>
          <w:rtl/>
        </w:rPr>
      </w:pPr>
      <w:r w:rsidRPr="00C11FC0">
        <w:rPr>
          <w:rFonts w:ascii="Neirizi" w:hAnsi="Neirizi" w:cs="Neirizi"/>
          <w:sz w:val="24"/>
          <w:szCs w:val="24"/>
          <w:rtl/>
        </w:rPr>
        <w:lastRenderedPageBreak/>
        <w:t>الأَدعِيَةُ المَأثورَةُ حينَ الأَكلِ‏ (ادعیه هنگام خوردن)</w:t>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اللَّهُمَّ بارِك لَنا فيما رَزَقتَنا، وعَلَيكَ خَلَفُهُ.</w:t>
      </w:r>
      <w:r w:rsidRPr="00C11FC0">
        <w:rPr>
          <w:rFonts w:ascii="Neirizi" w:hAnsi="Neirizi" w:cs="Neirizi"/>
          <w:sz w:val="20"/>
          <w:szCs w:val="20"/>
          <w:vertAlign w:val="superscript"/>
          <w:rtl/>
        </w:rPr>
        <w:footnoteReference w:id="11"/>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اللَّهُمَّ لَكَ الحَمدُ، أطعَمتَ وسَقَيتَ وأَروَيتَ، فَلَكَ الحَمدُ غَيرَ مَكفورٍ، ولا مُوَدَّعٍ، ولا مُستَغنىً عَنكَ.</w:t>
      </w:r>
      <w:r w:rsidRPr="00C11FC0">
        <w:rPr>
          <w:rFonts w:ascii="Neirizi" w:hAnsi="Neirizi" w:cs="Neirizi"/>
          <w:sz w:val="20"/>
          <w:szCs w:val="20"/>
          <w:vertAlign w:val="superscript"/>
          <w:rtl/>
        </w:rPr>
        <w:footnoteReference w:id="12"/>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الحَمدُ للَّهِ الَّذي أطعَمَنا وسَقانا.</w:t>
      </w:r>
      <w:r w:rsidRPr="00C11FC0">
        <w:rPr>
          <w:rFonts w:ascii="Neirizi" w:hAnsi="Neirizi" w:cs="Neirizi"/>
          <w:sz w:val="20"/>
          <w:szCs w:val="20"/>
          <w:vertAlign w:val="superscript"/>
          <w:rtl/>
        </w:rPr>
        <w:footnoteReference w:id="13"/>
      </w:r>
    </w:p>
    <w:p w:rsidR="009B671D" w:rsidRPr="00C11FC0" w:rsidRDefault="009B671D" w:rsidP="00EB3BA5">
      <w:pPr>
        <w:spacing w:line="276" w:lineRule="auto"/>
        <w:rPr>
          <w:rFonts w:ascii="Neirizi" w:hAnsi="Neirizi" w:cs="Neirizi"/>
          <w:sz w:val="20"/>
          <w:szCs w:val="20"/>
          <w:rtl/>
        </w:rPr>
      </w:pPr>
    </w:p>
    <w:p w:rsidR="009B671D" w:rsidRPr="00C11FC0" w:rsidRDefault="009B671D" w:rsidP="00EB3BA5">
      <w:pPr>
        <w:pStyle w:val="Heading1"/>
        <w:spacing w:line="276" w:lineRule="auto"/>
        <w:rPr>
          <w:rFonts w:ascii="Neirizi" w:hAnsi="Neirizi" w:cs="Neirizi"/>
          <w:sz w:val="24"/>
          <w:szCs w:val="24"/>
          <w:rtl/>
        </w:rPr>
      </w:pPr>
      <w:r w:rsidRPr="00C11FC0">
        <w:rPr>
          <w:rFonts w:ascii="Neirizi" w:hAnsi="Neirizi" w:cs="Neirizi"/>
          <w:sz w:val="24"/>
          <w:szCs w:val="24"/>
          <w:rtl/>
        </w:rPr>
        <w:t>الأَدعِيَةُ المَأثورَةُ عِندَ الشُّربِ‏ (ادعیه هنگام نوشیدن)</w:t>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الحَمدُ للَّهِ الَّذي سَقانا عَذباً زُلالًا، ولَم يَسقِنا مِلحاً اجاجاً، ولَم يُؤاخِذنا بِذُنوبِنا.</w:t>
      </w:r>
      <w:r w:rsidRPr="00C11FC0">
        <w:rPr>
          <w:rFonts w:ascii="Neirizi" w:hAnsi="Neirizi" w:cs="Neirizi"/>
          <w:sz w:val="20"/>
          <w:szCs w:val="20"/>
          <w:vertAlign w:val="superscript"/>
          <w:rtl/>
        </w:rPr>
        <w:footnoteReference w:id="14"/>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الحَمدُ للَّهِ الَّذي سَقانا عَذبا فُراتاً بِرَحمَتِهِ، ولَم يَجعَلهُ اجاجاً</w:t>
      </w:r>
      <w:r w:rsidRPr="00C11FC0">
        <w:rPr>
          <w:rFonts w:ascii="Neirizi" w:hAnsi="Neirizi" w:cs="Neirizi"/>
          <w:sz w:val="20"/>
          <w:szCs w:val="20"/>
          <w:vertAlign w:val="superscript"/>
          <w:rtl/>
        </w:rPr>
        <w:footnoteReference w:id="15"/>
      </w:r>
      <w:r w:rsidRPr="00C11FC0">
        <w:rPr>
          <w:rFonts w:ascii="Neirizi" w:hAnsi="Neirizi" w:cs="Neirizi"/>
          <w:sz w:val="20"/>
          <w:szCs w:val="20"/>
          <w:rtl/>
        </w:rPr>
        <w:t xml:space="preserve"> بِذُنوبِنا.</w:t>
      </w:r>
      <w:r w:rsidRPr="00C11FC0">
        <w:rPr>
          <w:rFonts w:ascii="Neirizi" w:hAnsi="Neirizi" w:cs="Neirizi"/>
          <w:sz w:val="20"/>
          <w:szCs w:val="20"/>
          <w:vertAlign w:val="superscript"/>
          <w:rtl/>
        </w:rPr>
        <w:footnoteReference w:id="16"/>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الحَمدُ للَّهِ الَّذي سَقاني فَأَرواني، وأَعطاني فَأَرضاني، وعافاني وكَفاني، اللَّهُمَّ اجعَلني مِمَّن تَسقيهِ فِي المَعادِ مِن حَوضِ مُحَمَّدٍ صَلَّى اللَّهُ عَلَيهِ وآلِهِ، وتُسعِدُهُ بِمُرافَقَتِهِ، يا أرحَمَ الرّاحِمينَ.</w:t>
      </w:r>
      <w:r w:rsidRPr="00C11FC0">
        <w:rPr>
          <w:rFonts w:ascii="Neirizi" w:hAnsi="Neirizi" w:cs="Neirizi"/>
          <w:sz w:val="20"/>
          <w:szCs w:val="20"/>
          <w:vertAlign w:val="superscript"/>
          <w:rtl/>
        </w:rPr>
        <w:footnoteReference w:id="17"/>
      </w:r>
    </w:p>
    <w:p w:rsidR="009B671D" w:rsidRPr="00C11FC0" w:rsidRDefault="009B671D" w:rsidP="00EB3BA5">
      <w:pPr>
        <w:bidi w:val="0"/>
        <w:spacing w:line="276" w:lineRule="auto"/>
        <w:rPr>
          <w:rFonts w:ascii="Neirizi" w:hAnsi="Neirizi" w:cs="Neirizi"/>
          <w:sz w:val="24"/>
          <w:szCs w:val="24"/>
          <w:rtl/>
        </w:rPr>
      </w:pPr>
      <w:r w:rsidRPr="00C11FC0">
        <w:rPr>
          <w:rFonts w:ascii="Neirizi" w:hAnsi="Neirizi" w:cs="Neirizi"/>
          <w:sz w:val="20"/>
          <w:szCs w:val="20"/>
          <w:rtl/>
        </w:rPr>
        <w:br w:type="page"/>
      </w:r>
    </w:p>
    <w:p w:rsidR="009B671D" w:rsidRPr="00C11FC0" w:rsidRDefault="009B671D" w:rsidP="00EB3BA5">
      <w:pPr>
        <w:pStyle w:val="Heading1"/>
        <w:spacing w:line="276" w:lineRule="auto"/>
        <w:rPr>
          <w:rFonts w:ascii="Neirizi" w:hAnsi="Neirizi" w:cs="Neirizi"/>
          <w:sz w:val="24"/>
          <w:szCs w:val="24"/>
          <w:rtl/>
        </w:rPr>
      </w:pPr>
      <w:r w:rsidRPr="00C11FC0">
        <w:rPr>
          <w:rFonts w:ascii="Neirizi" w:hAnsi="Neirizi" w:cs="Neirizi"/>
          <w:sz w:val="24"/>
          <w:szCs w:val="24"/>
          <w:rtl/>
        </w:rPr>
        <w:lastRenderedPageBreak/>
        <w:t>الأَدعِيَةُ المَأثورَةُ بَعدَ تَناوُلِ الطَّعامِ أو عِندَ رَفعِ المائِدَةِ (ادعیه بعد از خوردن و هنگام جمع شدن سفره)</w:t>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اللَّهُمَّ اجعَلها نِعمَةً مَحضورَةً</w:t>
      </w:r>
      <w:r w:rsidRPr="00C11FC0">
        <w:rPr>
          <w:rFonts w:ascii="Neirizi" w:hAnsi="Neirizi" w:cs="Neirizi"/>
          <w:sz w:val="20"/>
          <w:szCs w:val="20"/>
          <w:vertAlign w:val="superscript"/>
          <w:rtl/>
        </w:rPr>
        <w:footnoteReference w:id="18"/>
      </w:r>
      <w:r w:rsidRPr="00C11FC0">
        <w:rPr>
          <w:rFonts w:ascii="Neirizi" w:hAnsi="Neirizi" w:cs="Neirizi"/>
          <w:sz w:val="20"/>
          <w:szCs w:val="20"/>
          <w:rtl/>
        </w:rPr>
        <w:t xml:space="preserve"> مَشكورَةً مَوصولَةً بِالجَنَّةِ.</w:t>
      </w:r>
      <w:r w:rsidRPr="00C11FC0">
        <w:rPr>
          <w:rFonts w:ascii="Neirizi" w:hAnsi="Neirizi" w:cs="Neirizi"/>
          <w:sz w:val="20"/>
          <w:szCs w:val="20"/>
          <w:vertAlign w:val="superscript"/>
          <w:rtl/>
        </w:rPr>
        <w:footnoteReference w:id="19"/>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اللَّهُمَّ أكثَرتَ وأَطَبتَ وبارَكتَ، فَأَشبَعتَ وأَروَيتَ، الحَمدُ للَّهِ الَّذي يُطعِمُ ولا يُطعَمُ.</w:t>
      </w:r>
      <w:r w:rsidRPr="00C11FC0">
        <w:rPr>
          <w:rFonts w:ascii="Neirizi" w:hAnsi="Neirizi" w:cs="Neirizi"/>
          <w:sz w:val="20"/>
          <w:szCs w:val="20"/>
          <w:vertAlign w:val="superscript"/>
          <w:rtl/>
        </w:rPr>
        <w:footnoteReference w:id="20"/>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اللَّهُمَّ، أطعَمتَ وأَسقَيتَ، وأَغنَيتَ وأَقنَيتَ‏</w:t>
      </w:r>
      <w:r w:rsidRPr="00C11FC0">
        <w:rPr>
          <w:rFonts w:ascii="Neirizi" w:hAnsi="Neirizi" w:cs="Neirizi"/>
          <w:sz w:val="20"/>
          <w:szCs w:val="20"/>
          <w:vertAlign w:val="superscript"/>
          <w:rtl/>
        </w:rPr>
        <w:footnoteReference w:id="21"/>
      </w:r>
      <w:r w:rsidRPr="00C11FC0">
        <w:rPr>
          <w:rFonts w:ascii="Neirizi" w:hAnsi="Neirizi" w:cs="Neirizi"/>
          <w:sz w:val="20"/>
          <w:szCs w:val="20"/>
          <w:rtl/>
        </w:rPr>
        <w:t>، وهَدَيتَ وأَحيَيتَ، فَلَكَ الحَمدُ عَلى‏ ما أعطَيتَ.</w:t>
      </w:r>
      <w:r w:rsidRPr="00C11FC0">
        <w:rPr>
          <w:rFonts w:ascii="Neirizi" w:hAnsi="Neirizi" w:cs="Neirizi"/>
          <w:sz w:val="20"/>
          <w:szCs w:val="20"/>
          <w:vertAlign w:val="superscript"/>
          <w:rtl/>
        </w:rPr>
        <w:footnoteReference w:id="22"/>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الحَمدُ للَّهِ الَّذي يُطعِمُ ولا يُطعَمُ، مَنَّ عَلَينا فَهَدانا، وأَطعَمَنا وسَقانا، وكُلَّ بَلاءٍ حَسَنٍ أبلانا، الحَمدُ للَّهِ غَيرُ مُوَدَّعٍ ولا مُكافَأٍ ولا مَكفورٍ ولا مُستَغنىً عَنهُ، الحَمدُ للَّهِ الَّذي أطعَمَ مِن الطَّعامِ، وسَقى‏ مِنَ الشَّرابِ، وكَسا مِنَ العُريِ، وهَدى‏ مِنَ الضَّلالَةِ، وبَصَّرَ مِنَ العَمى‏، وفَضَّلَ عَلى‏ كَثيرٍ مِن خَلقِهِ تَفضيلًا، الحَمدُ للَّهِ رَبِّ العالَمينَ.</w:t>
      </w:r>
      <w:r w:rsidRPr="00C11FC0">
        <w:rPr>
          <w:rFonts w:ascii="Neirizi" w:hAnsi="Neirizi" w:cs="Neirizi"/>
          <w:sz w:val="20"/>
          <w:szCs w:val="20"/>
          <w:vertAlign w:val="superscript"/>
          <w:rtl/>
        </w:rPr>
        <w:footnoteReference w:id="23"/>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الحَمدُ للَّهِ الَّذي كَفانا وأَكرَمَنا، وحَمَلَنا فِي البَرِّ وَالبَحرِ، ورَزَقَنا مِنَ الطَّيِّباتِ، وفَضَّلَنا عَلى‏ كَثيرٍ مِمَّن خَلَقَ تَفضيلًا. الحَمدُ للَّهِ الَّذي كَفانَا المَؤونَةَ، وأَسبَغَ عَلَينا.</w:t>
      </w:r>
      <w:r w:rsidRPr="00C11FC0">
        <w:rPr>
          <w:rFonts w:ascii="Neirizi" w:hAnsi="Neirizi" w:cs="Neirizi"/>
          <w:sz w:val="20"/>
          <w:szCs w:val="20"/>
          <w:vertAlign w:val="superscript"/>
          <w:rtl/>
        </w:rPr>
        <w:footnoteReference w:id="24"/>
      </w:r>
    </w:p>
    <w:p w:rsidR="009B671D" w:rsidRPr="00C11FC0" w:rsidRDefault="009B671D" w:rsidP="00C11FC0">
      <w:pPr>
        <w:spacing w:line="276" w:lineRule="auto"/>
        <w:rPr>
          <w:rFonts w:ascii="Neirizi" w:hAnsi="Neirizi" w:cs="Neirizi"/>
          <w:sz w:val="20"/>
          <w:szCs w:val="20"/>
          <w:rtl/>
        </w:rPr>
      </w:pPr>
      <w:r w:rsidRPr="00C11FC0">
        <w:rPr>
          <w:rFonts w:ascii="Neirizi" w:hAnsi="Neirizi" w:cs="Neirizi"/>
          <w:sz w:val="20"/>
          <w:szCs w:val="20"/>
          <w:rtl/>
        </w:rPr>
        <w:t>الحَمدُ للَّهِ الَّذي أطعَمَنا وسَقانا، ورَزَق</w:t>
      </w:r>
      <w:r w:rsidR="00C11FC0" w:rsidRPr="00C11FC0">
        <w:rPr>
          <w:rFonts w:ascii="Neirizi" w:hAnsi="Neirizi" w:cs="Neirizi"/>
          <w:sz w:val="20"/>
          <w:szCs w:val="20"/>
          <w:rtl/>
        </w:rPr>
        <w:t>َنا وعافانا، ومَنَّ عَلَينا ب</w:t>
      </w:r>
      <w:r w:rsidR="00C11FC0" w:rsidRPr="00C11FC0">
        <w:rPr>
          <w:rFonts w:ascii="Neirizi" w:hAnsi="Neirizi" w:cs="Neirizi" w:hint="cs"/>
          <w:sz w:val="20"/>
          <w:szCs w:val="20"/>
          <w:rtl/>
        </w:rPr>
        <w:t>مـــــح</w:t>
      </w:r>
      <w:r w:rsidRPr="00C11FC0">
        <w:rPr>
          <w:rFonts w:ascii="Neirizi" w:hAnsi="Neirizi" w:cs="Neirizi"/>
          <w:sz w:val="20"/>
          <w:szCs w:val="20"/>
          <w:rtl/>
        </w:rPr>
        <w:t>َمَّدٍ صَلَّى اللَّهُ عَلَيهِ وآلِهِ وجَعَلَنا مُسلِمينَ.</w:t>
      </w:r>
      <w:r w:rsidRPr="00C11FC0">
        <w:rPr>
          <w:rFonts w:ascii="Neirizi" w:hAnsi="Neirizi" w:cs="Neirizi"/>
          <w:sz w:val="20"/>
          <w:szCs w:val="20"/>
          <w:vertAlign w:val="superscript"/>
          <w:rtl/>
        </w:rPr>
        <w:footnoteReference w:id="25"/>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الحَمدُ للَّهِ الَّذي أشبَعَنا في جائِعينَ، وأَروانا في ظامِئينَ، وآوانا في ضائِعينَ‏</w:t>
      </w:r>
      <w:r w:rsidRPr="00C11FC0">
        <w:rPr>
          <w:rFonts w:ascii="Neirizi" w:hAnsi="Neirizi" w:cs="Neirizi"/>
          <w:sz w:val="20"/>
          <w:szCs w:val="20"/>
          <w:vertAlign w:val="superscript"/>
          <w:rtl/>
        </w:rPr>
        <w:footnoteReference w:id="26"/>
      </w:r>
      <w:r w:rsidRPr="00C11FC0">
        <w:rPr>
          <w:rFonts w:ascii="Neirizi" w:hAnsi="Neirizi" w:cs="Neirizi"/>
          <w:sz w:val="20"/>
          <w:szCs w:val="20"/>
          <w:rtl/>
        </w:rPr>
        <w:t>، وحَمَلَنا في راجِلينَ، وآمَنَنا في خائِفينَ، وأَخدَمَنا في عانينَ‏</w:t>
      </w:r>
      <w:r w:rsidRPr="00C11FC0">
        <w:rPr>
          <w:rFonts w:ascii="Neirizi" w:hAnsi="Neirizi" w:cs="Neirizi"/>
          <w:sz w:val="20"/>
          <w:szCs w:val="20"/>
          <w:vertAlign w:val="superscript"/>
          <w:rtl/>
        </w:rPr>
        <w:footnoteReference w:id="27"/>
      </w:r>
      <w:r w:rsidRPr="00C11FC0">
        <w:rPr>
          <w:rFonts w:ascii="Neirizi" w:hAnsi="Neirizi" w:cs="Neirizi"/>
          <w:sz w:val="20"/>
          <w:szCs w:val="20"/>
          <w:rtl/>
        </w:rPr>
        <w:t>.</w:t>
      </w:r>
      <w:r w:rsidRPr="00C11FC0">
        <w:rPr>
          <w:rFonts w:ascii="Neirizi" w:hAnsi="Neirizi" w:cs="Neirizi"/>
          <w:sz w:val="20"/>
          <w:szCs w:val="20"/>
          <w:vertAlign w:val="superscript"/>
          <w:rtl/>
        </w:rPr>
        <w:footnoteReference w:id="28"/>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الحَمدُ للَّهِ الَّذي جَعَلَني أشتَهيهِ.</w:t>
      </w:r>
      <w:r w:rsidRPr="00C11FC0">
        <w:rPr>
          <w:rFonts w:ascii="Neirizi" w:hAnsi="Neirizi" w:cs="Neirizi"/>
          <w:sz w:val="20"/>
          <w:szCs w:val="20"/>
          <w:vertAlign w:val="superscript"/>
          <w:rtl/>
        </w:rPr>
        <w:footnoteReference w:id="29"/>
      </w:r>
      <w:r w:rsidRPr="00C11FC0">
        <w:rPr>
          <w:rFonts w:ascii="Neirizi" w:hAnsi="Neirizi" w:cs="Neirizi"/>
          <w:sz w:val="20"/>
          <w:szCs w:val="20"/>
          <w:rtl/>
        </w:rPr>
        <w:t xml:space="preserve"> اللَّهُمَّ أكثَرتَ وأَطَبتَ فَزِد، وأَشبَعتَ وأَروَيتَ فَهَنِّئهُ.</w:t>
      </w:r>
      <w:r w:rsidRPr="00C11FC0">
        <w:rPr>
          <w:rFonts w:ascii="Neirizi" w:hAnsi="Neirizi" w:cs="Neirizi"/>
          <w:sz w:val="20"/>
          <w:szCs w:val="20"/>
          <w:vertAlign w:val="superscript"/>
          <w:rtl/>
        </w:rPr>
        <w:footnoteReference w:id="30"/>
      </w:r>
    </w:p>
    <w:p w:rsidR="009B671D" w:rsidRPr="00C11FC0" w:rsidRDefault="009B671D" w:rsidP="00EB3BA5">
      <w:pPr>
        <w:spacing w:line="276" w:lineRule="auto"/>
        <w:rPr>
          <w:rFonts w:ascii="Neirizi" w:hAnsi="Neirizi" w:cs="Neirizi"/>
          <w:sz w:val="24"/>
          <w:szCs w:val="24"/>
          <w:rtl/>
        </w:rPr>
      </w:pPr>
      <w:r w:rsidRPr="00C11FC0">
        <w:rPr>
          <w:rFonts w:ascii="Neirizi" w:hAnsi="Neirizi" w:cs="Neirizi"/>
          <w:sz w:val="20"/>
          <w:szCs w:val="20"/>
          <w:rtl/>
        </w:rPr>
        <w:t>الحَمدُ للَّهِ، هذا مِنكَ ومِن مُحَمَّدٍ صَلَّى اللَّهُ عَلَيهِ وآلِهِ.</w:t>
      </w:r>
      <w:r w:rsidRPr="00C11FC0">
        <w:rPr>
          <w:rFonts w:ascii="Neirizi" w:hAnsi="Neirizi" w:cs="Neirizi"/>
          <w:sz w:val="20"/>
          <w:szCs w:val="20"/>
          <w:vertAlign w:val="superscript"/>
          <w:rtl/>
        </w:rPr>
        <w:footnoteReference w:id="31"/>
      </w:r>
      <w:r w:rsidRPr="00C11FC0">
        <w:rPr>
          <w:rFonts w:ascii="Neirizi" w:hAnsi="Neirizi" w:cs="Neirizi"/>
          <w:sz w:val="20"/>
          <w:szCs w:val="20"/>
          <w:rtl/>
        </w:rPr>
        <w:t>، اللَّهُمَّ لَكَ الحَمدُ، صَلِّ عَلى‏ مُحَمَّدٍ وآلِ مُحَمَّدٍ.</w:t>
      </w:r>
      <w:r w:rsidRPr="00C11FC0">
        <w:rPr>
          <w:rFonts w:ascii="Neirizi" w:hAnsi="Neirizi" w:cs="Neirizi"/>
          <w:sz w:val="20"/>
          <w:szCs w:val="20"/>
          <w:vertAlign w:val="superscript"/>
          <w:rtl/>
        </w:rPr>
        <w:footnoteReference w:id="32"/>
      </w:r>
      <w:r w:rsidRPr="00C11FC0">
        <w:rPr>
          <w:rFonts w:ascii="Neirizi" w:hAnsi="Neirizi" w:cs="Neirizi"/>
          <w:sz w:val="20"/>
          <w:szCs w:val="20"/>
          <w:rtl/>
        </w:rPr>
        <w:br w:type="page"/>
      </w:r>
    </w:p>
    <w:p w:rsidR="009B671D" w:rsidRPr="00C11FC0" w:rsidRDefault="009B671D" w:rsidP="00EB3BA5">
      <w:pPr>
        <w:pStyle w:val="Heading1"/>
        <w:spacing w:line="276" w:lineRule="auto"/>
        <w:rPr>
          <w:rFonts w:ascii="Neirizi" w:hAnsi="Neirizi" w:cs="Neirizi"/>
          <w:sz w:val="24"/>
          <w:szCs w:val="24"/>
          <w:rtl/>
        </w:rPr>
      </w:pPr>
      <w:r w:rsidRPr="00C11FC0">
        <w:rPr>
          <w:rFonts w:ascii="Neirizi" w:hAnsi="Neirizi" w:cs="Neirizi"/>
          <w:sz w:val="24"/>
          <w:szCs w:val="24"/>
          <w:rtl/>
        </w:rPr>
        <w:lastRenderedPageBreak/>
        <w:t>الأَدعِيَةُ المَأثورَةُ لِصاحِبِ الطَّعامِ‏ (ادعیه برای صاحب غذا)</w:t>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اللَّهُمَّ بارِك لَهُم فيما رَزَقتَهُم، وَاغفِر لَهُم وَارحَمهُم.</w:t>
      </w:r>
      <w:r w:rsidRPr="00C11FC0">
        <w:rPr>
          <w:rFonts w:ascii="Neirizi" w:hAnsi="Neirizi" w:cs="Neirizi"/>
          <w:sz w:val="20"/>
          <w:szCs w:val="20"/>
          <w:vertAlign w:val="superscript"/>
          <w:rtl/>
        </w:rPr>
        <w:footnoteReference w:id="33"/>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أكَلَ طَعامَكَ الأَبرارُ، وصَلَّت عَلَيكَ المَلائِكَةُ الأَخيارُ.</w:t>
      </w:r>
      <w:r w:rsidRPr="00C11FC0">
        <w:rPr>
          <w:rFonts w:ascii="Neirizi" w:hAnsi="Neirizi" w:cs="Neirizi"/>
          <w:sz w:val="20"/>
          <w:szCs w:val="20"/>
          <w:vertAlign w:val="superscript"/>
          <w:rtl/>
        </w:rPr>
        <w:footnoteReference w:id="34"/>
      </w:r>
    </w:p>
    <w:p w:rsidR="009B671D" w:rsidRPr="00C11FC0" w:rsidRDefault="009B671D" w:rsidP="00EB3BA5">
      <w:pPr>
        <w:pStyle w:val="Heading1"/>
        <w:spacing w:line="276" w:lineRule="auto"/>
        <w:rPr>
          <w:rFonts w:ascii="Neirizi" w:hAnsi="Neirizi" w:cs="Neirizi"/>
          <w:sz w:val="24"/>
          <w:szCs w:val="24"/>
          <w:rtl/>
        </w:rPr>
      </w:pPr>
      <w:r w:rsidRPr="00C11FC0">
        <w:rPr>
          <w:rFonts w:ascii="Neirizi" w:hAnsi="Neirizi" w:cs="Neirizi"/>
          <w:sz w:val="24"/>
          <w:szCs w:val="24"/>
          <w:rtl/>
        </w:rPr>
        <w:t>الأَدعِيَةُ المَأثورَةُ بعدَ غَسلِ اليَدَينِ‏ (دعا بعد از شستن دستها)</w:t>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فَامسَح وَجهَكَ وعَينَيكَ قَبلَ أن تَمسَحَ بِالمِنديلِ، وتَقولُ</w:t>
      </w:r>
      <w:r w:rsidR="00F627D6" w:rsidRPr="00C11FC0">
        <w:rPr>
          <w:rFonts w:ascii="Neirizi" w:hAnsi="Neirizi" w:cs="Neirizi"/>
          <w:sz w:val="20"/>
          <w:szCs w:val="20"/>
          <w:rtl/>
        </w:rPr>
        <w:t xml:space="preserve"> (بعد از شستن دستها قبل از خشک کردن دستها با حوله صورت و چشمانت را مسح نما و بگو)</w:t>
      </w:r>
      <w:r w:rsidRPr="00C11FC0">
        <w:rPr>
          <w:rFonts w:ascii="Neirizi" w:hAnsi="Neirizi" w:cs="Neirizi"/>
          <w:sz w:val="20"/>
          <w:szCs w:val="20"/>
          <w:rtl/>
        </w:rPr>
        <w:t>: اللَّهُمَّ إنّي أسأَ لُكَ الزّينَةَ وَالمَحَبَّةَ، وأَعوذُ بِكَ مِنَ المَقتِ وَالبِغضَةِ.</w:t>
      </w:r>
      <w:r w:rsidRPr="00C11FC0">
        <w:rPr>
          <w:rFonts w:ascii="Neirizi" w:hAnsi="Neirizi" w:cs="Neirizi"/>
          <w:sz w:val="20"/>
          <w:szCs w:val="20"/>
          <w:vertAlign w:val="superscript"/>
          <w:rtl/>
        </w:rPr>
        <w:footnoteReference w:id="35"/>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كانَ النَّبِيُّ صلى الله عليه و آله إذا فَرَغَ مِن غَسلِ اليَدِ بَعدَ الطَّعامِ، مَسَحَ بِفَضلِ الماءِ الَّذي في يَدِهِ وَجهَهُ، ثُمَّ يَقولُ</w:t>
      </w:r>
      <w:r w:rsidR="00F627D6" w:rsidRPr="00C11FC0">
        <w:rPr>
          <w:rFonts w:ascii="Neirizi" w:hAnsi="Neirizi" w:cs="Neirizi"/>
          <w:sz w:val="20"/>
          <w:szCs w:val="20"/>
          <w:rtl/>
        </w:rPr>
        <w:t xml:space="preserve"> (حضرت پیامبر صلوات الله علیه زمانی که دستهای مبارک را بعد از صرف غذا می شستند با آب باقیمانده در دستهاصورت خود را مسح می نمودند و می فرمودند) </w:t>
      </w:r>
      <w:r w:rsidRPr="00C11FC0">
        <w:rPr>
          <w:rFonts w:ascii="Neirizi" w:hAnsi="Neirizi" w:cs="Neirizi"/>
          <w:sz w:val="20"/>
          <w:szCs w:val="20"/>
          <w:rtl/>
        </w:rPr>
        <w:t>:</w:t>
      </w:r>
      <w:r w:rsidR="00F627D6" w:rsidRPr="00C11FC0">
        <w:rPr>
          <w:rFonts w:ascii="Neirizi" w:hAnsi="Neirizi" w:cs="Neirizi"/>
          <w:sz w:val="20"/>
          <w:szCs w:val="20"/>
          <w:rtl/>
        </w:rPr>
        <w:t xml:space="preserve"> </w:t>
      </w:r>
      <w:r w:rsidRPr="00C11FC0">
        <w:rPr>
          <w:rFonts w:ascii="Neirizi" w:hAnsi="Neirizi" w:cs="Neirizi"/>
          <w:sz w:val="20"/>
          <w:szCs w:val="20"/>
          <w:rtl/>
        </w:rPr>
        <w:t>الحَمدُ للَّهِ الَّذي هَدانا، وأَطعَمَنا وسَقانا، وكُلَّ بَلاءٍ صالِحٍ أولانا.</w:t>
      </w:r>
      <w:r w:rsidRPr="00C11FC0">
        <w:rPr>
          <w:rFonts w:ascii="Neirizi" w:hAnsi="Neirizi" w:cs="Neirizi"/>
          <w:sz w:val="20"/>
          <w:szCs w:val="20"/>
          <w:vertAlign w:val="superscript"/>
          <w:rtl/>
        </w:rPr>
        <w:footnoteReference w:id="36"/>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إذا غَسَلتَ يَدَكَ بَعدَ الطَّعامِ فَامسَح‏ حاجِبَيكَ وقُل ثَلاثَ مَرّاتٍ</w:t>
      </w:r>
      <w:r w:rsidR="00F627D6" w:rsidRPr="00C11FC0">
        <w:rPr>
          <w:rFonts w:ascii="Neirizi" w:hAnsi="Neirizi" w:cs="Neirizi"/>
          <w:sz w:val="20"/>
          <w:szCs w:val="20"/>
          <w:rtl/>
        </w:rPr>
        <w:t xml:space="preserve"> (بعد از شستن دستها بعد از اتمام غذا، ابروانت را مسح کن و بگو)</w:t>
      </w:r>
      <w:r w:rsidRPr="00C11FC0">
        <w:rPr>
          <w:rFonts w:ascii="Neirizi" w:hAnsi="Neirizi" w:cs="Neirizi"/>
          <w:sz w:val="20"/>
          <w:szCs w:val="20"/>
          <w:rtl/>
        </w:rPr>
        <w:t>:</w:t>
      </w:r>
      <w:r w:rsidR="00F627D6" w:rsidRPr="00C11FC0">
        <w:rPr>
          <w:rFonts w:ascii="Neirizi" w:hAnsi="Neirizi" w:cs="Neirizi"/>
          <w:sz w:val="20"/>
          <w:szCs w:val="20"/>
          <w:rtl/>
        </w:rPr>
        <w:t xml:space="preserve"> </w:t>
      </w:r>
      <w:r w:rsidRPr="00C11FC0">
        <w:rPr>
          <w:rFonts w:ascii="Neirizi" w:hAnsi="Neirizi" w:cs="Neirizi"/>
          <w:sz w:val="20"/>
          <w:szCs w:val="20"/>
          <w:rtl/>
        </w:rPr>
        <w:t>الحَمدُ للَّهِ المُحسِنِ المُجمِلِ، المُنعِمِ المُفضِلِ.</w:t>
      </w:r>
      <w:r w:rsidRPr="00C11FC0">
        <w:rPr>
          <w:rFonts w:ascii="Neirizi" w:hAnsi="Neirizi" w:cs="Neirizi"/>
          <w:sz w:val="20"/>
          <w:szCs w:val="20"/>
          <w:vertAlign w:val="superscript"/>
          <w:rtl/>
        </w:rPr>
        <w:footnoteReference w:id="37"/>
      </w:r>
    </w:p>
    <w:p w:rsidR="009B671D" w:rsidRPr="00C11FC0" w:rsidRDefault="009B671D" w:rsidP="00EB3BA5">
      <w:pPr>
        <w:pStyle w:val="Heading1"/>
        <w:spacing w:line="276" w:lineRule="auto"/>
        <w:rPr>
          <w:rFonts w:ascii="Neirizi" w:hAnsi="Neirizi" w:cs="Neirizi"/>
          <w:sz w:val="24"/>
          <w:szCs w:val="24"/>
          <w:rtl/>
        </w:rPr>
      </w:pPr>
      <w:r w:rsidRPr="00C11FC0">
        <w:rPr>
          <w:rFonts w:ascii="Neirizi" w:hAnsi="Neirizi" w:cs="Neirizi"/>
          <w:sz w:val="24"/>
          <w:szCs w:val="24"/>
          <w:rtl/>
        </w:rPr>
        <w:t>نکات تکمیلی:</w:t>
      </w:r>
    </w:p>
    <w:p w:rsidR="009B671D" w:rsidRPr="00C11FC0" w:rsidRDefault="009B671D" w:rsidP="00EB3BA5">
      <w:pPr>
        <w:spacing w:line="276" w:lineRule="auto"/>
        <w:rPr>
          <w:rFonts w:ascii="Neirizi" w:hAnsi="Neirizi" w:cs="Neirizi"/>
          <w:sz w:val="20"/>
          <w:szCs w:val="20"/>
          <w:rtl/>
        </w:rPr>
      </w:pPr>
      <w:r w:rsidRPr="00C11FC0">
        <w:rPr>
          <w:rFonts w:ascii="Neirizi" w:hAnsi="Neirizi" w:cs="Neirizi"/>
          <w:sz w:val="20"/>
          <w:szCs w:val="20"/>
          <w:rtl/>
        </w:rPr>
        <w:t>رسول اللَّه صلى الله عليه و آله: الطَّعامُ إذا جَمَعَ أربَعَ خِصالٍ فَقَد تَمَّ: إذا كانَ مِن حَلالٍ، وكَثُرَتِ الأَيدي، وسُمِّيَ في أوَّلِهِ، وحُمِدَ اللَّهُ عز و جل في آخِرِهِ.</w:t>
      </w:r>
      <w:r w:rsidRPr="00C11FC0">
        <w:rPr>
          <w:rFonts w:ascii="Neirizi" w:hAnsi="Neirizi" w:cs="Neirizi"/>
          <w:sz w:val="20"/>
          <w:szCs w:val="20"/>
          <w:vertAlign w:val="superscript"/>
          <w:rtl/>
        </w:rPr>
        <w:footnoteReference w:id="38"/>
      </w:r>
      <w:r w:rsidR="00F627D6" w:rsidRPr="00C11FC0">
        <w:rPr>
          <w:rFonts w:ascii="Neirizi" w:hAnsi="Neirizi" w:cs="Neirizi"/>
          <w:sz w:val="20"/>
          <w:szCs w:val="20"/>
          <w:rtl/>
        </w:rPr>
        <w:t xml:space="preserve"> (تمام بودن حسنات سفره به چهار مورد است : حلال بودن و زیادی نفرات روی سفره و گفته شدن بسم الله در آغاز و حمد خداوند در پایان)</w:t>
      </w:r>
    </w:p>
    <w:p w:rsidR="00752A17" w:rsidRPr="00C11FC0" w:rsidRDefault="009B671D" w:rsidP="00EB3BA5">
      <w:pPr>
        <w:spacing w:line="276" w:lineRule="auto"/>
        <w:rPr>
          <w:rFonts w:ascii="Neirizi" w:hAnsi="Neirizi" w:cs="Neirizi"/>
          <w:sz w:val="20"/>
          <w:szCs w:val="20"/>
        </w:rPr>
      </w:pPr>
      <w:r w:rsidRPr="00C11FC0">
        <w:rPr>
          <w:rFonts w:ascii="Neirizi" w:hAnsi="Neirizi" w:cs="Neirizi"/>
          <w:sz w:val="20"/>
          <w:szCs w:val="20"/>
          <w:rtl/>
        </w:rPr>
        <w:t>رسول اللَّه صلى الله عليه و آله: إذا أكَلَ أحَدُكُم طَعاماً فَليَقُل: «اللَّهُمَّ بارِك لَنا فيهِ؛ وأَطعِمنا خَيراً مِنهُ». وإذا سُقِيَ لَبَناً فَليَقُل: «اللَّهُمَّ بارِك لَنا فيهِ، وزِدنا مِنهُ»؛ فَإِنَّهُ لَيسَ شَي‏ءٌ يُجزِئُ مِنَ الطَّعامِ وَالشَّرابِ إلَّااللَّبَنُ‏</w:t>
      </w:r>
      <w:r w:rsidRPr="00C11FC0">
        <w:rPr>
          <w:rFonts w:ascii="Neirizi" w:hAnsi="Neirizi" w:cs="Neirizi"/>
          <w:sz w:val="20"/>
          <w:szCs w:val="20"/>
          <w:vertAlign w:val="superscript"/>
          <w:rtl/>
        </w:rPr>
        <w:footnoteReference w:id="39"/>
      </w:r>
      <w:r w:rsidRPr="00C11FC0">
        <w:rPr>
          <w:rFonts w:ascii="Neirizi" w:hAnsi="Neirizi" w:cs="Neirizi"/>
          <w:sz w:val="20"/>
          <w:szCs w:val="20"/>
          <w:rtl/>
        </w:rPr>
        <w:t>.</w:t>
      </w:r>
      <w:r w:rsidRPr="00C11FC0">
        <w:rPr>
          <w:rFonts w:ascii="Neirizi" w:hAnsi="Neirizi" w:cs="Neirizi"/>
          <w:sz w:val="20"/>
          <w:szCs w:val="20"/>
          <w:vertAlign w:val="superscript"/>
          <w:rtl/>
        </w:rPr>
        <w:footnoteReference w:id="40"/>
      </w:r>
    </w:p>
    <w:sectPr w:rsidR="00752A17" w:rsidRPr="00C11FC0" w:rsidSect="00C11FC0">
      <w:pgSz w:w="11906" w:h="16838"/>
      <w:pgMar w:top="720" w:right="720" w:bottom="720" w:left="720" w:header="708" w:footer="708" w:gutter="0"/>
      <w:cols w:space="708"/>
      <w:bidi/>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127" w:rsidRDefault="000B3127" w:rsidP="009B671D">
      <w:r>
        <w:separator/>
      </w:r>
    </w:p>
  </w:endnote>
  <w:endnote w:type="continuationSeparator" w:id="0">
    <w:p w:rsidR="000B3127" w:rsidRDefault="000B3127" w:rsidP="009B67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69B3143D-F969-4DC6-8E52-A976C3D1309D}"/>
    <w:embedBold r:id="rId2" w:fontKey="{B886E81A-EB20-426B-8625-AAA9E4341F18}"/>
  </w:font>
  <w:font w:name="Arial">
    <w:panose1 w:val="020B0604020202020204"/>
    <w:charset w:val="00"/>
    <w:family w:val="swiss"/>
    <w:pitch w:val="variable"/>
    <w:sig w:usb0="E0002AFF" w:usb1="C0007843" w:usb2="00000009" w:usb3="00000000" w:csb0="000001FF" w:csb1="00000000"/>
  </w:font>
  <w:font w:name="Adobe Naskh Medium">
    <w:panose1 w:val="00000000000000000000"/>
    <w:charset w:val="00"/>
    <w:family w:val="modern"/>
    <w:notTrueType/>
    <w:pitch w:val="variable"/>
    <w:sig w:usb0="00002003" w:usb1="00000000" w:usb2="00000000" w:usb3="00000000" w:csb0="00000041"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5F0F0C3B-8D55-4C4C-94A1-4F49F962654E}"/>
  </w:font>
  <w:font w:name="Adobe Arabic">
    <w:panose1 w:val="00000000000000000000"/>
    <w:charset w:val="00"/>
    <w:family w:val="roman"/>
    <w:notTrueType/>
    <w:pitch w:val="variable"/>
    <w:sig w:usb0="8000202F" w:usb1="8000A04A" w:usb2="00000008" w:usb3="00000000" w:csb0="00000041" w:csb1="00000000"/>
  </w:font>
  <w:font w:name="MS UI Gothic">
    <w:panose1 w:val="020B0600070205080204"/>
    <w:charset w:val="80"/>
    <w:family w:val="swiss"/>
    <w:pitch w:val="variable"/>
    <w:sig w:usb0="E00002FF" w:usb1="6AC7FDFB" w:usb2="08000012" w:usb3="00000000" w:csb0="0002009F" w:csb1="00000000"/>
  </w:font>
  <w:font w:name="Neirizi">
    <w:panose1 w:val="02000503000000020003"/>
    <w:charset w:val="00"/>
    <w:family w:val="auto"/>
    <w:pitch w:val="variable"/>
    <w:sig w:usb0="61002A87" w:usb1="80000000" w:usb2="00000008" w:usb3="00000000" w:csb0="000101FF" w:csb1="00000000"/>
    <w:embedRegular r:id="rId4" w:fontKey="{CF43A245-F48C-497E-8FC8-0840C4B09A4A}"/>
  </w:font>
  <w:font w:name="QuranTaha">
    <w:panose1 w:val="02010000000000000000"/>
    <w:charset w:val="B2"/>
    <w:family w:val="auto"/>
    <w:pitch w:val="variable"/>
    <w:sig w:usb0="00002001" w:usb1="00000000" w:usb2="00000000" w:usb3="00000000" w:csb0="00000040" w:csb1="00000000"/>
    <w:embedRegular r:id="rId5" w:fontKey="{DDDAF249-2908-4D6C-AB84-124E69CAC7F2}"/>
  </w:font>
  <w:font w:name="B Badr">
    <w:panose1 w:val="00000400000000000000"/>
    <w:charset w:val="B2"/>
    <w:family w:val="auto"/>
    <w:pitch w:val="variable"/>
    <w:sig w:usb0="00002001" w:usb1="80000000" w:usb2="00000008" w:usb3="00000000" w:csb0="00000040" w:csb1="00000000"/>
    <w:embedBold r:id="rId6" w:fontKey="{943A3A4D-6823-403B-A166-0992879D26A7}"/>
  </w:font>
  <w:font w:name="Calibri Light">
    <w:panose1 w:val="020F0302020204030204"/>
    <w:charset w:val="00"/>
    <w:family w:val="swiss"/>
    <w:pitch w:val="variable"/>
    <w:sig w:usb0="A00002EF" w:usb1="4000207B" w:usb2="00000000" w:usb3="00000000" w:csb0="0000019F" w:csb1="00000000"/>
    <w:embedRegular r:id="rId7" w:fontKey="{6C8BCD9C-E35A-4530-A4DF-F9C93AC1325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127" w:rsidRDefault="000B3127" w:rsidP="009B671D">
      <w:r>
        <w:separator/>
      </w:r>
    </w:p>
  </w:footnote>
  <w:footnote w:type="continuationSeparator" w:id="0">
    <w:p w:rsidR="000B3127" w:rsidRDefault="000B3127" w:rsidP="009B671D">
      <w:r>
        <w:continuationSeparator/>
      </w:r>
    </w:p>
  </w:footnote>
  <w:footnote w:id="1">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( 3). الإقبال: ج 1 ص 238، الأمان: ص 60، مكارم الأخلاق: ج 1 ص 310 ح 992 كلاهما من دون إسنادٍ إلى أحد من أهل البيت عليهم السلام، بحار الأنوار: ج 98 ص 10 ح 2.</w:t>
      </w:r>
    </w:p>
  </w:footnote>
  <w:footnote w:id="2">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( 1). الكافي: ج 6 ص 293 ح 8، المحاسن: ج 2 ص 215 ح 1645 نحوه، بحار الأنوار: ج 66 ص 375 ح 29.</w:t>
      </w:r>
    </w:p>
  </w:footnote>
  <w:footnote w:id="3">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( 2). مكارم الأخلاق: ج 1 ص 309 ح 987، الجعفريات: ص 216 عن الإمام الكاظم عن آبائه عليهم السلام نحوه وفيه« رفعت» بدل« وضعت»، بحار الأنوار: ج 66 ص 380 ح 47.</w:t>
      </w:r>
    </w:p>
  </w:footnote>
  <w:footnote w:id="4">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( 3). ساغَ الشّرابُ في الحلق: سَهُلَ انحداره( مفردات ألفاظ القرآن: ص 435« ساغ»).</w:t>
      </w:r>
    </w:p>
  </w:footnote>
  <w:footnote w:id="5">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( 4). المحاسن: ج 2 ص 216 ح 1648، بحار الأنوار: ج 66 ص 376 ح 32.</w:t>
      </w:r>
    </w:p>
  </w:footnote>
  <w:footnote w:id="6">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( 1). الوعك: مَغْص المرض، وقيل: أذى الحمّى ووجعها في البدن( لسان العرب: ج 10 ص 514« وعك»).</w:t>
      </w:r>
    </w:p>
  </w:footnote>
  <w:footnote w:id="7">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( 4). الكافي: ج 6 ص 294 ح 12، المحاسن: ج 2 ص 212 ح 1632 كلاهما عن أبي يحيى الصنعاني، بحار الأنوار: ج 66 ص 373 ح 18.</w:t>
      </w:r>
    </w:p>
  </w:footnote>
  <w:footnote w:id="8">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( 6). بحار الأنوار: ج 66 ص 383 ذيل ح 49 نقلًا عن الراوندي في النوادر.</w:t>
      </w:r>
    </w:p>
  </w:footnote>
  <w:footnote w:id="9">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( 1). الإدامُ: ما يؤكل مع الخبز؛ أيّ شي‏ء كان( النهاية: ج 1 ص 31« ادم»).</w:t>
      </w:r>
    </w:p>
  </w:footnote>
  <w:footnote w:id="10">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( 2). الكَدُّ: الإتعابُ( النهاية: ج 4 ص 155« كدد»).</w:t>
      </w:r>
    </w:p>
  </w:footnote>
  <w:footnote w:id="11">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( 5). مكارم الأخلاق: ج 1 ص 69 ح 81، بحار الأنوار: ج 66 ص 380 ح 47؛ اسد الغابة: ج 6 ص 374 الرقم 6496 الدعاء للطبراني: ص 278 ح 888، عمل اليوم والليلة لابن السني: ص 162 ح 457 كلاهما عن عبد اللَّه بن عمرو وفيهما« وقنا عذاب النّار بسم اللَّه» بدل« وعليك خلفه».</w:t>
      </w:r>
    </w:p>
  </w:footnote>
  <w:footnote w:id="12">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( 1). الإقبال: ج 1 ص 245، بحار الأنوار: ج 98 ص 15 ح 2.</w:t>
      </w:r>
    </w:p>
  </w:footnote>
  <w:footnote w:id="13">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( 4). مسند ابن حنبل: ج 1 ص 322 ح 1312، الدعاء للطبراني: ص 95 ح 235، المصنّف لابن أبي شيبة: ج 5 ص 564 ح 11 و ج 7 ص 91 ح 5، كنز العمّال: ج 15 ص 428 ح 41697.</w:t>
      </w:r>
    </w:p>
  </w:footnote>
  <w:footnote w:id="14">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( 1). الكافي: ج 6 ص 384 ح 2 عن أبي القدّاح، المحاسن: ج 2 ص 406 ح 2420، قرب الإسناد: ص 21 ح 71 كلاهما عن ابن القدّاح عن الإمام الصادق عن أبيه عليهما السلام، دعائم الإسلام: ج 2 ص 130 ح 456 كلّها نحوه، بحار الأنوار: ج 16 ص 268 ح 78.</w:t>
      </w:r>
    </w:p>
  </w:footnote>
  <w:footnote w:id="15">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( 2). اجاجٌ: شديد الملوحة والحرارة( مفردات ألفاظ القرآن: ص 64« أجّ»).</w:t>
      </w:r>
    </w:p>
  </w:footnote>
  <w:footnote w:id="16">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( 3). الدّعاء للطبراني: ص 280 ح 899 عن فضيل بن عياض عن الإمام الصادق عليه السلام، الشكر لابن أبي الدّنيا: ص 41 ح 70، حلية الأولياء: ج 8 ص 137 الرقم 405 كلاهما عن جابر، كنز العمّال: ج 7 ص 111 ح 18226.</w:t>
      </w:r>
    </w:p>
  </w:footnote>
  <w:footnote w:id="17">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( 4). مكارم الأخلاق: ج 1 ص 324 ح 1039 عن الإمام الصادق عليه السلام، الأمان: ص 62 من دون إسناد إلى أحد من أهل البيت عليهم السلام، بحار الأنوار: ج 66 ص 475 ح 59.</w:t>
      </w:r>
    </w:p>
  </w:footnote>
  <w:footnote w:id="18">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( 1). محضورة: أي تحضرها ملائكة اللّيل والنّهار( النهاية: ج 1 ص 399« حضر»).</w:t>
      </w:r>
    </w:p>
  </w:footnote>
  <w:footnote w:id="19">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( 2). الجعفريّات: ص 216 عن الإمام الكاظم عن آبائه عليهم السلام، مكارم الأخلاق: ج 1 ص 309 ح 987 من دون إسنادٍ إلى الإمام عليّ عليه السلام نحوه، بحار الأنوار: ج 66 ص 380 ح 47.</w:t>
      </w:r>
    </w:p>
  </w:footnote>
  <w:footnote w:id="20">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( 3). الكافي: ج 6 ص 294 ح 15، المحاسن: ج 2 ص 216 ح 647 بزيادة« فهنّئه» بعد« وأرويت»، بحار الأنوار: ج 66 ص 376 ح 31.</w:t>
      </w:r>
    </w:p>
  </w:footnote>
  <w:footnote w:id="21">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( 2). أقنى: أعطاه ما يدّخره بعد الكفاية، ويقال: قنيت به: أي رضيت به( لسان العرب: ج 15 ص 202« قنا»).</w:t>
      </w:r>
    </w:p>
  </w:footnote>
  <w:footnote w:id="22">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( 3). مسند ابن حنبل: ج 5 ص 577 ح 6595 و ج 7 ص 13 ح 18992 و ج 9 ص 60 ح 23244 وفيهما« اجتبيت» بدل« احييت»، عمل اليوم والليلة لابن السني: ص 164 ح 465، السنن الكبرى للنسائي: ج 4 ص 202 ح 6898، اسد الغابة: ج 6 ص 420 الرقم 6630 وليس فيهما« واحييت»، كنز العمّال: ج 7 ص 105 ح 18181.</w:t>
      </w:r>
    </w:p>
  </w:footnote>
  <w:footnote w:id="23">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( 3). السنن الكبرى للنسائي: ج 6 ص 82 ح 10133، المستدرك على الصحيحين: ج 1 ص 731 ح 2003، صحيح ابن حبّان: ج 12 ص 23 ح 5219 نحوه، عمل اليوم والليلة لابن السني: ص 171 ح 485، الشكر لابن أبي الدّنيا: ص 20 ح 15 بزيادة« رجاء ربي» بعد« مودّع».</w:t>
      </w:r>
    </w:p>
  </w:footnote>
  <w:footnote w:id="24">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( 4). المحاسن: ج 2 ص 216 ح 1648، بحار الأنوار: ج 66 ص 376 ح 32.</w:t>
      </w:r>
    </w:p>
  </w:footnote>
  <w:footnote w:id="25">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( 2). المحاسن: ج 2 ص 217 ح 1649، بحار الأنوار: ج 66 ص 377 ح 33.</w:t>
      </w:r>
    </w:p>
  </w:footnote>
  <w:footnote w:id="26">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( 3). في المصادر الاخرى:« ضاحين» بدل« ضائعين». وفي هامش المصدر:« في بعض النسخ( ضاحين) بالضادالمعجمة والحاء المهملة؛ أي أسكننا في المساكين بين جماعة ضاحين، أي ليس بينهم وبين ضحوة الشمس ستر يحفظهم من حرّها».</w:t>
      </w:r>
    </w:p>
  </w:footnote>
  <w:footnote w:id="27">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( 4). أي جعل لنا من يخدمنا ونحن بين جماعة عانين؛ من العناء والتّعب والمشقّة( هامش المصدر).</w:t>
      </w:r>
    </w:p>
  </w:footnote>
  <w:footnote w:id="28">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( 5). الكافي: ج 6 ص 295 ح 16، المحاسن: ج 2 ص 217 ح 1650 كلاهما عن هشام بن سالم، مكارم الأخلاق: ج 1 ص 310 ح 990 وليس فيه« كان أبي عليه السلام يقول» وكلاهما نحوه، بحار الأنوار: ج 66 ص 377 ح 34.</w:t>
      </w:r>
    </w:p>
  </w:footnote>
  <w:footnote w:id="29">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( 1). الكافي: ج 6 ص 295 ح 17، المحاسن: ج 2 ص 218 ح 1653، بحار الأنوار: ج 66 ص 378 ح 37.</w:t>
      </w:r>
    </w:p>
  </w:footnote>
  <w:footnote w:id="30">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( 5). المحاسن: ج 2 ص 218 ح 1652، الاصول الستّة عشر( أصل عاصم بن حميد الحناط): ص 160 ح 85 كلاهما عن محمد بن مسلم، مكارم الأخلاق: ج 1 ص 310 ح 989، بحار الأنوار: ج 66 ص 378 ح 36.</w:t>
      </w:r>
    </w:p>
  </w:footnote>
  <w:footnote w:id="31">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( 3). الكافي: ج 6 ص 295 ح 21، المحاسن: ج 2 ص 218 ح 1654، كنز الفوائد: ج 2 ص 36 نحوه، بحار الأنوار: ج 66 ص 378 ح 38.</w:t>
      </w:r>
    </w:p>
  </w:footnote>
  <w:footnote w:id="32">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( 4). الكافي: ج 6 ص 296 ح 22، المحاسن: ج 2 ص 217 ح 1651 عن أبي بكر نحوه، بحار الأنوار: ج 66 ص 377 ح 35.</w:t>
      </w:r>
    </w:p>
  </w:footnote>
  <w:footnote w:id="33">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( 1). صحيح مسلم: ج 3 ص 1616 ح 146، سنن الترمذي: ج 5 ص 568 ح 3576، السنن الكبرى للنسائي: ج 4 ص 202 ح 6900 و ج 6 ص 81 ح 10126 كلاهما نحوه، الدعاء للطبراني: ص 287 ح 920 وكلّها عن عبد اللَّه بن بسر، كنز العمّال: ج 13 ص 490 ح 37280.</w:t>
      </w:r>
    </w:p>
  </w:footnote>
  <w:footnote w:id="34">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( 2). المحاسن: ج 2 ص 221 ح 1665 عن أبي عبد اللَّه السمّان، بحار الأنوار: ج 75 ص 454 ح 21.</w:t>
      </w:r>
    </w:p>
  </w:footnote>
  <w:footnote w:id="35">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( 3). المحاسن: ج 2 ص 204 ح 1603، الدعوات: ص 143 ح 369 عن الإمام الصادق عليه السلام وفيه« الرتبة» بدل« الزينة» و« المغضبة» بدل« البغضة»، بحار الأنوار: ج 66 ص 359 ح 27.</w:t>
      </w:r>
    </w:p>
  </w:footnote>
  <w:footnote w:id="36">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( 4). مكارم الأخلاق: ج 1 ص 304 ح 965، بحار الأنوار: ج 66 ص 363 ح 38.</w:t>
      </w:r>
    </w:p>
  </w:footnote>
  <w:footnote w:id="37">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( 1). الكافي: ج 6 ص 292 ح 5 عن المفضّل، بحار الأنوار: ج 66 ص 367 ح 47.</w:t>
      </w:r>
    </w:p>
  </w:footnote>
  <w:footnote w:id="38">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( 4). الكافي: ج 6 ص 273 ح 2 عن السكوني عن الإمام الصادق عليه السلام، الخصال: ص 216 ح 39، معاني الأخبار: ص 375 ح 1 كلاهما عن السّكوني عن الإمام الصّادق عن آبائه عليهم السلام عنه صلى الله عليه و آله، المحاسن: ج 2 ص 161 ح 1439 عن عبد اللَّه بن مسكان عن الإمام الصادق عليه السلام عنه صلى الله عليه و آله، بحار الأنوار: ج 66 ص 369 ح 4.</w:t>
      </w:r>
    </w:p>
  </w:footnote>
  <w:footnote w:id="39">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( 2). ليس شي‏ء يُجزئ من الطعام والشراب إلّااللبن: أي ليس يكفي، يقال: جزأت الإبلُ بالرُّطب‏[ والرُّطب: الرعي الأخضر من البقل والشجر] عن الماء: أي اكتفت( النهاية: ج 1 ص 266« جزأ»).</w:t>
      </w:r>
    </w:p>
  </w:footnote>
  <w:footnote w:id="40">
    <w:p w:rsidR="009B671D" w:rsidRPr="005729E6" w:rsidRDefault="009B671D" w:rsidP="009B671D">
      <w:pPr>
        <w:pStyle w:val="FootnoteText"/>
        <w:rPr>
          <w:rFonts w:cs="B Badr"/>
          <w:b/>
          <w:bCs/>
          <w:sz w:val="18"/>
          <w:szCs w:val="18"/>
          <w:rtl/>
        </w:rPr>
      </w:pPr>
      <w:r w:rsidRPr="005729E6">
        <w:rPr>
          <w:rStyle w:val="FootnoteReference"/>
          <w:rFonts w:cs="B Badr"/>
          <w:b/>
          <w:bCs/>
          <w:sz w:val="14"/>
          <w:szCs w:val="14"/>
        </w:rPr>
        <w:footnoteRef/>
      </w:r>
      <w:r w:rsidRPr="005729E6">
        <w:rPr>
          <w:rFonts w:cs="B Badr"/>
          <w:b/>
          <w:bCs/>
          <w:sz w:val="18"/>
          <w:szCs w:val="18"/>
          <w:rtl/>
        </w:rPr>
        <w:t xml:space="preserve"> ( 3). سنن أبي داوود: ج 3 ص 339 ح 3730، سنن الترمذي: ج 5 ص 507 ح 3455، سنن ابن ماجة: ج 2 ص 1103 ح 3322، مسند ابن حنبل: ج 1 ص 484 ح 1978، السنن الكبرى للنسائي: ج 6 ص 79 ح 10118 كلّها عن ابن عبّاس نحوه، كنز العمّال: ج 15 ص 239 ح 40743.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71D"/>
    <w:rsid w:val="000B3127"/>
    <w:rsid w:val="00346702"/>
    <w:rsid w:val="005729E6"/>
    <w:rsid w:val="005C670D"/>
    <w:rsid w:val="00752A17"/>
    <w:rsid w:val="007C354F"/>
    <w:rsid w:val="0080065B"/>
    <w:rsid w:val="009B671D"/>
    <w:rsid w:val="00C11FC0"/>
    <w:rsid w:val="00EB3BA5"/>
    <w:rsid w:val="00F627D6"/>
    <w:rsid w:val="00F750B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741191-FF3C-477F-9773-756E47628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71D"/>
    <w:pPr>
      <w:bidi/>
    </w:pPr>
    <w:rPr>
      <w:rFonts w:ascii="Adobe Naskh Medium" w:hAnsi="Adobe Naskh Medium" w:cs="Adobe Naskh Medium"/>
      <w:sz w:val="28"/>
      <w:szCs w:val="28"/>
    </w:rPr>
  </w:style>
  <w:style w:type="paragraph" w:styleId="Heading1">
    <w:name w:val="heading 1"/>
    <w:basedOn w:val="Normal"/>
    <w:next w:val="Normal"/>
    <w:link w:val="Heading1Char"/>
    <w:uiPriority w:val="9"/>
    <w:qFormat/>
    <w:rsid w:val="009B671D"/>
    <w:pPr>
      <w:jc w:val="center"/>
      <w:outlineLvl w:val="0"/>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9B671D"/>
    <w:pPr>
      <w:spacing w:after="0" w:line="240" w:lineRule="auto"/>
    </w:pPr>
    <w:rPr>
      <w:sz w:val="20"/>
      <w:szCs w:val="20"/>
    </w:rPr>
  </w:style>
  <w:style w:type="character" w:customStyle="1" w:styleId="FootnoteTextChar">
    <w:name w:val="Footnote Text Char"/>
    <w:basedOn w:val="DefaultParagraphFont"/>
    <w:link w:val="FootnoteText"/>
    <w:uiPriority w:val="99"/>
    <w:rsid w:val="009B671D"/>
    <w:rPr>
      <w:sz w:val="20"/>
      <w:szCs w:val="20"/>
    </w:rPr>
  </w:style>
  <w:style w:type="character" w:styleId="FootnoteReference">
    <w:name w:val="footnote reference"/>
    <w:basedOn w:val="DefaultParagraphFont"/>
    <w:uiPriority w:val="99"/>
    <w:semiHidden/>
    <w:unhideWhenUsed/>
    <w:rsid w:val="009B671D"/>
    <w:rPr>
      <w:vertAlign w:val="superscript"/>
    </w:rPr>
  </w:style>
  <w:style w:type="character" w:customStyle="1" w:styleId="Heading1Char">
    <w:name w:val="Heading 1 Char"/>
    <w:basedOn w:val="DefaultParagraphFont"/>
    <w:link w:val="Heading1"/>
    <w:uiPriority w:val="9"/>
    <w:rsid w:val="009B671D"/>
    <w:rPr>
      <w:rFonts w:ascii="Adobe Naskh Medium" w:hAnsi="Adobe Naskh Medium" w:cs="Adobe Naskh Medium"/>
      <w:sz w:val="36"/>
      <w:szCs w:val="36"/>
    </w:rPr>
  </w:style>
  <w:style w:type="paragraph" w:styleId="BalloonText">
    <w:name w:val="Balloon Text"/>
    <w:basedOn w:val="Normal"/>
    <w:link w:val="BalloonTextChar"/>
    <w:uiPriority w:val="99"/>
    <w:semiHidden/>
    <w:unhideWhenUsed/>
    <w:rsid w:val="00EB3B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3BA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6932755">
      <w:bodyDiv w:val="1"/>
      <w:marLeft w:val="0"/>
      <w:marRight w:val="0"/>
      <w:marTop w:val="0"/>
      <w:marBottom w:val="0"/>
      <w:divBdr>
        <w:top w:val="none" w:sz="0" w:space="0" w:color="auto"/>
        <w:left w:val="none" w:sz="0" w:space="0" w:color="auto"/>
        <w:bottom w:val="none" w:sz="0" w:space="0" w:color="auto"/>
        <w:right w:val="none" w:sz="0" w:space="0" w:color="auto"/>
      </w:divBdr>
    </w:div>
    <w:div w:id="171700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86</TotalTime>
  <Pages>4</Pages>
  <Words>877</Words>
  <Characters>5003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طلبه حقیر، محسن بهرامی</dc:creator>
  <cp:keywords/>
  <dc:description/>
  <cp:lastModifiedBy>طلبه حقیر، محسن بهرامی</cp:lastModifiedBy>
  <cp:revision>6</cp:revision>
  <cp:lastPrinted>2016-10-18T13:51:00Z</cp:lastPrinted>
  <dcterms:created xsi:type="dcterms:W3CDTF">2016-10-05T12:35:00Z</dcterms:created>
  <dcterms:modified xsi:type="dcterms:W3CDTF">2016-10-18T14:06:00Z</dcterms:modified>
</cp:coreProperties>
</file>