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Default="00935A55" w:rsidP="0020241A">
      <w:pPr>
        <w:spacing w:line="240" w:lineRule="auto"/>
        <w:jc w:val="center"/>
        <w:rPr>
          <w:b/>
          <w:bCs/>
          <w:rtl/>
        </w:rPr>
      </w:pPr>
      <w:r w:rsidRPr="00935A55">
        <w:rPr>
          <w:rFonts w:hint="cs"/>
          <w:b/>
          <w:bCs/>
          <w:rtl/>
        </w:rPr>
        <w:t>ب</w:t>
      </w:r>
      <w:r w:rsidR="00C91EB6">
        <w:rPr>
          <w:rFonts w:hint="cs"/>
          <w:b/>
          <w:bCs/>
          <w:rtl/>
        </w:rPr>
        <w:t>ا</w:t>
      </w:r>
      <w:r w:rsidRPr="00935A55">
        <w:rPr>
          <w:rFonts w:hint="cs"/>
          <w:b/>
          <w:bCs/>
          <w:rtl/>
        </w:rPr>
        <w:t>سمه تعالی</w:t>
      </w:r>
    </w:p>
    <w:p w:rsidR="00237426" w:rsidRDefault="00237426" w:rsidP="00237426">
      <w:pPr>
        <w:pStyle w:val="TOC4"/>
        <w:tabs>
          <w:tab w:val="right" w:leader="dot" w:pos="10194"/>
        </w:tabs>
        <w:rPr>
          <w:rFonts w:asciiTheme="minorHAnsi" w:eastAsiaTheme="minorEastAsia" w:hAnsiTheme="minorHAnsi" w:cstheme="minorBidi"/>
          <w:bCs w:val="0"/>
          <w:noProof/>
          <w:color w:val="auto"/>
          <w:szCs w:val="22"/>
          <w:rtl/>
          <w:lang w:bidi="ar-SA"/>
        </w:rPr>
      </w:pPr>
      <w:r>
        <w:rPr>
          <w:rFonts w:cs="B Titr"/>
          <w:noProof/>
          <w:webHidden/>
          <w:rtl/>
        </w:rPr>
        <w:fldChar w:fldCharType="begin"/>
      </w:r>
      <w:r>
        <w:rPr>
          <w:rFonts w:cs="B Titr"/>
          <w:noProof/>
          <w:webHidden/>
          <w:rtl/>
        </w:rPr>
        <w:instrText xml:space="preserve"> </w:instrText>
      </w:r>
      <w:r>
        <w:rPr>
          <w:rFonts w:cs="B Titr"/>
          <w:noProof/>
          <w:webHidden/>
        </w:rPr>
        <w:instrText>TOC</w:instrText>
      </w:r>
      <w:r>
        <w:rPr>
          <w:rFonts w:cs="B Titr"/>
          <w:noProof/>
          <w:webHidden/>
          <w:rtl/>
        </w:rPr>
        <w:instrText xml:space="preserve"> \</w:instrText>
      </w:r>
      <w:r>
        <w:rPr>
          <w:rFonts w:cs="B Titr"/>
          <w:noProof/>
          <w:webHidden/>
        </w:rPr>
        <w:instrText>o "</w:instrText>
      </w:r>
      <w:r>
        <w:rPr>
          <w:rFonts w:cs="B Titr"/>
          <w:noProof/>
          <w:webHidden/>
          <w:rtl/>
        </w:rPr>
        <w:instrText>1-5</w:instrText>
      </w:r>
      <w:r>
        <w:rPr>
          <w:rFonts w:cs="B Titr"/>
          <w:noProof/>
          <w:webHidden/>
        </w:rPr>
        <w:instrText>" \h \z \u</w:instrText>
      </w:r>
      <w:r>
        <w:rPr>
          <w:rFonts w:cs="B Titr"/>
          <w:noProof/>
          <w:webHidden/>
          <w:rtl/>
        </w:rPr>
        <w:instrText xml:space="preserve"> </w:instrText>
      </w:r>
      <w:r>
        <w:rPr>
          <w:rFonts w:cs="B Titr"/>
          <w:noProof/>
          <w:webHidden/>
          <w:rtl/>
        </w:rPr>
        <w:fldChar w:fldCharType="separate"/>
      </w:r>
      <w:hyperlink w:anchor="_Toc17478091" w:history="1">
        <w:r w:rsidRPr="00F90B7C">
          <w:rPr>
            <w:rStyle w:val="Hyperlink"/>
            <w:rFonts w:hint="eastAsia"/>
            <w:noProof/>
            <w:rtl/>
          </w:rPr>
          <w:t>مرحوم</w:t>
        </w:r>
        <w:r w:rsidRPr="00F90B7C">
          <w:rPr>
            <w:rStyle w:val="Hyperlink"/>
            <w:noProof/>
            <w:rtl/>
          </w:rPr>
          <w:t xml:space="preserve"> </w:t>
        </w:r>
        <w:r w:rsidRPr="00F90B7C">
          <w:rPr>
            <w:rStyle w:val="Hyperlink"/>
            <w:rFonts w:hint="eastAsia"/>
            <w:noProof/>
            <w:rtl/>
          </w:rPr>
          <w:t>خوئ</w:t>
        </w:r>
        <w:r w:rsidRPr="00F90B7C">
          <w:rPr>
            <w:rStyle w:val="Hyperlink"/>
            <w:rFonts w:hint="cs"/>
            <w:noProof/>
            <w:rtl/>
          </w:rPr>
          <w:t>ی</w:t>
        </w:r>
        <w:r w:rsidRPr="00F90B7C">
          <w:rPr>
            <w:rStyle w:val="Hyperlink"/>
            <w:noProof/>
            <w:rtl/>
          </w:rPr>
          <w:t xml:space="preserve"> </w:t>
        </w:r>
        <w:r w:rsidRPr="00F90B7C">
          <w:rPr>
            <w:rStyle w:val="Hyperlink"/>
            <w:rFonts w:hint="eastAsia"/>
            <w:noProof/>
            <w:rtl/>
          </w:rPr>
          <w:t>و</w:t>
        </w:r>
        <w:r w:rsidRPr="00F90B7C">
          <w:rPr>
            <w:rStyle w:val="Hyperlink"/>
            <w:noProof/>
            <w:rtl/>
          </w:rPr>
          <w:t xml:space="preserve"> </w:t>
        </w:r>
        <w:r w:rsidRPr="00F90B7C">
          <w:rPr>
            <w:rStyle w:val="Hyperlink"/>
            <w:rFonts w:hint="eastAsia"/>
            <w:noProof/>
            <w:rtl/>
          </w:rPr>
          <w:t>انکار</w:t>
        </w:r>
        <w:r w:rsidRPr="00F90B7C">
          <w:rPr>
            <w:rStyle w:val="Hyperlink"/>
            <w:noProof/>
            <w:rtl/>
          </w:rPr>
          <w:t xml:space="preserve"> </w:t>
        </w:r>
        <w:r w:rsidRPr="00F90B7C">
          <w:rPr>
            <w:rStyle w:val="Hyperlink"/>
            <w:rFonts w:hint="eastAsia"/>
            <w:noProof/>
            <w:rtl/>
          </w:rPr>
          <w:t>مصداق</w:t>
        </w:r>
        <w:r w:rsidRPr="00F90B7C">
          <w:rPr>
            <w:rStyle w:val="Hyperlink"/>
            <w:rFonts w:hint="cs"/>
            <w:noProof/>
            <w:rtl/>
          </w:rPr>
          <w:t>ی</w:t>
        </w:r>
        <w:r w:rsidRPr="00F90B7C">
          <w:rPr>
            <w:rStyle w:val="Hyperlink"/>
            <w:rFonts w:hint="eastAsia"/>
            <w:noProof/>
            <w:rtl/>
          </w:rPr>
          <w:t>ّت</w:t>
        </w:r>
        <w:r w:rsidRPr="00F90B7C">
          <w:rPr>
            <w:rStyle w:val="Hyperlink"/>
            <w:noProof/>
            <w:rtl/>
          </w:rPr>
          <w:t xml:space="preserve"> </w:t>
        </w:r>
        <w:r w:rsidRPr="00F90B7C">
          <w:rPr>
            <w:rStyle w:val="Hyperlink"/>
            <w:rFonts w:hint="eastAsia"/>
            <w:noProof/>
            <w:rtl/>
          </w:rPr>
          <w:t>مقام</w:t>
        </w:r>
        <w:r w:rsidRPr="00F90B7C">
          <w:rPr>
            <w:rStyle w:val="Hyperlink"/>
            <w:noProof/>
            <w:rtl/>
          </w:rPr>
          <w:t xml:space="preserve"> </w:t>
        </w:r>
        <w:r w:rsidRPr="00F90B7C">
          <w:rPr>
            <w:rStyle w:val="Hyperlink"/>
            <w:rFonts w:hint="eastAsia"/>
            <w:noProof/>
            <w:rtl/>
          </w:rPr>
          <w:t>برا</w:t>
        </w:r>
        <w:r w:rsidRPr="00F90B7C">
          <w:rPr>
            <w:rStyle w:val="Hyperlink"/>
            <w:rFonts w:hint="cs"/>
            <w:noProof/>
            <w:rtl/>
          </w:rPr>
          <w:t>ی</w:t>
        </w:r>
        <w:r w:rsidRPr="00F90B7C">
          <w:rPr>
            <w:rStyle w:val="Hyperlink"/>
            <w:noProof/>
            <w:rtl/>
          </w:rPr>
          <w:t xml:space="preserve"> </w:t>
        </w:r>
        <w:r w:rsidRPr="00F90B7C">
          <w:rPr>
            <w:rStyle w:val="Hyperlink"/>
            <w:rFonts w:hint="eastAsia"/>
            <w:noProof/>
            <w:rtl/>
          </w:rPr>
          <w:t>اجتماع</w:t>
        </w:r>
        <w:r w:rsidRPr="00F90B7C">
          <w:rPr>
            <w:rStyle w:val="Hyperlink"/>
            <w:noProof/>
            <w:rtl/>
          </w:rPr>
          <w:t xml:space="preserve"> </w:t>
        </w:r>
        <w:r w:rsidRPr="00F90B7C">
          <w:rPr>
            <w:rStyle w:val="Hyperlink"/>
            <w:rFonts w:hint="eastAsia"/>
            <w:noProof/>
            <w:rtl/>
          </w:rPr>
          <w:t>امر</w:t>
        </w:r>
        <w:r w:rsidRPr="00F90B7C">
          <w:rPr>
            <w:rStyle w:val="Hyperlink"/>
            <w:noProof/>
            <w:rtl/>
          </w:rPr>
          <w:t xml:space="preserve"> </w:t>
        </w:r>
        <w:r w:rsidRPr="00F90B7C">
          <w:rPr>
            <w:rStyle w:val="Hyperlink"/>
            <w:rFonts w:hint="eastAsia"/>
            <w:noProof/>
            <w:rtl/>
          </w:rPr>
          <w:t>و</w:t>
        </w:r>
        <w:r w:rsidRPr="00F90B7C">
          <w:rPr>
            <w:rStyle w:val="Hyperlink"/>
            <w:noProof/>
            <w:rtl/>
          </w:rPr>
          <w:t xml:space="preserve"> </w:t>
        </w:r>
        <w:r w:rsidRPr="00F90B7C">
          <w:rPr>
            <w:rStyle w:val="Hyperlink"/>
            <w:rFonts w:hint="eastAsia"/>
            <w:noProof/>
            <w:rtl/>
          </w:rPr>
          <w:t>نه</w:t>
        </w:r>
        <w:r w:rsidRPr="00F90B7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17478091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237426" w:rsidRDefault="00237426" w:rsidP="00237426">
      <w:pPr>
        <w:pStyle w:val="TOC5"/>
        <w:tabs>
          <w:tab w:val="right" w:leader="dot" w:pos="10194"/>
        </w:tabs>
        <w:rPr>
          <w:rFonts w:asciiTheme="minorHAnsi" w:eastAsiaTheme="minorEastAsia" w:hAnsiTheme="minorHAnsi" w:cstheme="minorBidi"/>
          <w:bCs w:val="0"/>
          <w:noProof/>
          <w:color w:val="auto"/>
          <w:szCs w:val="22"/>
          <w:rtl/>
          <w:lang w:bidi="ar-SA"/>
        </w:rPr>
      </w:pPr>
      <w:hyperlink w:anchor="_Toc17478092" w:history="1">
        <w:r w:rsidRPr="00F90B7C">
          <w:rPr>
            <w:rStyle w:val="Hyperlink"/>
            <w:rFonts w:hint="eastAsia"/>
            <w:noProof/>
            <w:rtl/>
          </w:rPr>
          <w:t>جواب</w:t>
        </w:r>
        <w:r w:rsidRPr="00F90B7C">
          <w:rPr>
            <w:rStyle w:val="Hyperlink"/>
            <w:noProof/>
            <w:rtl/>
          </w:rPr>
          <w:t xml:space="preserve"> </w:t>
        </w:r>
        <w:r w:rsidRPr="00F90B7C">
          <w:rPr>
            <w:rStyle w:val="Hyperlink"/>
            <w:rFonts w:hint="eastAsia"/>
            <w:noProof/>
            <w:rtl/>
          </w:rPr>
          <w:t>استاد</w:t>
        </w:r>
        <w:r w:rsidRPr="00F90B7C">
          <w:rPr>
            <w:rStyle w:val="Hyperlink"/>
            <w:noProof/>
            <w:rtl/>
          </w:rPr>
          <w:t xml:space="preserve"> </w:t>
        </w:r>
        <w:r w:rsidRPr="00F90B7C">
          <w:rPr>
            <w:rStyle w:val="Hyperlink"/>
            <w:rFonts w:hint="eastAsia"/>
            <w:noProof/>
            <w:rtl/>
          </w:rPr>
          <w:t>از</w:t>
        </w:r>
        <w:r w:rsidRPr="00F90B7C">
          <w:rPr>
            <w:rStyle w:val="Hyperlink"/>
            <w:noProof/>
            <w:rtl/>
          </w:rPr>
          <w:t xml:space="preserve"> </w:t>
        </w:r>
        <w:r w:rsidRPr="00F90B7C">
          <w:rPr>
            <w:rStyle w:val="Hyperlink"/>
            <w:rFonts w:hint="eastAsia"/>
            <w:noProof/>
            <w:rtl/>
          </w:rPr>
          <w:t>مرحوم</w:t>
        </w:r>
        <w:r w:rsidRPr="00F90B7C">
          <w:rPr>
            <w:rStyle w:val="Hyperlink"/>
            <w:noProof/>
            <w:rtl/>
          </w:rPr>
          <w:t xml:space="preserve"> </w:t>
        </w:r>
        <w:r w:rsidRPr="00F90B7C">
          <w:rPr>
            <w:rStyle w:val="Hyperlink"/>
            <w:rFonts w:hint="eastAsia"/>
            <w:noProof/>
            <w:rtl/>
          </w:rPr>
          <w:t>خوئ</w:t>
        </w:r>
        <w:r w:rsidRPr="00F90B7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17478092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37426" w:rsidRDefault="00237426" w:rsidP="00237426">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7478093" w:history="1">
        <w:r w:rsidRPr="00F90B7C">
          <w:rPr>
            <w:rStyle w:val="Hyperlink"/>
            <w:rFonts w:hint="eastAsia"/>
            <w:noProof/>
            <w:rtl/>
          </w:rPr>
          <w:t>عدم</w:t>
        </w:r>
        <w:r w:rsidRPr="00F90B7C">
          <w:rPr>
            <w:rStyle w:val="Hyperlink"/>
            <w:noProof/>
            <w:rtl/>
          </w:rPr>
          <w:t xml:space="preserve"> </w:t>
        </w:r>
        <w:r w:rsidRPr="00F90B7C">
          <w:rPr>
            <w:rStyle w:val="Hyperlink"/>
            <w:rFonts w:hint="eastAsia"/>
            <w:noProof/>
            <w:rtl/>
          </w:rPr>
          <w:t>جواز</w:t>
        </w:r>
        <w:r w:rsidRPr="00F90B7C">
          <w:rPr>
            <w:rStyle w:val="Hyperlink"/>
            <w:noProof/>
            <w:rtl/>
          </w:rPr>
          <w:t xml:space="preserve"> </w:t>
        </w:r>
        <w:r w:rsidRPr="00F90B7C">
          <w:rPr>
            <w:rStyle w:val="Hyperlink"/>
            <w:rFonts w:hint="eastAsia"/>
            <w:noProof/>
            <w:rtl/>
          </w:rPr>
          <w:t>تکف</w:t>
        </w:r>
        <w:r w:rsidRPr="00F90B7C">
          <w:rPr>
            <w:rStyle w:val="Hyperlink"/>
            <w:rFonts w:hint="cs"/>
            <w:noProof/>
            <w:rtl/>
          </w:rPr>
          <w:t>ی</w:t>
        </w:r>
        <w:r w:rsidRPr="00F90B7C">
          <w:rPr>
            <w:rStyle w:val="Hyperlink"/>
            <w:rFonts w:hint="eastAsia"/>
            <w:noProof/>
            <w:rtl/>
          </w:rPr>
          <w:t>ن</w:t>
        </w:r>
        <w:r w:rsidRPr="00F90B7C">
          <w:rPr>
            <w:rStyle w:val="Hyperlink"/>
            <w:noProof/>
            <w:rtl/>
          </w:rPr>
          <w:t xml:space="preserve"> </w:t>
        </w:r>
        <w:r w:rsidRPr="00F90B7C">
          <w:rPr>
            <w:rStyle w:val="Hyperlink"/>
            <w:rFonts w:hint="eastAsia"/>
            <w:noProof/>
            <w:rtl/>
          </w:rPr>
          <w:t>به</w:t>
        </w:r>
        <w:r w:rsidRPr="00F90B7C">
          <w:rPr>
            <w:rStyle w:val="Hyperlink"/>
            <w:noProof/>
            <w:rtl/>
          </w:rPr>
          <w:t xml:space="preserve"> </w:t>
        </w:r>
        <w:r w:rsidRPr="00F90B7C">
          <w:rPr>
            <w:rStyle w:val="Hyperlink"/>
            <w:rFonts w:hint="eastAsia"/>
            <w:noProof/>
            <w:rtl/>
          </w:rPr>
          <w:t>مال</w:t>
        </w:r>
        <w:r w:rsidRPr="00F90B7C">
          <w:rPr>
            <w:rStyle w:val="Hyperlink"/>
            <w:noProof/>
            <w:rtl/>
          </w:rPr>
          <w:t xml:space="preserve"> </w:t>
        </w:r>
        <w:r w:rsidRPr="00F90B7C">
          <w:rPr>
            <w:rStyle w:val="Hyperlink"/>
            <w:rFonts w:hint="eastAsia"/>
            <w:noProof/>
            <w:rtl/>
          </w:rPr>
          <w:t>غصب</w:t>
        </w:r>
        <w:r w:rsidRPr="00F90B7C">
          <w:rPr>
            <w:rStyle w:val="Hyperlink"/>
            <w:rFonts w:hint="cs"/>
            <w:noProof/>
            <w:rtl/>
          </w:rPr>
          <w:t>ی</w:t>
        </w:r>
        <w:r w:rsidRPr="00F90B7C">
          <w:rPr>
            <w:rStyle w:val="Hyperlink"/>
            <w:noProof/>
            <w:rtl/>
          </w:rPr>
          <w:t xml:space="preserve"> </w:t>
        </w:r>
        <w:r w:rsidRPr="00F90B7C">
          <w:rPr>
            <w:rStyle w:val="Hyperlink"/>
            <w:rFonts w:hint="eastAsia"/>
            <w:noProof/>
            <w:rtl/>
          </w:rPr>
          <w:t>حتّ</w:t>
        </w:r>
        <w:r w:rsidRPr="00F90B7C">
          <w:rPr>
            <w:rStyle w:val="Hyperlink"/>
            <w:rFonts w:hint="cs"/>
            <w:noProof/>
            <w:rtl/>
          </w:rPr>
          <w:t>ی</w:t>
        </w:r>
        <w:r w:rsidRPr="00F90B7C">
          <w:rPr>
            <w:rStyle w:val="Hyperlink"/>
            <w:noProof/>
            <w:rtl/>
          </w:rPr>
          <w:t xml:space="preserve"> </w:t>
        </w:r>
        <w:r w:rsidRPr="00F90B7C">
          <w:rPr>
            <w:rStyle w:val="Hyperlink"/>
            <w:rFonts w:hint="eastAsia"/>
            <w:noProof/>
            <w:rtl/>
          </w:rPr>
          <w:t>در</w:t>
        </w:r>
        <w:r w:rsidRPr="00F90B7C">
          <w:rPr>
            <w:rStyle w:val="Hyperlink"/>
            <w:noProof/>
            <w:rtl/>
          </w:rPr>
          <w:t xml:space="preserve"> </w:t>
        </w:r>
        <w:r w:rsidRPr="00F90B7C">
          <w:rPr>
            <w:rStyle w:val="Hyperlink"/>
            <w:rFonts w:hint="eastAsia"/>
            <w:noProof/>
            <w:rtl/>
          </w:rPr>
          <w:t>حال</w:t>
        </w:r>
        <w:r w:rsidRPr="00F90B7C">
          <w:rPr>
            <w:rStyle w:val="Hyperlink"/>
            <w:noProof/>
            <w:rtl/>
          </w:rPr>
          <w:t xml:space="preserve"> </w:t>
        </w:r>
        <w:r w:rsidRPr="00F90B7C">
          <w:rPr>
            <w:rStyle w:val="Hyperlink"/>
            <w:rFonts w:hint="eastAsia"/>
            <w:noProof/>
            <w:rtl/>
          </w:rPr>
          <w:t>اضطرار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17478093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37426" w:rsidRDefault="00237426" w:rsidP="00237426">
      <w:pPr>
        <w:pStyle w:val="TOC2"/>
        <w:tabs>
          <w:tab w:val="right" w:leader="dot" w:pos="10194"/>
        </w:tabs>
        <w:rPr>
          <w:rFonts w:asciiTheme="minorHAnsi" w:eastAsiaTheme="minorEastAsia" w:hAnsiTheme="minorHAnsi" w:cstheme="minorBidi"/>
          <w:bCs w:val="0"/>
          <w:noProof/>
          <w:color w:val="auto"/>
          <w:szCs w:val="22"/>
          <w:rtl/>
          <w:lang w:bidi="ar-SA"/>
        </w:rPr>
      </w:pPr>
      <w:hyperlink w:anchor="_Toc17478094" w:history="1">
        <w:r w:rsidRPr="00F90B7C">
          <w:rPr>
            <w:rStyle w:val="Hyperlink"/>
            <w:rFonts w:hint="eastAsia"/>
            <w:noProof/>
            <w:rtl/>
          </w:rPr>
          <w:t>مسأله</w:t>
        </w:r>
        <w:r w:rsidRPr="00F90B7C">
          <w:rPr>
            <w:rStyle w:val="Hyperlink"/>
            <w:noProof/>
            <w:rtl/>
          </w:rPr>
          <w:t xml:space="preserve"> 4: </w:t>
        </w:r>
        <w:r w:rsidRPr="00F90B7C">
          <w:rPr>
            <w:rStyle w:val="Hyperlink"/>
            <w:rFonts w:hint="eastAsia"/>
            <w:noProof/>
            <w:rtl/>
          </w:rPr>
          <w:t>شرا</w:t>
        </w:r>
        <w:r w:rsidRPr="00F90B7C">
          <w:rPr>
            <w:rStyle w:val="Hyperlink"/>
            <w:rFonts w:hint="cs"/>
            <w:noProof/>
            <w:rtl/>
          </w:rPr>
          <w:t>ی</w:t>
        </w:r>
        <w:r w:rsidRPr="00F90B7C">
          <w:rPr>
            <w:rStyle w:val="Hyperlink"/>
            <w:rFonts w:hint="eastAsia"/>
            <w:noProof/>
            <w:rtl/>
          </w:rPr>
          <w:t>ط</w:t>
        </w:r>
        <w:r w:rsidRPr="00F90B7C">
          <w:rPr>
            <w:rStyle w:val="Hyperlink"/>
            <w:noProof/>
            <w:rtl/>
          </w:rPr>
          <w:t xml:space="preserve"> </w:t>
        </w:r>
        <w:r w:rsidRPr="00F90B7C">
          <w:rPr>
            <w:rStyle w:val="Hyperlink"/>
            <w:rFonts w:hint="eastAsia"/>
            <w:noProof/>
            <w:rtl/>
          </w:rPr>
          <w:t>کفن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17478094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91EB6" w:rsidRPr="00C91EB6" w:rsidRDefault="00237426" w:rsidP="00C91EB6">
      <w:r>
        <w:rPr>
          <w:rFonts w:cs="B Titr"/>
          <w:noProof/>
          <w:webHidden/>
          <w:color w:val="632423" w:themeColor="accent2" w:themeShade="80"/>
          <w:szCs w:val="24"/>
          <w:rtl/>
        </w:rPr>
        <w:fldChar w:fldCharType="end"/>
      </w:r>
    </w:p>
    <w:p w:rsidR="00F343FB" w:rsidRDefault="00F842AD" w:rsidP="0020241A">
      <w:r w:rsidRPr="00EB78E3">
        <w:rPr>
          <w:rStyle w:val="Emphasis"/>
          <w:rFonts w:hint="cs"/>
          <w:rtl/>
        </w:rPr>
        <w:t>موضوع:</w:t>
      </w:r>
      <w:r>
        <w:rPr>
          <w:rFonts w:hint="cs"/>
          <w:rtl/>
        </w:rPr>
        <w:t xml:space="preserve"> </w:t>
      </w:r>
      <w:bookmarkStart w:id="0" w:name="Bokkolli"/>
      <w:bookmarkEnd w:id="0"/>
      <w:r w:rsidR="0050104F">
        <w:rPr>
          <w:rFonts w:hint="cs"/>
          <w:rtl/>
        </w:rPr>
        <w:t>احکام</w:t>
      </w:r>
      <w:r w:rsidR="0050104F">
        <w:rPr>
          <w:rtl/>
        </w:rPr>
        <w:t xml:space="preserve"> </w:t>
      </w:r>
      <w:r w:rsidR="0050104F">
        <w:rPr>
          <w:rFonts w:hint="cs"/>
          <w:rtl/>
        </w:rPr>
        <w:t>اموات</w:t>
      </w:r>
      <w:r w:rsidR="00724537">
        <w:rPr>
          <w:rFonts w:hint="cs"/>
          <w:rtl/>
        </w:rPr>
        <w:t>/</w:t>
      </w:r>
      <w:bookmarkStart w:id="1" w:name="BokSabj_d"/>
      <w:bookmarkEnd w:id="1"/>
      <w:r w:rsidR="0050104F">
        <w:rPr>
          <w:rFonts w:hint="cs"/>
          <w:rtl/>
        </w:rPr>
        <w:t>تکفین</w:t>
      </w:r>
      <w:r w:rsidR="0050104F">
        <w:rPr>
          <w:rtl/>
        </w:rPr>
        <w:t xml:space="preserve"> </w:t>
      </w:r>
      <w:r w:rsidR="0050104F">
        <w:rPr>
          <w:rFonts w:hint="cs"/>
          <w:rtl/>
        </w:rPr>
        <w:t>میت</w:t>
      </w:r>
      <w:r w:rsidR="00596C1E">
        <w:rPr>
          <w:rFonts w:hint="cs"/>
          <w:rtl/>
        </w:rPr>
        <w:t xml:space="preserve"> </w:t>
      </w:r>
      <w:r w:rsidR="00724537">
        <w:rPr>
          <w:rFonts w:hint="cs"/>
          <w:rtl/>
        </w:rPr>
        <w:t>/</w:t>
      </w:r>
      <w:bookmarkStart w:id="2" w:name="BokSabj2_d"/>
      <w:bookmarkEnd w:id="2"/>
      <w:r w:rsidR="0050104F">
        <w:rPr>
          <w:rFonts w:hint="cs"/>
          <w:rtl/>
        </w:rPr>
        <w:t>مسائل</w:t>
      </w:r>
      <w:r w:rsidR="001B6799">
        <w:rPr>
          <w:rFonts w:hint="cs"/>
          <w:rtl/>
        </w:rPr>
        <w:t xml:space="preserve"> </w:t>
      </w:r>
    </w:p>
    <w:p w:rsidR="008F5B4D" w:rsidRDefault="008F5B4D" w:rsidP="008F5B4D">
      <w:pPr>
        <w:rPr>
          <w:rStyle w:val="Emphasis"/>
          <w:rtl/>
        </w:rPr>
      </w:pPr>
      <w:r w:rsidRPr="00124E3D">
        <w:rPr>
          <w:rStyle w:val="Emphasis"/>
          <w:rFonts w:hint="cs"/>
          <w:rtl/>
        </w:rPr>
        <w:t>خلاصه مباحث گذشته:</w:t>
      </w:r>
    </w:p>
    <w:p w:rsidR="00247D2F" w:rsidRPr="003A6148" w:rsidRDefault="00247D2F" w:rsidP="003A6148">
      <w:pPr>
        <w:pBdr>
          <w:bottom w:val="double" w:sz="6" w:space="1" w:color="auto"/>
        </w:pBdr>
      </w:pPr>
    </w:p>
    <w:p w:rsidR="008F5B4D" w:rsidRDefault="008F5B4D" w:rsidP="003A6148"/>
    <w:p w:rsidR="00237426" w:rsidRDefault="00237426" w:rsidP="00237426">
      <w:pPr>
        <w:spacing w:before="100" w:beforeAutospacing="1" w:after="100" w:afterAutospacing="1"/>
        <w:rPr>
          <w:rFonts w:ascii="Noor_Lotus" w:hAnsi="Noor_Lotus" w:cs="B Lotus"/>
          <w:sz w:val="28"/>
          <w:rtl/>
          <w:lang w:bidi="ar-SA"/>
        </w:rPr>
      </w:pPr>
      <w:r w:rsidRPr="00861DC5">
        <w:rPr>
          <w:rFonts w:ascii="Noor_Lotus" w:hAnsi="Noor_Lotus" w:cs="B Lotus" w:hint="cs"/>
          <w:sz w:val="28"/>
          <w:rtl/>
          <w:lang w:bidi="ar-SA"/>
        </w:rPr>
        <w:t>بسم الله الرّحمن الرّحیم</w:t>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p>
    <w:p w:rsidR="00237426" w:rsidRDefault="00237426" w:rsidP="00237426">
      <w:pPr>
        <w:pStyle w:val="Heading4"/>
        <w:rPr>
          <w:rFonts w:hint="cs"/>
          <w:rtl/>
        </w:rPr>
      </w:pPr>
      <w:bookmarkStart w:id="3" w:name="_Toc17478091"/>
      <w:r>
        <w:rPr>
          <w:rFonts w:hint="cs"/>
          <w:rtl/>
        </w:rPr>
        <w:t>مرحوم خوئی و انکار مصداقیّت مقام برای اجتماع امر و نهی</w:t>
      </w:r>
      <w:bookmarkEnd w:id="3"/>
    </w:p>
    <w:p w:rsidR="00237426" w:rsidRDefault="00237426" w:rsidP="00237426">
      <w:pPr>
        <w:pStyle w:val="a"/>
        <w:rPr>
          <w:rtl/>
        </w:rPr>
      </w:pPr>
      <w:r>
        <w:rPr>
          <w:rFonts w:hint="cs"/>
          <w:rtl/>
        </w:rPr>
        <w:t xml:space="preserve"> بحث در این بود که مرحوم سی</w:t>
      </w:r>
      <w:r>
        <w:rPr>
          <w:rFonts w:hint="cs"/>
          <w:rtl/>
        </w:rPr>
        <w:t>ّ</w:t>
      </w:r>
      <w:r>
        <w:rPr>
          <w:rFonts w:hint="cs"/>
          <w:rtl/>
        </w:rPr>
        <w:t xml:space="preserve">د فرمود </w:t>
      </w:r>
      <w:r w:rsidRPr="00237426">
        <w:rPr>
          <w:rStyle w:val="SubtleEmphasis"/>
          <w:rFonts w:hint="cs"/>
          <w:rtl/>
        </w:rPr>
        <w:t>(لا یجوز التکفین فی المغصوب و لو فی حال الإضطرار).</w:t>
      </w:r>
      <w:r>
        <w:rPr>
          <w:rFonts w:hint="cs"/>
          <w:rtl/>
        </w:rPr>
        <w:t xml:space="preserve"> در اینکه تکفین در مغصوب جایز نیست، جای بحث و کلام نیست؛ انما الکلام در وجه این حکم است. در تنقیح فرمود وجهش این است که تکفین در اینجا مصداق حرام است، و مصداق حرام نمی</w:t>
      </w:r>
      <w:r>
        <w:rPr>
          <w:rtl/>
        </w:rPr>
        <w:softHyphen/>
      </w:r>
      <w:r>
        <w:rPr>
          <w:rFonts w:hint="cs"/>
          <w:rtl/>
        </w:rPr>
        <w:t>تواند مصداق واجب باشد، و فرمود این از باب اجتماع امر و نهی  نیست، که اگر اجتماعی شدیم، بگوئیم یجوز و اگر امتناعی شدیم، بگوئیم لا یجوز. و عرض کردیم کسی توهم نکند که تکفین از توصلیّات است، و با تکفین به ثوب مغصوب هم غرض حاصل می</w:t>
      </w:r>
      <w:r>
        <w:rPr>
          <w:rtl/>
        </w:rPr>
        <w:softHyphen/>
      </w:r>
      <w:r>
        <w:rPr>
          <w:rFonts w:hint="cs"/>
          <w:rtl/>
        </w:rPr>
        <w:t>شود، مثل تطهیر خبث به آب غصبی؛ که و لو این تطهیر، مصداق واجب نیست (مثلاً مصداق اینکه فرموده برای نماز این را تطهیر کن</w:t>
      </w:r>
      <w:bookmarkStart w:id="4" w:name="_GoBack"/>
      <w:bookmarkEnd w:id="4"/>
      <w:r>
        <w:rPr>
          <w:rFonts w:hint="cs"/>
          <w:rtl/>
        </w:rPr>
        <w:t>) ولی محصِّل غرض هست. عرض ما این بود که تکفین مثل تطهیر نیست، در تطهیر یقین داریم که غرض مولی حاصل شده است، و دوباره شستن قطعا امر ندارد. بخلاف مقام که ما نمی</w:t>
      </w:r>
      <w:r>
        <w:rPr>
          <w:rtl/>
        </w:rPr>
        <w:softHyphen/>
      </w:r>
      <w:r>
        <w:rPr>
          <w:rFonts w:hint="cs"/>
          <w:rtl/>
        </w:rPr>
        <w:t>دانیم ملاک تکفین چیست، ملاک خیلی از توصلیّات را نمی</w:t>
      </w:r>
      <w:r>
        <w:rPr>
          <w:rtl/>
        </w:rPr>
        <w:softHyphen/>
      </w:r>
      <w:r>
        <w:rPr>
          <w:rFonts w:hint="cs"/>
          <w:rtl/>
        </w:rPr>
        <w:t>دانیم چیست. در محل  کلام نمی</w:t>
      </w:r>
      <w:r>
        <w:rPr>
          <w:rtl/>
        </w:rPr>
        <w:softHyphen/>
      </w:r>
      <w:r>
        <w:rPr>
          <w:rFonts w:hint="cs"/>
          <w:rtl/>
        </w:rPr>
        <w:t>دانیم غرض از (کفنوا موتاکم فی ثلاثة أثواب) چیست. بلکه از روایت علل اینجور استشمام کردیم که ملاک مجرد تستّر نیست، بلکه تستّر محبوب، ملاک دارد. أضف إلی ذلک که چون مال مردم است، وجوب ردّ دارد، این است که نمی</w:t>
      </w:r>
      <w:r>
        <w:rPr>
          <w:rtl/>
        </w:rPr>
        <w:softHyphen/>
      </w:r>
      <w:r>
        <w:rPr>
          <w:rFonts w:hint="cs"/>
          <w:rtl/>
        </w:rPr>
        <w:t>توان گفت با تکفین به أثواب مغوصبه، غرض مولی ساقط شده است، و الاشتغال الیقینی یستلزم الفراغ الیقینی، که فراغ تارةً به محصِّل امر است و اُخری به محصِّل غرض است، و باید یقین پیدا کرد که محصِّل غرض است.</w:t>
      </w:r>
    </w:p>
    <w:p w:rsidR="00237426" w:rsidRDefault="00237426" w:rsidP="00237426">
      <w:pPr>
        <w:pStyle w:val="Heading5"/>
        <w:rPr>
          <w:rFonts w:hint="cs"/>
          <w:rtl/>
        </w:rPr>
      </w:pPr>
      <w:bookmarkStart w:id="5" w:name="_Toc17478092"/>
      <w:r>
        <w:rPr>
          <w:rFonts w:hint="cs"/>
          <w:rtl/>
        </w:rPr>
        <w:lastRenderedPageBreak/>
        <w:t>جواب استاد از مرحوم خوئی</w:t>
      </w:r>
      <w:bookmarkEnd w:id="5"/>
    </w:p>
    <w:p w:rsidR="00237426" w:rsidRPr="00237426" w:rsidRDefault="00237426" w:rsidP="00237426">
      <w:pPr>
        <w:pStyle w:val="a0"/>
        <w:rPr>
          <w:rFonts w:hint="cs"/>
          <w:rtl/>
        </w:rPr>
      </w:pPr>
      <w:r w:rsidRPr="00237426">
        <w:rPr>
          <w:rFonts w:hint="cs"/>
          <w:rtl/>
        </w:rPr>
        <w:t>و لکن درست است که تکفین به أثواب مغصوبه جایز نیست، و مجزی نیست، و لکن اینکه ایشان در وجهش فرموده چون اینجا یک نهی بیشتر نداریم، مثل  نهی از صلات حائض، این را نتوانستیم بفهمیم؛ و مرحوم حکیم هم این مسأله را از باب اجتماع امر و نهی قرار داده است. اینکه این مسأله از مصادیق باب اجتماع امر و نهی است یا نه؛ منشأش در علم اصول است؛ گفته</w:t>
      </w:r>
      <w:r w:rsidRPr="00237426">
        <w:rPr>
          <w:rtl/>
        </w:rPr>
        <w:softHyphen/>
      </w:r>
      <w:r w:rsidRPr="00237426">
        <w:rPr>
          <w:rFonts w:hint="cs"/>
          <w:rtl/>
        </w:rPr>
        <w:t>اند این روی یک مبنائی است که در علم اصول منقّح شده است، که آیا موضوع مسأله اجتماع امر و نهی، ترکیب انضمامی است، یا اینکه موضوعش أعم از ترکیب اتحادی و انضمامی است؟ مرحوم خوئی می</w:t>
      </w:r>
      <w:r w:rsidRPr="00237426">
        <w:rPr>
          <w:rFonts w:hint="cs"/>
          <w:rtl/>
        </w:rPr>
        <w:softHyphen/>
        <w:t>گوید که موضوع اجتماع امر و نهی ترکیب اضمامی است، می</w:t>
      </w:r>
      <w:r w:rsidRPr="00237426">
        <w:rPr>
          <w:rtl/>
        </w:rPr>
        <w:softHyphen/>
      </w:r>
      <w:r w:rsidRPr="00237426">
        <w:rPr>
          <w:rFonts w:hint="cs"/>
          <w:rtl/>
        </w:rPr>
        <w:t>گوید که باید دو وجود داشته باشیم، تا از این باب شود، نه یک وجود؛ ایشان در اصول فرموده موارد ترکیب اتّحادی که یک وجود بیشتر نداریم، واضح است که امر معنی ندارد، مثل  وضوی به آب غصبی، میگوید یک وجود بیشتر نیست، همین جری الماء هم وضو و هم غصب باشد، جای گفتن ندارد. مرحوم خوئی که در اینجا انکار می</w:t>
      </w:r>
      <w:r w:rsidRPr="00237426">
        <w:rPr>
          <w:rtl/>
        </w:rPr>
        <w:softHyphen/>
      </w:r>
      <w:r w:rsidRPr="00237426">
        <w:rPr>
          <w:rFonts w:hint="cs"/>
          <w:rtl/>
        </w:rPr>
        <w:t>کند از باب اجتماع امر و نهی است، لذا می</w:t>
      </w:r>
      <w:r w:rsidRPr="00237426">
        <w:rPr>
          <w:rFonts w:hint="cs"/>
          <w:rtl/>
        </w:rPr>
        <w:softHyphen/>
        <w:t>گوید یک فعل بیشتر نیست.</w:t>
      </w:r>
    </w:p>
    <w:p w:rsidR="00237426" w:rsidRDefault="00237426" w:rsidP="00237426">
      <w:pPr>
        <w:pStyle w:val="a0"/>
        <w:rPr>
          <w:rFonts w:hint="cs"/>
          <w:rtl/>
        </w:rPr>
      </w:pPr>
      <w:r>
        <w:rPr>
          <w:rFonts w:hint="cs"/>
          <w:rtl/>
        </w:rPr>
        <w:t>آنجا ما گفتیم اتفاقاً قدر متیقّن اجتماع امر و نهی، یا کل اجتماع امر و نهی، در ترکیب اتّحادی است؛ و انضمامی جای  امتناع ندارد، ما محل بحث را از موارد اجتماع امر و نهی می</w:t>
      </w:r>
      <w:r>
        <w:rPr>
          <w:rtl/>
        </w:rPr>
        <w:softHyphen/>
      </w:r>
      <w:r>
        <w:rPr>
          <w:rFonts w:hint="cs"/>
          <w:rtl/>
        </w:rPr>
        <w:t>دانیم، پوشیدن این لباس بعنوان تکفین امر دارد، و به عنوان غصب نهی دارد.</w:t>
      </w:r>
    </w:p>
    <w:p w:rsidR="00237426" w:rsidRDefault="00237426" w:rsidP="00237426">
      <w:pPr>
        <w:pStyle w:val="a0"/>
        <w:rPr>
          <w:rtl/>
        </w:rPr>
      </w:pPr>
      <w:r>
        <w:rPr>
          <w:rFonts w:hint="cs"/>
          <w:rtl/>
        </w:rPr>
        <w:t>مرحوم حکیم که فرموده مسأله داخل اجتماع امر و نهی است و ما چون امتناعی هستیم پس این تکفین نهی دارد، روی  یک مبنی است، و کلام مرحوم خوئی که فرموده از باب اجتماع امر و نهی  نیست، روی مبنای دیگر است. در ذهن ما این است که اینجا از باب اجتماع امر و نهی است، و جا دارد کسی که اجتماعی است، این عمل را بگوید هم تکفین و هم تصرّف در مال غیر است.</w:t>
      </w:r>
    </w:p>
    <w:p w:rsidR="00237426" w:rsidRDefault="00237426" w:rsidP="00237426">
      <w:pPr>
        <w:pStyle w:val="a0"/>
        <w:rPr>
          <w:rtl/>
        </w:rPr>
      </w:pPr>
      <w:r>
        <w:rPr>
          <w:rFonts w:hint="cs"/>
          <w:rtl/>
        </w:rPr>
        <w:t>الّلهم إلّا أن یقال: اینجا از باب اجتماع امر و نهی نیست، از یک باب دیگری که این بیان از بیان مرحوم خوئی بهتر است؛ بیانی که مرحوم حکیم دارد، فرموده از جهت اینکه در باب اجتماع امر و نهی، باید امر هم نسبت به مجمع اطلاق داشته باشد کما اینکه نهی اطلاق دارد، و اینجا (کفنوا موتاکم) از اول اطلاق ندارد، وجه کفن برای این است که حالش بهتر باشد (یلقی ربه مع الستر)، تکفین برای کرامت و حفظ حال مؤمن است. سیأتی که اصلا کفن نسبت به مال دیگران از جهت دیگری اطلاق ندارد. یک مسأله</w:t>
      </w:r>
      <w:r>
        <w:rPr>
          <w:rtl/>
        </w:rPr>
        <w:softHyphen/>
      </w:r>
      <w:r>
        <w:rPr>
          <w:rFonts w:hint="cs"/>
          <w:rtl/>
        </w:rPr>
        <w:t xml:space="preserve">ای است که اگر میّت کفن ندارد، نه مالی دارد، و نه وصیّت کرده است، و نه مؤمنی هست که بذل کفن کند، سیّد </w:t>
      </w:r>
      <w:r>
        <w:rPr>
          <w:rFonts w:hint="cs"/>
          <w:rtl/>
        </w:rPr>
        <w:lastRenderedPageBreak/>
        <w:t>فرموده که واجب نیست، و اگر اطلاق داشت، دیگران باید برایش کفن پیدا بکنند. اطلاق هم داشته باشد، اطلاق نسبت به غصبی ندارد.</w:t>
      </w:r>
    </w:p>
    <w:p w:rsidR="00237426" w:rsidRDefault="00237426" w:rsidP="00237426">
      <w:pPr>
        <w:pStyle w:val="Heading3"/>
        <w:rPr>
          <w:rFonts w:hint="cs"/>
          <w:rtl/>
        </w:rPr>
      </w:pPr>
      <w:bookmarkStart w:id="6" w:name="_Toc17478093"/>
      <w:r>
        <w:rPr>
          <w:rFonts w:hint="cs"/>
          <w:rtl/>
        </w:rPr>
        <w:t>عدم جواز تکفین به مال غصبی حتّی در حال اضطرار</w:t>
      </w:r>
      <w:bookmarkEnd w:id="6"/>
    </w:p>
    <w:p w:rsidR="00237426" w:rsidRDefault="00237426" w:rsidP="00237426">
      <w:pPr>
        <w:rPr>
          <w:rtl/>
        </w:rPr>
      </w:pPr>
      <w:r>
        <w:rPr>
          <w:rFonts w:hint="cs"/>
          <w:rtl/>
        </w:rPr>
        <w:t>در ادامه مرحوم سیّد فرموده اگر غصبی بود، جایز نیست، و لو فی حال الإضطرار، آن حرمت تصرف در مال غیر، در حال اضطرار هم هست. و اگر در مغصوب کفن شود، باید آن کفن را برگردانند، و لو بعد از دفن باشد. یک بحثی است در نبش القبر که وجه حرمت نبش القبر چیست، سیأتی که عمده آن حرمت و کرامت مؤمن است، و دلیل مطلقی نداریم که بگوید نبش قبر نکنید، که آن جهت کرامت اینجا نیست، چون ما نبش می</w:t>
      </w:r>
      <w:r>
        <w:rPr>
          <w:rtl/>
        </w:rPr>
        <w:softHyphen/>
      </w:r>
      <w:r>
        <w:rPr>
          <w:rFonts w:hint="cs"/>
          <w:rtl/>
        </w:rPr>
        <w:t>کنیم که آتش را از او جدا بکنیم، و مخالف کرامت مؤمن نیست. وقتی دلیل حرمت نبش قاصر بود، دلیل ردّ مال غیر، حاکم است، اطلاق دلیل ردّ مال غیر اینجا را هم می</w:t>
      </w:r>
      <w:r>
        <w:rPr>
          <w:rFonts w:hint="cs"/>
          <w:rtl/>
        </w:rPr>
        <w:softHyphen/>
        <w:t>گیرد.</w:t>
      </w:r>
    </w:p>
    <w:p w:rsidR="00237426" w:rsidRDefault="00237426" w:rsidP="00237426">
      <w:pPr>
        <w:rPr>
          <w:rtl/>
        </w:rPr>
      </w:pPr>
      <w:r>
        <w:rPr>
          <w:rFonts w:hint="cs"/>
          <w:rtl/>
        </w:rPr>
        <w:t>بله یک حرف هست، و آن اینکه ربما پارچه را که کفن کردند، از مالیّت و قیمت افتاده است، اگر جوری بشود که کفن میّت هیچ مالیّت نداشته باشد، یا از این باب که تقطیع شده است، یا از این جهت که مدتی گذشته و قیمتی ندارد، آیا باز هم واجب است، مربوط به آن دو مبنی است که اگر مال غیر، از مالیّت افتاد، آیا از ملکش خارج می</w:t>
      </w:r>
      <w:r>
        <w:rPr>
          <w:rtl/>
        </w:rPr>
        <w:softHyphen/>
      </w:r>
      <w:r>
        <w:rPr>
          <w:rFonts w:hint="cs"/>
          <w:rtl/>
        </w:rPr>
        <w:t>شود یا نه؟ که بعضی می</w:t>
      </w:r>
      <w:r>
        <w:rPr>
          <w:rtl/>
        </w:rPr>
        <w:softHyphen/>
      </w:r>
      <w:r>
        <w:rPr>
          <w:rFonts w:hint="cs"/>
          <w:rtl/>
        </w:rPr>
        <w:t>گویند از ملکیّت خارج می</w:t>
      </w:r>
      <w:r>
        <w:rPr>
          <w:rtl/>
        </w:rPr>
        <w:softHyphen/>
      </w:r>
      <w:r>
        <w:rPr>
          <w:rFonts w:hint="cs"/>
          <w:rtl/>
        </w:rPr>
        <w:t xml:space="preserve">شود، مثل مرحوم خوئی، که در این صورت کندن کفن واجب نیست. و اما روی مبنای اینکه اگر از مالیّت هم خارج شود، باز بر ملک مالک اصلی باقی است؛ تا وقتی که این کفن، پارچه است و لو هیچ قیمتی ندارد، یجب نزع و ردّش به مالکش، علی الید ما أخذت، اطلاق دارد چه مال باشد یا مال نباشد. </w:t>
      </w:r>
    </w:p>
    <w:p w:rsidR="00237426" w:rsidRDefault="00237426" w:rsidP="00237426">
      <w:pPr>
        <w:pStyle w:val="Heading2"/>
        <w:rPr>
          <w:rtl/>
        </w:rPr>
      </w:pPr>
      <w:bookmarkStart w:id="7" w:name="_Toc17399190"/>
      <w:bookmarkStart w:id="8" w:name="_Toc17478094"/>
      <w:r>
        <w:rPr>
          <w:rFonts w:hint="cs"/>
          <w:rtl/>
        </w:rPr>
        <w:t>مسأله 4: شرایط کفن</w:t>
      </w:r>
      <w:bookmarkEnd w:id="7"/>
      <w:bookmarkEnd w:id="8"/>
    </w:p>
    <w:p w:rsidR="00237426" w:rsidRPr="00237426" w:rsidRDefault="00237426" w:rsidP="00237426">
      <w:pPr>
        <w:jc w:val="both"/>
        <w:rPr>
          <w:rStyle w:val="SubtleEmphasis"/>
          <w:rtl/>
        </w:rPr>
      </w:pPr>
      <w:r w:rsidRPr="00237426">
        <w:rPr>
          <w:rStyle w:val="SubtleEmphasis"/>
          <w:rFonts w:hint="cs"/>
          <w:rtl/>
        </w:rPr>
        <w:t>مسألة 4: لا يجوز اختيارا التكفين بالنجس</w:t>
      </w:r>
      <w:r w:rsidRPr="00237426">
        <w:rPr>
          <w:rStyle w:val="SubtleEmphasis"/>
          <w:rFonts w:hint="cs"/>
        </w:rPr>
        <w:t>‌</w:t>
      </w:r>
      <w:r w:rsidRPr="00237426">
        <w:rPr>
          <w:rStyle w:val="SubtleEmphasis"/>
          <w:rFonts w:hint="cs"/>
          <w:rtl/>
        </w:rPr>
        <w:t xml:space="preserve"> حتى لو كانت النجاسة بما عفا عنها في الصلاة على الأحوط و لا بالحرير الخالص و إن كان الميت طفلا أو امرأة- و لا بالمذهب و لا بما لا يؤكل لحمه جلدا كان أو شعرا أو وبرا و الأحوط أن لا يكون من جلد المأكول و أما من وبره و شعره فلا بأس و إن كان الأحوط فيهما أيضا المنع- و أما في حال الاضطرار فيجوز بالجميع‌.</w:t>
      </w:r>
    </w:p>
    <w:p w:rsidR="00237426" w:rsidRDefault="00237426" w:rsidP="00237426">
      <w:pPr>
        <w:rPr>
          <w:rtl/>
        </w:rPr>
      </w:pPr>
      <w:r>
        <w:rPr>
          <w:rFonts w:hint="cs"/>
          <w:rtl/>
        </w:rPr>
        <w:t>در حال اختیار تکفین به نجس جایز نیست، حتّی اگر از نجاساتی باشد که در نماز عفو شده است.</w:t>
      </w:r>
    </w:p>
    <w:p w:rsidR="00237426" w:rsidRPr="00EB008A" w:rsidRDefault="00237426" w:rsidP="00237426">
      <w:pPr>
        <w:rPr>
          <w:rFonts w:ascii="Noor_Titr" w:hAnsi="Noor_Titr"/>
          <w:rtl/>
        </w:rPr>
      </w:pPr>
      <w:r w:rsidRPr="00EB008A">
        <w:rPr>
          <w:rFonts w:hint="cs"/>
          <w:rtl/>
        </w:rPr>
        <w:t>اصل عدم جواز، مضافا به اجماع، روایت هم دارد؛ مثل حسنه عبد الله بن یحیی الکاهلی:</w:t>
      </w:r>
      <w:r>
        <w:rPr>
          <w:rFonts w:hint="cs"/>
          <w:rtl/>
        </w:rPr>
        <w:t xml:space="preserve"> </w:t>
      </w:r>
      <w:r w:rsidRPr="00EB008A">
        <w:rPr>
          <w:rFonts w:hint="cs"/>
          <w:color w:val="00B050"/>
          <w:rtl/>
        </w:rPr>
        <w:t>«وَ</w:t>
      </w:r>
      <w:r w:rsidRPr="00EB008A">
        <w:rPr>
          <w:rFonts w:ascii="Traditional Arabic" w:hint="cs"/>
          <w:color w:val="00B050"/>
          <w:rtl/>
        </w:rPr>
        <w:t xml:space="preserve"> عَنْ عِدَّةٍ مِنْ أَصْحَابِنَا عَنْ سَهْلِ بْنِ زِيَادٍ عَنْ أَحْمَدَ بْنِ مُحَمَّدِ بْنِ أَبِي نَصْرٍ عَنْ عَبْدِ اللَّهِ بْنِ يَحْيَى الْكَاهِلِيِّ عَنْ أَبِي عَبْدِ اللَّهِ (علیه السلام) قَالَ:</w:t>
      </w:r>
      <w:r w:rsidRPr="00EB008A">
        <w:rPr>
          <w:rFonts w:hint="cs"/>
          <w:color w:val="00B050"/>
          <w:rtl/>
        </w:rPr>
        <w:t xml:space="preserve"> إِذَا خَرَجَ مِنْ مَنْخِرِ </w:t>
      </w:r>
      <w:r w:rsidRPr="00EB008A">
        <w:rPr>
          <w:rFonts w:hint="cs"/>
          <w:color w:val="00B050"/>
          <w:rtl/>
        </w:rPr>
        <w:lastRenderedPageBreak/>
        <w:t>الْمَيِّتِ الدَّمُ أَوِ الشَّيْ‌ءُ بَعْدَ الْغُسْلِ- وَ أَصَابَ الْعِمَامَةَ أَوِ الْكَفَنَ قَرَضَهُ بِالْمِقْرَاضِ».</w:t>
      </w:r>
      <w:r w:rsidRPr="00EB008A">
        <w:rPr>
          <w:rStyle w:val="FootnoteReference"/>
          <w:rFonts w:ascii="Noor_Lotus" w:hAnsi="Noor_Lotus" w:cs="Noor_Lotus"/>
          <w:sz w:val="35"/>
          <w:szCs w:val="35"/>
          <w:rtl/>
        </w:rPr>
        <w:footnoteReference w:id="1"/>
      </w:r>
      <w:r>
        <w:rPr>
          <w:rFonts w:cs="Noor_Lotus" w:hint="cs"/>
          <w:color w:val="0F005F"/>
          <w:sz w:val="35"/>
          <w:szCs w:val="35"/>
          <w:rtl/>
        </w:rPr>
        <w:t xml:space="preserve"> </w:t>
      </w:r>
      <w:r w:rsidRPr="00EB008A">
        <w:rPr>
          <w:rFonts w:hint="cs"/>
          <w:rtl/>
        </w:rPr>
        <w:t>این روایت دو سند دارد.</w:t>
      </w:r>
      <w:r w:rsidRPr="00EB008A">
        <w:rPr>
          <w:rStyle w:val="FootnoteReference"/>
          <w:rFonts w:ascii="Noor_Lotus" w:hAnsi="Noor_Lotus" w:cs="B Lotus"/>
          <w:sz w:val="28"/>
          <w:rtl/>
        </w:rPr>
        <w:footnoteReference w:id="2"/>
      </w:r>
      <w:r w:rsidRPr="00EB008A">
        <w:rPr>
          <w:rFonts w:hint="cs"/>
          <w:rtl/>
        </w:rPr>
        <w:t xml:space="preserve"> در این روایت می</w:t>
      </w:r>
      <w:r w:rsidRPr="00EB008A">
        <w:rPr>
          <w:rtl/>
        </w:rPr>
        <w:softHyphen/>
      </w:r>
      <w:r w:rsidRPr="00EB008A">
        <w:rPr>
          <w:rFonts w:hint="cs"/>
          <w:rtl/>
        </w:rPr>
        <w:t>فرماید اگر کفن به نجاست آلوده شد، باید آن را قیچی کرد؛ و متفاهم عرفی این است که اگر از اول نجس بود، نباید آن را بعنوان کفن انتخاب کرد.</w:t>
      </w:r>
    </w:p>
    <w:p w:rsidR="00237426" w:rsidRDefault="00237426" w:rsidP="00237426">
      <w:pPr>
        <w:rPr>
          <w:rtl/>
        </w:rPr>
      </w:pPr>
      <w:r>
        <w:rPr>
          <w:rFonts w:hint="cs"/>
          <w:rtl/>
        </w:rPr>
        <w:t>کلام در اطلاق کلام مرحوم سیّد است، که آیا شامل موارد معفوّ در صلات هم می</w:t>
      </w:r>
      <w:r>
        <w:rPr>
          <w:rtl/>
        </w:rPr>
        <w:softHyphen/>
      </w:r>
      <w:r>
        <w:rPr>
          <w:rFonts w:hint="cs"/>
          <w:rtl/>
        </w:rPr>
        <w:t>شود یا نه؟ آنی که عفو در نماز است من إحدی الجهتین است، یا من جهت قلّت نجس، یا من جهت قلّت متنجّس.</w:t>
      </w:r>
    </w:p>
    <w:p w:rsidR="00237426" w:rsidRDefault="00237426" w:rsidP="00237426">
      <w:pPr>
        <w:rPr>
          <w:rtl/>
        </w:rPr>
      </w:pPr>
      <w:r>
        <w:rPr>
          <w:rFonts w:hint="cs"/>
          <w:rtl/>
        </w:rPr>
        <w:t>مرحوم سیّد احتیاط نموده است، در تنقیح</w:t>
      </w:r>
      <w:r>
        <w:rPr>
          <w:rStyle w:val="FootnoteReference"/>
          <w:rFonts w:ascii="Noor_Lotus" w:hAnsi="Noor_Lotus" w:cs="B Lotus"/>
          <w:sz w:val="28"/>
          <w:rtl/>
        </w:rPr>
        <w:footnoteReference w:id="3"/>
      </w:r>
      <w:r>
        <w:rPr>
          <w:rFonts w:hint="cs"/>
          <w:rtl/>
        </w:rPr>
        <w:t xml:space="preserve"> فرموده وجه احتیاط مرحوم سیّد، قصور دلیل است، دلیل ما روایاتی بود که می</w:t>
      </w:r>
      <w:r>
        <w:rPr>
          <w:rtl/>
        </w:rPr>
        <w:softHyphen/>
      </w:r>
      <w:r>
        <w:rPr>
          <w:rFonts w:hint="cs"/>
          <w:rtl/>
        </w:rPr>
        <w:t>گفت اگر چیزی از میّت بیرون آمد، آن را بشوئید، چه روی بدن میّت باشد، یا روی لباس او باشد، فرموده موضوع روایات که دلیل ماست، ما خرج عن المیّت است؛ و همه نجاسات را نمی</w:t>
      </w:r>
      <w:r>
        <w:rPr>
          <w:rtl/>
        </w:rPr>
        <w:softHyphen/>
      </w:r>
      <w:r>
        <w:rPr>
          <w:rFonts w:hint="cs"/>
          <w:rtl/>
        </w:rPr>
        <w:t>گیرد؛ در ما خرج عن المیّت، احتمال خصوصیّت هست، چون خودش میّت و مردار است، شاید ما خرجش، خیلی شدید است؛ اما اگر قمیصش به آب متنجّس نجس شده است، نمی</w:t>
      </w:r>
      <w:r>
        <w:rPr>
          <w:rtl/>
        </w:rPr>
        <w:softHyphen/>
      </w:r>
      <w:r>
        <w:rPr>
          <w:rFonts w:hint="cs"/>
          <w:rtl/>
        </w:rPr>
        <w:t>توان تعدّی کرد. فرموده اگر ثوب ما تتمّ فیه الصلات باشد، قطع داریم که فرقی نیست، اما اگر ما لا تتم بود، یقین به إلغاء خصوصیّت نداریم.</w:t>
      </w:r>
    </w:p>
    <w:p w:rsidR="00237426" w:rsidRDefault="00237426" w:rsidP="00237426">
      <w:pPr>
        <w:rPr>
          <w:rtl/>
        </w:rPr>
      </w:pPr>
      <w:r>
        <w:rPr>
          <w:rFonts w:hint="cs"/>
          <w:rtl/>
        </w:rPr>
        <w:t>و لکن در ذهن ما فرقی بین ما تتمّ، و ما لا تممّ نیست.</w:t>
      </w:r>
    </w:p>
    <w:p w:rsidR="00237426" w:rsidRPr="001A27D7" w:rsidRDefault="00237426" w:rsidP="00237426">
      <w:pPr>
        <w:rPr>
          <w:rtl/>
        </w:rPr>
      </w:pPr>
    </w:p>
    <w:p w:rsidR="001A1EA5" w:rsidRPr="006162A2" w:rsidRDefault="001A1EA5" w:rsidP="006162A2">
      <w:pPr>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1219" w:rsidRDefault="00D01219" w:rsidP="008B750B">
      <w:pPr>
        <w:spacing w:line="240" w:lineRule="auto"/>
      </w:pPr>
      <w:r>
        <w:separator/>
      </w:r>
    </w:p>
  </w:endnote>
  <w:endnote w:type="continuationSeparator" w:id="0">
    <w:p w:rsidR="00D01219" w:rsidRDefault="00D0121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37426" w:rsidRPr="00237426">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50104F" w:rsidP="001B6799">
          <w:pPr>
            <w:pStyle w:val="Footer"/>
            <w:bidi w:val="0"/>
            <w:rPr>
              <w:color w:val="808080" w:themeColor="background1" w:themeShade="80"/>
              <w:rtl/>
            </w:rPr>
          </w:pPr>
          <w:bookmarkStart w:id="16" w:name="BokAdres"/>
          <w:bookmarkEnd w:id="16"/>
          <w:r>
            <w:rPr>
              <w:color w:val="808080" w:themeColor="background1" w:themeShade="80"/>
            </w:rPr>
            <w:t>F1mg1_13950623-008_sl1_mfeb.ir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1219" w:rsidRDefault="00D01219" w:rsidP="008B750B">
      <w:pPr>
        <w:spacing w:line="240" w:lineRule="auto"/>
      </w:pPr>
      <w:r>
        <w:separator/>
      </w:r>
    </w:p>
  </w:footnote>
  <w:footnote w:type="continuationSeparator" w:id="0">
    <w:p w:rsidR="00D01219" w:rsidRDefault="00D01219" w:rsidP="008B750B">
      <w:pPr>
        <w:spacing w:line="240" w:lineRule="auto"/>
      </w:pPr>
      <w:r>
        <w:continuationSeparator/>
      </w:r>
    </w:p>
  </w:footnote>
  <w:footnote w:id="1">
    <w:p w:rsidR="00237426" w:rsidRDefault="00237426" w:rsidP="00237426">
      <w:pPr>
        <w:pStyle w:val="FootnoteText"/>
        <w:rPr>
          <w:rFonts w:hint="cs"/>
        </w:rPr>
      </w:pPr>
      <w:r>
        <w:rPr>
          <w:rStyle w:val="FootnoteReference"/>
        </w:rPr>
        <w:footnoteRef/>
      </w:r>
      <w:r>
        <w:rPr>
          <w:rtl/>
        </w:rPr>
        <w:t xml:space="preserve"> </w:t>
      </w:r>
      <w:r>
        <w:rPr>
          <w:rFonts w:hint="cs"/>
          <w:rtl/>
        </w:rPr>
        <w:t xml:space="preserve">- </w:t>
      </w:r>
      <w:r w:rsidRPr="00ED1A9A">
        <w:rPr>
          <w:rFonts w:hint="cs"/>
          <w:rtl/>
        </w:rPr>
        <w:t>وسائل الشيعة؛ ج‌2، ص: 543</w:t>
      </w:r>
      <w:r>
        <w:rPr>
          <w:rFonts w:hint="cs"/>
          <w:rtl/>
        </w:rPr>
        <w:t>، أبواب غسل المیّت، باب 32، ح4.</w:t>
      </w:r>
    </w:p>
  </w:footnote>
  <w:footnote w:id="2">
    <w:p w:rsidR="00237426" w:rsidRDefault="00237426" w:rsidP="00237426">
      <w:pPr>
        <w:pStyle w:val="FootnoteText"/>
        <w:rPr>
          <w:rFonts w:hint="cs"/>
        </w:rPr>
      </w:pPr>
      <w:r>
        <w:rPr>
          <w:rStyle w:val="FootnoteReference"/>
        </w:rPr>
        <w:footnoteRef/>
      </w:r>
      <w:r>
        <w:rPr>
          <w:rtl/>
        </w:rPr>
        <w:t xml:space="preserve"> </w:t>
      </w:r>
      <w:r>
        <w:rPr>
          <w:rFonts w:hint="cs"/>
          <w:rtl/>
        </w:rPr>
        <w:t xml:space="preserve">- </w:t>
      </w:r>
      <w:r w:rsidRPr="00ED1A9A">
        <w:rPr>
          <w:rFonts w:hint="cs"/>
          <w:rtl/>
        </w:rPr>
        <w:t xml:space="preserve">وسائل الشيعة؛ ج‌2، ص: 543 </w:t>
      </w:r>
      <w:r>
        <w:rPr>
          <w:rFonts w:hint="cs"/>
          <w:rtl/>
        </w:rPr>
        <w:t xml:space="preserve"> (</w:t>
      </w:r>
      <w:r w:rsidRPr="00ED1A9A">
        <w:rPr>
          <w:rFonts w:asciiTheme="minorHAnsi" w:eastAsiaTheme="minorHAnsi" w:hAnsiTheme="minorHAnsi" w:hint="cs"/>
          <w:rtl/>
        </w:rPr>
        <w:t>وَ رَوَاهُ الشَّيْخُ بِإِسْنَادِهِ عَنْ أَحْمَدَ بْنِ مُحَمَّدِ بْنِ عِيسَى عَنْ أَحْمَدَ بْنِ مُحَمَّدِ بْنِ أَبِي نَصْرٍ</w:t>
      </w:r>
      <w:r>
        <w:rPr>
          <w:rFonts w:hint="cs"/>
          <w:rtl/>
        </w:rPr>
        <w:t xml:space="preserve"> </w:t>
      </w:r>
      <w:r w:rsidRPr="00ED1A9A">
        <w:rPr>
          <w:rFonts w:asciiTheme="minorHAnsi" w:eastAsiaTheme="minorHAnsi" w:hAnsiTheme="minorHAnsi" w:hint="cs"/>
          <w:rtl/>
        </w:rPr>
        <w:t>وَ الَّذِي قَبْلَهُ بِإِسْنَادِهِ عَنْ عَلِيِّ بْنِ الْحُسَيْنِ عَنْ مُحَمَّدِ بْنِ أَحْمَدَ بْنِ عَلِيٍّ عَنْ أَبِي طَالِبٍ عَبْدِ اللَّهِ بْنِ الصَّلْتِ عَنِ ابْنِ أَبِي عُمَيْرٍ وَ أَحْمَدَ بْنِ مُحَمَّدٍ عَنْ غَيْرِ وَاحِدٍ مِنْ أَصْحَابِنَا عَنْ أَبِي عَبْدِ اللَّهِ ع</w:t>
      </w:r>
      <w:r>
        <w:rPr>
          <w:rFonts w:hint="cs"/>
          <w:rtl/>
        </w:rPr>
        <w:t xml:space="preserve"> مِثْلَه(علیه السلام)).</w:t>
      </w:r>
    </w:p>
  </w:footnote>
  <w:footnote w:id="3">
    <w:p w:rsidR="00237426" w:rsidRPr="00F501A6" w:rsidRDefault="00237426" w:rsidP="00237426">
      <w:pPr>
        <w:pStyle w:val="NormalWeb"/>
        <w:bidi/>
        <w:spacing w:before="0" w:beforeAutospacing="0" w:after="0" w:afterAutospacing="0"/>
        <w:jc w:val="both"/>
        <w:rPr>
          <w:rFonts w:ascii="Noor_Titr" w:hAnsi="Noor_Titr" w:cs="B Badr" w:hint="cs"/>
          <w:sz w:val="22"/>
          <w:szCs w:val="22"/>
        </w:rPr>
      </w:pPr>
      <w:r w:rsidRPr="00F501A6">
        <w:rPr>
          <w:rStyle w:val="FootnoteReference"/>
          <w:rFonts w:cs="B Badr"/>
          <w:sz w:val="22"/>
          <w:szCs w:val="22"/>
        </w:rPr>
        <w:footnoteRef/>
      </w:r>
      <w:r w:rsidRPr="00F501A6">
        <w:rPr>
          <w:rFonts w:cs="B Badr"/>
          <w:sz w:val="22"/>
          <w:szCs w:val="22"/>
          <w:rtl/>
        </w:rPr>
        <w:t xml:space="preserve"> </w:t>
      </w:r>
      <w:r w:rsidRPr="00F501A6">
        <w:rPr>
          <w:rFonts w:cs="B Badr" w:hint="cs"/>
          <w:sz w:val="22"/>
          <w:szCs w:val="22"/>
          <w:rtl/>
        </w:rPr>
        <w:t xml:space="preserve">- </w:t>
      </w:r>
      <w:r w:rsidRPr="00F501A6">
        <w:rPr>
          <w:rFonts w:ascii="Noor_Titr" w:hAnsi="Noor_Titr" w:cs="B Badr" w:hint="cs"/>
          <w:sz w:val="22"/>
          <w:szCs w:val="22"/>
          <w:rtl/>
        </w:rPr>
        <w:t xml:space="preserve">موسوعة الإمام الخوئي؛ ج‌9، صص: 99 </w:t>
      </w:r>
      <w:r w:rsidRPr="00F501A6">
        <w:rPr>
          <w:rFonts w:hint="cs"/>
          <w:sz w:val="22"/>
          <w:szCs w:val="22"/>
          <w:rtl/>
        </w:rPr>
        <w:t>–</w:t>
      </w:r>
      <w:r w:rsidRPr="00F501A6">
        <w:rPr>
          <w:rFonts w:ascii="Noor_Titr" w:hAnsi="Noor_Titr" w:cs="B Badr" w:hint="cs"/>
          <w:sz w:val="22"/>
          <w:szCs w:val="22"/>
          <w:rtl/>
        </w:rPr>
        <w:t xml:space="preserve"> 98 (</w:t>
      </w:r>
      <w:r w:rsidRPr="00F501A6">
        <w:rPr>
          <w:rFonts w:ascii="Noor_Lotus" w:hAnsi="Noor_Lotus" w:cs="B Badr" w:hint="cs"/>
          <w:sz w:val="22"/>
          <w:szCs w:val="22"/>
          <w:rtl/>
        </w:rPr>
        <w:t>و الوجه في هذا الاحتياط: أن ما دلّ على اعتبار الطهارة في الكفن و هو الروايتان المتقدِّمتان لا إطلاق له حتّى يشمل النجاسة المعفو عنها في الصلاة و ذلك لأنّهما وردتا فيما يخرج من الميِّت، و هما فيه و إن كانتا مطلقتين و شاملتين للدم المعفو عنه في الصلاة إلّا أنّا نحتمل أن يكون للدم الخارج منه خصوصية، لأنّه من أجزاء الميتة و من ثمة لا يمكننا التعدّي عن موردهما إلى غيره إذا كان ممّا يعفى عنه في الصلاة. نعم، نتعدّى عنه إلى غيره في غير المعفو عنه في الصلاة للقطع بعدم الفرق بينهما، فما في كلام المحقق الهمداني (قدس سره) و غيره من التمسُّك بالإطلاق ممّا لا نرى له وجهاً معقولًا.</w:t>
      </w:r>
      <w:r>
        <w:rPr>
          <w:rFonts w:ascii="Noor_Titr" w:hAnsi="Noor_Titr" w:cs="B Badr" w:hint="cs"/>
          <w:sz w:val="22"/>
          <w:szCs w:val="22"/>
          <w:rtl/>
        </w:rPr>
        <w:t xml:space="preserve"> </w:t>
      </w:r>
      <w:r w:rsidRPr="00F501A6">
        <w:rPr>
          <w:rFonts w:ascii="Noor_Lotus" w:hAnsi="Noor_Lotus" w:cs="B Badr" w:hint="cs"/>
          <w:color w:val="000000"/>
          <w:sz w:val="22"/>
          <w:szCs w:val="22"/>
          <w:rtl/>
        </w:rPr>
        <w:t>نعم، الفتاوى مطلقة حيث ذكروا عدم جواز التكفين بالمتنجس و لم يستثنوا منه ما إذا كانت النجاسة معفواً عنها في الصلاة، و من ثمة احتاط الماتن في المسألة</w:t>
      </w:r>
      <w:r>
        <w:rPr>
          <w:rFonts w:ascii="Noor_Lotus" w:hAnsi="Noor_Lotus" w:cs="B Badr" w:hint="cs"/>
          <w:color w:val="000000"/>
          <w:sz w:val="22"/>
          <w:szCs w:val="22"/>
          <w:rtl/>
        </w:rPr>
        <w:t>)</w:t>
      </w:r>
      <w:r w:rsidRPr="00F501A6">
        <w:rPr>
          <w:rFonts w:ascii="Noor_Lotus" w:hAnsi="Noor_Lotus" w:cs="B Badr" w:hint="cs"/>
          <w:color w:val="000000"/>
          <w:sz w:val="22"/>
          <w:szCs w:val="22"/>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9" w:name="BokNum"/>
    <w:bookmarkEnd w:id="9"/>
    <w:r w:rsidR="0050104F">
      <w:rPr>
        <w:b/>
        <w:bCs/>
        <w:sz w:val="20"/>
        <w:szCs w:val="24"/>
        <w:rtl/>
      </w:rPr>
      <w:t>008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50104F">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50104F">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2" w:name="BokTarikh"/>
    <w:bookmarkEnd w:id="12"/>
    <w:r w:rsidR="0050104F">
      <w:rPr>
        <w:sz w:val="24"/>
        <w:szCs w:val="24"/>
        <w:rtl/>
      </w:rPr>
      <w:t>23 /6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3" w:name="BokSabj"/>
    <w:bookmarkEnd w:id="13"/>
    <w:r w:rsidR="0050104F">
      <w:rPr>
        <w:rFonts w:hint="cs"/>
        <w:sz w:val="24"/>
        <w:szCs w:val="24"/>
        <w:rtl/>
      </w:rPr>
      <w:t>تکفین</w:t>
    </w:r>
    <w:r w:rsidR="0050104F">
      <w:rPr>
        <w:sz w:val="24"/>
        <w:szCs w:val="24"/>
        <w:rtl/>
      </w:rPr>
      <w:t xml:space="preserve"> </w:t>
    </w:r>
    <w:r w:rsidR="0050104F">
      <w:rPr>
        <w:rFonts w:hint="cs"/>
        <w:sz w:val="24"/>
        <w:szCs w:val="24"/>
        <w:rtl/>
      </w:rPr>
      <w:t>میت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4" w:name="Bokmoqarer"/>
    <w:bookmarkEnd w:id="14"/>
    <w:r w:rsidR="0050104F">
      <w:rPr>
        <w:rFonts w:hint="cs"/>
        <w:sz w:val="24"/>
        <w:szCs w:val="24"/>
        <w:rtl/>
      </w:rPr>
      <w:t>سجاد</w:t>
    </w:r>
    <w:r w:rsidR="0050104F">
      <w:rPr>
        <w:sz w:val="24"/>
        <w:szCs w:val="24"/>
        <w:rtl/>
      </w:rPr>
      <w:t xml:space="preserve"> </w:t>
    </w:r>
    <w:r w:rsidR="0050104F">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50104F">
      <w:rPr>
        <w:rFonts w:hint="cs"/>
        <w:sz w:val="24"/>
        <w:szCs w:val="24"/>
        <w:rtl/>
      </w:rPr>
      <w:t>مسائل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1844"/>
    <w:rsid w:val="001837E9"/>
    <w:rsid w:val="00187DFA"/>
    <w:rsid w:val="001A1EA5"/>
    <w:rsid w:val="001A2574"/>
    <w:rsid w:val="001A27D7"/>
    <w:rsid w:val="001A294E"/>
    <w:rsid w:val="001A4ED8"/>
    <w:rsid w:val="001B6799"/>
    <w:rsid w:val="001C1362"/>
    <w:rsid w:val="001D2E9A"/>
    <w:rsid w:val="001D597F"/>
    <w:rsid w:val="001E3FD4"/>
    <w:rsid w:val="0020241A"/>
    <w:rsid w:val="00203821"/>
    <w:rsid w:val="0021630D"/>
    <w:rsid w:val="00237426"/>
    <w:rsid w:val="00247D2F"/>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04F"/>
    <w:rsid w:val="00501909"/>
    <w:rsid w:val="005128DF"/>
    <w:rsid w:val="005206FE"/>
    <w:rsid w:val="005257ED"/>
    <w:rsid w:val="005306F8"/>
    <w:rsid w:val="0054023D"/>
    <w:rsid w:val="0056213C"/>
    <w:rsid w:val="00580C24"/>
    <w:rsid w:val="005968EF"/>
    <w:rsid w:val="00596C1E"/>
    <w:rsid w:val="005A2E26"/>
    <w:rsid w:val="005C0DAE"/>
    <w:rsid w:val="005C188E"/>
    <w:rsid w:val="005E5507"/>
    <w:rsid w:val="005E607B"/>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8F5B4D"/>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01219"/>
    <w:rsid w:val="00D048CE"/>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0D15A1-0E5A-4A90-BA5D-96FB6E861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4</Pages>
  <Words>1053</Words>
  <Characters>6004</Characters>
  <Application>Microsoft Office Word</Application>
  <DocSecurity>0</DocSecurity>
  <Lines>50</Lines>
  <Paragraphs>14</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7043</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3</cp:revision>
  <dcterms:created xsi:type="dcterms:W3CDTF">2019-08-23T14:07:00Z</dcterms:created>
  <dcterms:modified xsi:type="dcterms:W3CDTF">2019-08-23T14:11:00Z</dcterms:modified>
</cp:coreProperties>
</file>