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bookmarkStart w:id="0" w:name="_GoBack"/>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25A0A" w:rsidRDefault="00E25A0A" w:rsidP="00E25A0A">
      <w:pPr>
        <w:pStyle w:val="2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18685812" w:history="1">
        <w:r w:rsidRPr="00B42892">
          <w:rPr>
            <w:rStyle w:val="ac"/>
            <w:rFonts w:hint="eastAsia"/>
            <w:noProof/>
            <w:rtl/>
          </w:rPr>
          <w:t>ادامه</w:t>
        </w:r>
        <w:r w:rsidRPr="00B42892">
          <w:rPr>
            <w:rStyle w:val="ac"/>
            <w:noProof/>
            <w:rtl/>
          </w:rPr>
          <w:t xml:space="preserve"> (</w:t>
        </w:r>
        <w:r w:rsidRPr="00B42892">
          <w:rPr>
            <w:rStyle w:val="ac"/>
            <w:rFonts w:hint="eastAsia"/>
            <w:noProof/>
            <w:rtl/>
          </w:rPr>
          <w:t>وجوب</w:t>
        </w:r>
        <w:r w:rsidRPr="00B42892">
          <w:rPr>
            <w:rStyle w:val="ac"/>
            <w:noProof/>
            <w:rtl/>
          </w:rPr>
          <w:t xml:space="preserve"> </w:t>
        </w:r>
        <w:r w:rsidRPr="00B42892">
          <w:rPr>
            <w:rStyle w:val="ac"/>
            <w:rFonts w:hint="eastAsia"/>
            <w:noProof/>
            <w:rtl/>
          </w:rPr>
          <w:t>کفن</w:t>
        </w:r>
        <w:r w:rsidRPr="00B42892">
          <w:rPr>
            <w:rStyle w:val="ac"/>
            <w:noProof/>
            <w:rtl/>
          </w:rPr>
          <w:t xml:space="preserve"> </w:t>
        </w:r>
        <w:r w:rsidRPr="00B42892">
          <w:rPr>
            <w:rStyle w:val="ac"/>
            <w:rFonts w:hint="eastAsia"/>
            <w:noProof/>
            <w:rtl/>
          </w:rPr>
          <w:t>زوجه</w:t>
        </w:r>
        <w:r w:rsidRPr="00B42892">
          <w:rPr>
            <w:rStyle w:val="ac"/>
            <w:noProof/>
            <w:rtl/>
          </w:rPr>
          <w:t xml:space="preserve"> </w:t>
        </w:r>
        <w:r w:rsidRPr="00B42892">
          <w:rPr>
            <w:rStyle w:val="ac"/>
            <w:rFonts w:hint="eastAsia"/>
            <w:noProof/>
            <w:rtl/>
          </w:rPr>
          <w:t>بر</w:t>
        </w:r>
        <w:r w:rsidRPr="00B42892">
          <w:rPr>
            <w:rStyle w:val="ac"/>
            <w:noProof/>
            <w:rtl/>
          </w:rPr>
          <w:t xml:space="preserve"> </w:t>
        </w:r>
        <w:r w:rsidRPr="00B42892">
          <w:rPr>
            <w:rStyle w:val="ac"/>
            <w:rFonts w:hint="eastAsia"/>
            <w:noProof/>
            <w:rtl/>
          </w:rPr>
          <w:t>زوج</w:t>
        </w:r>
        <w:r w:rsidRPr="00B42892">
          <w:rPr>
            <w:rStyle w:val="ac"/>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18685812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25A0A" w:rsidRDefault="00DB4998" w:rsidP="00E25A0A">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8685813" w:history="1">
        <w:r w:rsidR="00E25A0A" w:rsidRPr="00B42892">
          <w:rPr>
            <w:rStyle w:val="ac"/>
            <w:rFonts w:hint="eastAsia"/>
            <w:noProof/>
            <w:rtl/>
          </w:rPr>
          <w:t>مطلق</w:t>
        </w:r>
        <w:r w:rsidR="00E25A0A" w:rsidRPr="00B42892">
          <w:rPr>
            <w:rStyle w:val="ac"/>
            <w:noProof/>
            <w:rtl/>
          </w:rPr>
          <w:t xml:space="preserve"> </w:t>
        </w:r>
        <w:r w:rsidR="00E25A0A" w:rsidRPr="00B42892">
          <w:rPr>
            <w:rStyle w:val="ac"/>
            <w:rFonts w:hint="eastAsia"/>
            <w:noProof/>
            <w:rtl/>
          </w:rPr>
          <w:t>بودن</w:t>
        </w:r>
        <w:r w:rsidR="00E25A0A" w:rsidRPr="00B42892">
          <w:rPr>
            <w:rStyle w:val="ac"/>
            <w:noProof/>
            <w:rtl/>
          </w:rPr>
          <w:t xml:space="preserve"> </w:t>
        </w:r>
        <w:r w:rsidR="00E25A0A" w:rsidRPr="00B42892">
          <w:rPr>
            <w:rStyle w:val="ac"/>
            <w:rFonts w:hint="eastAsia"/>
            <w:noProof/>
            <w:rtl/>
          </w:rPr>
          <w:t>وجوب</w:t>
        </w:r>
        <w:r w:rsidR="00E25A0A" w:rsidRPr="00B42892">
          <w:rPr>
            <w:rStyle w:val="ac"/>
            <w:noProof/>
            <w:rtl/>
          </w:rPr>
          <w:t xml:space="preserve"> </w:t>
        </w:r>
        <w:r w:rsidR="00E25A0A" w:rsidRPr="00B42892">
          <w:rPr>
            <w:rStyle w:val="ac"/>
            <w:rFonts w:hint="eastAsia"/>
            <w:noProof/>
            <w:rtl/>
          </w:rPr>
          <w:t>کفن</w:t>
        </w:r>
        <w:r w:rsidR="00E25A0A" w:rsidRPr="00B42892">
          <w:rPr>
            <w:rStyle w:val="ac"/>
            <w:noProof/>
            <w:rtl/>
          </w:rPr>
          <w:t xml:space="preserve"> </w:t>
        </w:r>
        <w:r w:rsidR="00E25A0A" w:rsidRPr="00B42892">
          <w:rPr>
            <w:rStyle w:val="ac"/>
            <w:rFonts w:hint="eastAsia"/>
            <w:noProof/>
            <w:rtl/>
          </w:rPr>
          <w:t>زوجه</w:t>
        </w:r>
        <w:r w:rsidR="00E25A0A" w:rsidRPr="00B42892">
          <w:rPr>
            <w:rStyle w:val="ac"/>
            <w:noProof/>
            <w:rtl/>
          </w:rPr>
          <w:t xml:space="preserve"> </w:t>
        </w:r>
        <w:r w:rsidR="00E25A0A" w:rsidRPr="00B42892">
          <w:rPr>
            <w:rStyle w:val="ac"/>
            <w:rFonts w:hint="eastAsia"/>
            <w:noProof/>
            <w:rtl/>
          </w:rPr>
          <w:t>بر</w:t>
        </w:r>
        <w:r w:rsidR="00E25A0A" w:rsidRPr="00B42892">
          <w:rPr>
            <w:rStyle w:val="ac"/>
            <w:noProof/>
            <w:rtl/>
          </w:rPr>
          <w:t xml:space="preserve"> </w:t>
        </w:r>
        <w:r w:rsidR="00E25A0A" w:rsidRPr="00B42892">
          <w:rPr>
            <w:rStyle w:val="ac"/>
            <w:rFonts w:hint="eastAsia"/>
            <w:noProof/>
            <w:rtl/>
          </w:rPr>
          <w:t>زوج</w:t>
        </w:r>
        <w:r w:rsidR="00E25A0A" w:rsidRPr="00B42892">
          <w:rPr>
            <w:rStyle w:val="ac"/>
            <w:noProof/>
            <w:rtl/>
          </w:rPr>
          <w:t xml:space="preserve"> </w:t>
        </w:r>
        <w:r w:rsidR="00E25A0A" w:rsidRPr="00B42892">
          <w:rPr>
            <w:rStyle w:val="ac"/>
            <w:rFonts w:hint="eastAsia"/>
            <w:noProof/>
            <w:rtl/>
          </w:rPr>
          <w:t>حتّ</w:t>
        </w:r>
        <w:r w:rsidR="00E25A0A" w:rsidRPr="00B42892">
          <w:rPr>
            <w:rStyle w:val="ac"/>
            <w:rFonts w:hint="cs"/>
            <w:noProof/>
            <w:rtl/>
          </w:rPr>
          <w:t>ی</w:t>
        </w:r>
        <w:r w:rsidR="00E25A0A" w:rsidRPr="00B42892">
          <w:rPr>
            <w:rStyle w:val="ac"/>
            <w:noProof/>
            <w:rtl/>
          </w:rPr>
          <w:t xml:space="preserve"> </w:t>
        </w:r>
        <w:r w:rsidR="00E25A0A" w:rsidRPr="00B42892">
          <w:rPr>
            <w:rStyle w:val="ac"/>
            <w:rFonts w:hint="eastAsia"/>
            <w:noProof/>
            <w:rtl/>
          </w:rPr>
          <w:t>در</w:t>
        </w:r>
        <w:r w:rsidR="00E25A0A" w:rsidRPr="00B42892">
          <w:rPr>
            <w:rStyle w:val="ac"/>
            <w:noProof/>
            <w:rtl/>
          </w:rPr>
          <w:t xml:space="preserve"> </w:t>
        </w:r>
        <w:r w:rsidR="00E25A0A" w:rsidRPr="00B42892">
          <w:rPr>
            <w:rStyle w:val="ac"/>
            <w:rFonts w:hint="eastAsia"/>
            <w:noProof/>
            <w:rtl/>
          </w:rPr>
          <w:t>صورت</w:t>
        </w:r>
        <w:r w:rsidR="00E25A0A" w:rsidRPr="00B42892">
          <w:rPr>
            <w:rStyle w:val="ac"/>
            <w:noProof/>
            <w:rtl/>
          </w:rPr>
          <w:t xml:space="preserve"> </w:t>
        </w:r>
        <w:r w:rsidR="00E25A0A" w:rsidRPr="00B42892">
          <w:rPr>
            <w:rStyle w:val="ac"/>
            <w:rFonts w:hint="cs"/>
            <w:noProof/>
            <w:rtl/>
          </w:rPr>
          <w:t>ی</w:t>
        </w:r>
        <w:r w:rsidR="00E25A0A" w:rsidRPr="00B42892">
          <w:rPr>
            <w:rStyle w:val="ac"/>
            <w:rFonts w:hint="eastAsia"/>
            <w:noProof/>
            <w:rtl/>
          </w:rPr>
          <w:t>سار</w:t>
        </w:r>
        <w:r w:rsidR="00E25A0A" w:rsidRPr="00B42892">
          <w:rPr>
            <w:rStyle w:val="ac"/>
            <w:noProof/>
            <w:rtl/>
          </w:rPr>
          <w:t xml:space="preserve"> </w:t>
        </w:r>
        <w:r w:rsidR="00E25A0A" w:rsidRPr="00B42892">
          <w:rPr>
            <w:rStyle w:val="ac"/>
            <w:rFonts w:hint="eastAsia"/>
            <w:noProof/>
            <w:rtl/>
          </w:rPr>
          <w:t>زوجه</w:t>
        </w:r>
        <w:r w:rsidR="00E25A0A">
          <w:rPr>
            <w:noProof/>
            <w:webHidden/>
            <w:rtl/>
          </w:rPr>
          <w:tab/>
        </w:r>
        <w:r w:rsidR="00E25A0A">
          <w:rPr>
            <w:noProof/>
            <w:webHidden/>
            <w:rtl/>
          </w:rPr>
          <w:fldChar w:fldCharType="begin"/>
        </w:r>
        <w:r w:rsidR="00E25A0A">
          <w:rPr>
            <w:noProof/>
            <w:webHidden/>
            <w:rtl/>
          </w:rPr>
          <w:instrText xml:space="preserve"> </w:instrText>
        </w:r>
        <w:r w:rsidR="00E25A0A">
          <w:rPr>
            <w:noProof/>
            <w:webHidden/>
          </w:rPr>
          <w:instrText>PAGEREF</w:instrText>
        </w:r>
        <w:r w:rsidR="00E25A0A">
          <w:rPr>
            <w:noProof/>
            <w:webHidden/>
            <w:rtl/>
          </w:rPr>
          <w:instrText xml:space="preserve"> _</w:instrText>
        </w:r>
        <w:r w:rsidR="00E25A0A">
          <w:rPr>
            <w:noProof/>
            <w:webHidden/>
          </w:rPr>
          <w:instrText>Toc</w:instrText>
        </w:r>
        <w:r w:rsidR="00E25A0A">
          <w:rPr>
            <w:noProof/>
            <w:webHidden/>
            <w:rtl/>
          </w:rPr>
          <w:instrText xml:space="preserve">18685813 </w:instrText>
        </w:r>
        <w:r w:rsidR="00E25A0A">
          <w:rPr>
            <w:noProof/>
            <w:webHidden/>
          </w:rPr>
          <w:instrText>\h</w:instrText>
        </w:r>
        <w:r w:rsidR="00E25A0A">
          <w:rPr>
            <w:noProof/>
            <w:webHidden/>
            <w:rtl/>
          </w:rPr>
          <w:instrText xml:space="preserve"> </w:instrText>
        </w:r>
        <w:r w:rsidR="00E25A0A">
          <w:rPr>
            <w:noProof/>
            <w:webHidden/>
            <w:rtl/>
          </w:rPr>
        </w:r>
        <w:r w:rsidR="00E25A0A">
          <w:rPr>
            <w:noProof/>
            <w:webHidden/>
            <w:rtl/>
          </w:rPr>
          <w:fldChar w:fldCharType="separate"/>
        </w:r>
        <w:r w:rsidR="00E25A0A">
          <w:rPr>
            <w:noProof/>
            <w:webHidden/>
            <w:rtl/>
          </w:rPr>
          <w:t>5</w:t>
        </w:r>
        <w:r w:rsidR="00E25A0A">
          <w:rPr>
            <w:noProof/>
            <w:webHidden/>
            <w:rtl/>
          </w:rPr>
          <w:fldChar w:fldCharType="end"/>
        </w:r>
      </w:hyperlink>
    </w:p>
    <w:p w:rsidR="00C91EB6" w:rsidRPr="00C91EB6" w:rsidRDefault="00E25A0A" w:rsidP="00C91EB6">
      <w:r>
        <w:rPr>
          <w:rFonts w:cs="B Titr"/>
          <w:noProof/>
          <w:webHidden/>
          <w:color w:val="632423" w:themeColor="accent2" w:themeShade="80"/>
          <w:szCs w:val="24"/>
          <w:rtl/>
        </w:rPr>
        <w:fldChar w:fldCharType="end"/>
      </w:r>
    </w:p>
    <w:p w:rsidR="00F343FB" w:rsidRDefault="00F842AD" w:rsidP="0020241A">
      <w:r w:rsidRPr="008A522A">
        <w:rPr>
          <w:rStyle w:val="af1"/>
          <w:rFonts w:hint="cs"/>
          <w:b/>
          <w:bCs w:val="0"/>
          <w:rtl/>
        </w:rPr>
        <w:t>موضوع</w:t>
      </w:r>
      <w:r w:rsidRPr="00EB78E3">
        <w:rPr>
          <w:rStyle w:val="af1"/>
          <w:rFonts w:hint="cs"/>
          <w:rtl/>
        </w:rPr>
        <w:t>:</w:t>
      </w:r>
      <w:r>
        <w:rPr>
          <w:rFonts w:hint="cs"/>
          <w:rtl/>
        </w:rPr>
        <w:t xml:space="preserve"> </w:t>
      </w:r>
      <w:bookmarkStart w:id="1" w:name="Bokkolli"/>
      <w:bookmarkEnd w:id="1"/>
      <w:r w:rsidR="00FB56E6">
        <w:rPr>
          <w:rFonts w:hint="cs"/>
          <w:rtl/>
        </w:rPr>
        <w:t>احکام</w:t>
      </w:r>
      <w:r w:rsidR="00FB56E6">
        <w:rPr>
          <w:rtl/>
        </w:rPr>
        <w:t xml:space="preserve"> </w:t>
      </w:r>
      <w:r w:rsidR="00FB56E6">
        <w:rPr>
          <w:rFonts w:hint="cs"/>
          <w:rtl/>
        </w:rPr>
        <w:t>اموات</w:t>
      </w:r>
      <w:r w:rsidR="00724537">
        <w:rPr>
          <w:rFonts w:hint="cs"/>
          <w:rtl/>
        </w:rPr>
        <w:t>/</w:t>
      </w:r>
      <w:bookmarkStart w:id="2" w:name="BokSabj_d"/>
      <w:bookmarkEnd w:id="2"/>
      <w:r w:rsidR="00FB56E6">
        <w:rPr>
          <w:rFonts w:hint="cs"/>
          <w:rtl/>
        </w:rPr>
        <w:t>تکفین</w:t>
      </w:r>
      <w:r w:rsidR="00FB56E6">
        <w:rPr>
          <w:rtl/>
        </w:rPr>
        <w:t xml:space="preserve"> </w:t>
      </w:r>
      <w:r w:rsidR="00FB56E6">
        <w:rPr>
          <w:rFonts w:hint="cs"/>
          <w:rtl/>
        </w:rPr>
        <w:t>میّت</w:t>
      </w:r>
      <w:r w:rsidR="00596C1E">
        <w:rPr>
          <w:rFonts w:hint="cs"/>
          <w:rtl/>
        </w:rPr>
        <w:t xml:space="preserve"> </w:t>
      </w:r>
      <w:r w:rsidR="00724537">
        <w:rPr>
          <w:rFonts w:hint="cs"/>
          <w:rtl/>
        </w:rPr>
        <w:t>/</w:t>
      </w:r>
      <w:bookmarkStart w:id="3" w:name="BokSabj2_d"/>
      <w:bookmarkEnd w:id="3"/>
      <w:r w:rsidR="00FB56E6">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D33E45" w:rsidRPr="0005237D" w:rsidRDefault="00D33E45" w:rsidP="00D33E45">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D33E45" w:rsidRDefault="00D33E45" w:rsidP="00D33E45">
      <w:pPr>
        <w:pStyle w:val="20"/>
        <w:rPr>
          <w:rtl/>
        </w:rPr>
      </w:pPr>
      <w:bookmarkStart w:id="4" w:name="_Toc18685812"/>
      <w:r>
        <w:rPr>
          <w:rFonts w:hint="cs"/>
          <w:rtl/>
        </w:rPr>
        <w:t>ادامه (وجوب کفن زوجه بر زوج)</w:t>
      </w:r>
      <w:bookmarkEnd w:id="4"/>
    </w:p>
    <w:p w:rsidR="00D33E45" w:rsidRDefault="00D33E45" w:rsidP="00D33E45">
      <w:pPr>
        <w:rPr>
          <w:rtl/>
        </w:rPr>
      </w:pPr>
      <w:r>
        <w:rPr>
          <w:rFonts w:hint="cs"/>
          <w:rtl/>
        </w:rPr>
        <w:t>بحث در این بود که کفن زوجه بر زوج است؛ در تنقیح فرمود دلیل این فتوی، دو روایت است، باب 32  تکفین، روایت اول، شیخ صدوق به اسنادش از حسن بن محبوب، آن را نقل نموده است؛ این روایت، دو بحث سندی دارد؛ یک بحث در مورد طریق شیخ صدوق به حسن بن محبوب است، که محمد بن موسی بن متوکّل در این طریق قرار دارد؛ مرحوم خوئی در تنقیح این سند را بخاطر محمد بن موسی، تضعیف کرده است؛ و لکن در معجم فرموده که جای شکّی در وثاقت او نیست.</w:t>
      </w:r>
    </w:p>
    <w:p w:rsidR="00D33E45" w:rsidRDefault="00D33E45" w:rsidP="00D33E45">
      <w:pPr>
        <w:rPr>
          <w:rtl/>
        </w:rPr>
      </w:pPr>
      <w:r>
        <w:rPr>
          <w:rFonts w:hint="cs"/>
          <w:rtl/>
        </w:rPr>
        <w:t>دیروز عرض کردیم منشأ توثیق، کلام سیّد بن طاووس است، که در فلاح السائل روایتی هست که در سندش محمد بن موسی واقع شده است، و سیّد ابن طاووس فرمود کل ما فی السند ثقاة. البته ایشان (مرحوم خوئی) برای توثیق محمد بن موسی، تنها به این اعتماد نکرده است، علاوه از کلام ابن طاووس، این قضیّه را مطرح می</w:t>
      </w:r>
      <w:r>
        <w:rPr>
          <w:rtl/>
        </w:rPr>
        <w:softHyphen/>
      </w:r>
      <w:r>
        <w:rPr>
          <w:rFonts w:hint="cs"/>
          <w:rtl/>
        </w:rPr>
        <w:t>کند که شیخ صدوق (قد أکثر الروایه عن محمد بن موسی المتوکل)، و محمد بن موسی در مشیخه، در 46  طریق قرار گرفته است، و فرموده و الظاهر اینکه صدوق اعتمد بر محمد بن موسی بن متوکل. ضمیمه این قضیّه به فرمایش ابن طاووس، و علّامه و ابن داود؛ و همچنین ترضیّ صدوق از محمد بن موسی، نتیجه همانی است که در معجم فرموده است، که جای شک در وثاقت محمد بن موسی نیست، سند این روایت از جانب محمد بن موسی بن متوکل، مشکلی ندارد.</w:t>
      </w:r>
    </w:p>
    <w:p w:rsidR="00D33E45" w:rsidRDefault="00D33E45" w:rsidP="00D33E45">
      <w:pPr>
        <w:rPr>
          <w:rtl/>
        </w:rPr>
      </w:pPr>
      <w:r>
        <w:rPr>
          <w:rFonts w:hint="cs"/>
          <w:rtl/>
        </w:rPr>
        <w:t>ما بارها عرض کردیم، بالفرض این محمد بن موسی، توثیق نداشته باشد، لکن این مضرّ نیست؛ راجع به کتب مشهور بین اصحاب، و اصول مشهوره بین اصحاب،  نیاز به سند نداریم، اینها از باب تیمّم و تبرک است؛ و برای آنهائی است که ممکن است در آینده اهل شک، و کور باطن باشند؛ کتاب ابن محبوب، مثل اصل زراره و یونس بن عبد الرحمن، و ابن ابی عمیر، از اصول مشهوره بوده است، و از اینها خیلی روایت نقل شده است، و به اینها از رجالیون، خیلی طریق نقل کرده</w:t>
      </w:r>
      <w:r>
        <w:rPr>
          <w:rtl/>
        </w:rPr>
        <w:softHyphen/>
      </w:r>
      <w:r>
        <w:rPr>
          <w:rFonts w:hint="cs"/>
          <w:rtl/>
        </w:rPr>
        <w:t xml:space="preserve">اند. همانطورکه </w:t>
      </w:r>
      <w:r>
        <w:rPr>
          <w:rFonts w:hint="cs"/>
          <w:rtl/>
        </w:rPr>
        <w:lastRenderedPageBreak/>
        <w:t>اگر در مبسوط شیخ طوسی، اختلاف نسخه</w:t>
      </w:r>
      <w:r>
        <w:rPr>
          <w:rFonts w:hint="cs"/>
          <w:rtl/>
        </w:rPr>
        <w:softHyphen/>
        <w:t>ای نباشد، شک نداریم. و این روایت را مرحوم شیخ در کتاب الوصیّه، بدأ سند کرده است به حسن بن محبوب، و معلوم است که از کتاب اصلش نقل کرده است؛ این است که ما از جهت اُولی، گیر سندی نداریم؛ با دو بیان، اول توثیق خودش (توثیق محمد بن موسی)، و ثانیاً نیازی به سند نداریم. مهم جهت ثانیه سند است، و آن این است که ایا این روایت اصلاً مسند است، یا از مرسلات صدوق است؛ و اگر مسند باشد،حلّ شد؛ آیا از مسندات صدوق است، و صدوق به سندش از ابن محبوب و نقل کرده است، کما هو نقل صاحب وسائل. صاحب مدارک هم گفته این مسند صدوق است؛ و بعد شیخ بهائی، و بعض دیگر از علماء این روایت را از مسندات شیخ دانسته</w:t>
      </w:r>
      <w:r>
        <w:rPr>
          <w:rtl/>
        </w:rPr>
        <w:softHyphen/>
      </w:r>
      <w:r>
        <w:rPr>
          <w:rFonts w:hint="cs"/>
          <w:rtl/>
        </w:rPr>
        <w:t>اند؛ در مقابل صاحب حدائق و عدّه</w:t>
      </w:r>
      <w:r>
        <w:rPr>
          <w:rtl/>
        </w:rPr>
        <w:softHyphen/>
      </w:r>
      <w:r>
        <w:rPr>
          <w:rFonts w:hint="cs"/>
          <w:rtl/>
        </w:rPr>
        <w:t>ی دیگری از علماء، مثل صاحب ذخیره و جامع الأحادیث شیعه این جمله از روایت را به صورت مرسل از صدوق نقل می</w:t>
      </w:r>
      <w:r>
        <w:rPr>
          <w:rtl/>
        </w:rPr>
        <w:softHyphen/>
      </w:r>
      <w:r>
        <w:rPr>
          <w:rFonts w:hint="cs"/>
          <w:rtl/>
        </w:rPr>
        <w:t>کند؛ و همچنین صاحب وسائل در باب 27 کتاب الوصیه، به صورت مرسل نقل می</w:t>
      </w:r>
      <w:r>
        <w:rPr>
          <w:rtl/>
        </w:rPr>
        <w:softHyphen/>
      </w:r>
      <w:r>
        <w:rPr>
          <w:rFonts w:hint="cs"/>
          <w:rtl/>
        </w:rPr>
        <w:t>کند. (و رواه الصدوق مرسلاً)؛ آنی که مسند است، یک جمله</w:t>
      </w:r>
      <w:r>
        <w:rPr>
          <w:rtl/>
        </w:rPr>
        <w:softHyphen/>
      </w:r>
      <w:r>
        <w:rPr>
          <w:rFonts w:hint="cs"/>
          <w:rtl/>
        </w:rPr>
        <w:t>ای دیگر است؛ به همین مناسبت مرحوم خوئی یک بحثی را در اینجا مطرح کرده است؛ که آیا حقّ با  صاحب حدائق است که مرسل نقل نموده است، یا حقّ با صاحب مدارک است که به صورت مسند نقل نموده است؟</w:t>
      </w:r>
    </w:p>
    <w:p w:rsidR="00D33E45" w:rsidRDefault="00D33E45" w:rsidP="00D33E45">
      <w:pPr>
        <w:rPr>
          <w:rtl/>
        </w:rPr>
      </w:pPr>
      <w:r>
        <w:rPr>
          <w:rFonts w:hint="cs"/>
          <w:rtl/>
        </w:rPr>
        <w:t>مشکله از آنجا شروع می</w:t>
      </w:r>
      <w:r>
        <w:rPr>
          <w:rtl/>
        </w:rPr>
        <w:softHyphen/>
      </w:r>
      <w:r>
        <w:rPr>
          <w:rFonts w:hint="cs"/>
          <w:rtl/>
        </w:rPr>
        <w:t>شود که مرحوم صدوق این روایت را در کتاب الوصیه، سند را عن الحسن بن محبوب عن عبد الله بن سنان عن ابی عبد الله شروع می</w:t>
      </w:r>
      <w:r>
        <w:rPr>
          <w:rtl/>
        </w:rPr>
        <w:softHyphen/>
      </w:r>
      <w:r>
        <w:rPr>
          <w:rFonts w:hint="cs"/>
          <w:rtl/>
        </w:rPr>
        <w:t>کند (قال ثمن الکفن من جمیع المال)، و در ادامه دارد (و قال کفن المرأة علی زوجها اذا ماتت)؛</w:t>
      </w:r>
      <w:r>
        <w:rPr>
          <w:rStyle w:val="ab"/>
          <w:rFonts w:ascii="Noor_Lotus" w:hAnsi="Noor_Lotus" w:cs="B Lotus"/>
          <w:sz w:val="28"/>
          <w:rtl/>
        </w:rPr>
        <w:footnoteReference w:id="1"/>
      </w:r>
      <w:r>
        <w:rPr>
          <w:rFonts w:hint="cs"/>
          <w:rtl/>
        </w:rPr>
        <w:t xml:space="preserve"> بحث در این است که (و قال) عطف بر قال اول است، تا اینها یک روایت بشود، مشتمل بر دو جمله، و دو حکم بشود؛ یا اینکه عطف بر اصل روایت است، عطف بر (و روی الحسن بن محبوب) است. و صاحب وسائل دقّت نکرده است در اینجا، مسند آورده است، و در کتاب الوصیّه همین جمله را مرسل نقل کرده است؛ که این تناقض در کلام صاحب وسائل است. در اینجا این بحث، ثمره چندانی ندارد، چون روایت ثانیه را داریم، که مال سکونی است، و روایت سکونی هم معتبر است؛ اگر کسی گفت من روایات سکونی را قبول ندارم، این بحث ثمر دارد.</w:t>
      </w:r>
    </w:p>
    <w:p w:rsidR="00D33E45" w:rsidRDefault="00D33E45" w:rsidP="00D33E45">
      <w:pPr>
        <w:rPr>
          <w:rtl/>
        </w:rPr>
      </w:pPr>
      <w:r>
        <w:rPr>
          <w:rFonts w:hint="cs"/>
          <w:rtl/>
        </w:rPr>
        <w:t>صاحب حدائق که می</w:t>
      </w:r>
      <w:r>
        <w:rPr>
          <w:rtl/>
        </w:rPr>
        <w:softHyphen/>
      </w:r>
      <w:r>
        <w:rPr>
          <w:rFonts w:hint="cs"/>
          <w:rtl/>
        </w:rPr>
        <w:t>گوید صاحب مدارک اشتباه کرده است، و می</w:t>
      </w:r>
      <w:r>
        <w:rPr>
          <w:rtl/>
        </w:rPr>
        <w:softHyphen/>
      </w:r>
      <w:r>
        <w:rPr>
          <w:rFonts w:hint="cs"/>
          <w:rtl/>
        </w:rPr>
        <w:t xml:space="preserve">گوید این (و قال) مرسله صدوق است، و جزء حدیث قبل نیست؛ استشهاد کرده به روایت مرحوم کلینی و مرحوم شیخ </w:t>
      </w:r>
      <w:r w:rsidRPr="00D55DE4">
        <w:rPr>
          <w:rFonts w:hint="cs"/>
          <w:rtl/>
        </w:rPr>
        <w:t>طوسی که با یک سند دیگری قسمت اول همین روایت را نقل نموده</w:t>
      </w:r>
      <w:r w:rsidRPr="00D55DE4">
        <w:rPr>
          <w:rFonts w:hint="cs"/>
          <w:rtl/>
        </w:rPr>
        <w:softHyphen/>
        <w:t>اند، (ثمن الکفن من جمیع المال) و قطعه دوم را نمی</w:t>
      </w:r>
      <w:r w:rsidRPr="00D55DE4">
        <w:rPr>
          <w:rtl/>
        </w:rPr>
        <w:softHyphen/>
      </w:r>
      <w:r w:rsidRPr="00D55DE4">
        <w:rPr>
          <w:rFonts w:hint="cs"/>
          <w:rtl/>
        </w:rPr>
        <w:t xml:space="preserve">آورند؛ و </w:t>
      </w:r>
      <w:r>
        <w:rPr>
          <w:rFonts w:hint="cs"/>
          <w:rtl/>
        </w:rPr>
        <w:t xml:space="preserve">این شاهد بر این است که این قطعه ثانیه، جزء این روایت </w:t>
      </w:r>
      <w:r>
        <w:rPr>
          <w:rFonts w:hint="cs"/>
          <w:rtl/>
        </w:rPr>
        <w:lastRenderedPageBreak/>
        <w:t>مسنده نیست. و یک شاهد دیگر این است که روش و دأب صدوق همین جور است که روایات مرسله را هم در ضمن مسندها می</w:t>
      </w:r>
      <w:r>
        <w:rPr>
          <w:rtl/>
        </w:rPr>
        <w:softHyphen/>
      </w:r>
      <w:r>
        <w:rPr>
          <w:rFonts w:hint="cs"/>
          <w:rtl/>
        </w:rPr>
        <w:t>آورد.</w:t>
      </w:r>
    </w:p>
    <w:p w:rsidR="00D33E45" w:rsidRDefault="00D33E45" w:rsidP="00D33E45">
      <w:pPr>
        <w:rPr>
          <w:rtl/>
        </w:rPr>
      </w:pPr>
      <w:r>
        <w:rPr>
          <w:rFonts w:hint="cs"/>
          <w:rtl/>
        </w:rPr>
        <w:t>مرحوم خوئی</w:t>
      </w:r>
      <w:r>
        <w:rPr>
          <w:rStyle w:val="ab"/>
          <w:rFonts w:ascii="Noor_Lotus" w:hAnsi="Noor_Lotus" w:cs="B Lotus"/>
          <w:sz w:val="28"/>
          <w:rtl/>
        </w:rPr>
        <w:footnoteReference w:id="2"/>
      </w:r>
      <w:r>
        <w:rPr>
          <w:rFonts w:hint="cs"/>
          <w:rtl/>
        </w:rPr>
        <w:t xml:space="preserve"> اصرار دارد این جمله هم جزء همان روایت است، و سندی که مال آن روایت است، برای این روایت هم هست؛ ایشان اول از شواهد صاحب حدائق جواب می</w:t>
      </w:r>
      <w:r>
        <w:rPr>
          <w:rtl/>
        </w:rPr>
        <w:softHyphen/>
      </w:r>
      <w:r>
        <w:rPr>
          <w:rFonts w:hint="cs"/>
          <w:rtl/>
        </w:rPr>
        <w:t>دهد؛ فرموده اینکه در کتاب کافی مرحوم کلینی و در کلام مرحوم شیخ طوسی، این جمله نیست، خیلی روایات داریم که کافی زایده دارد، و من لا یحضر الفقیه کم دارد، یا بالعکس، اینها طرقشان مختلف بوده است، شیخ و کلینی به آن طریقی که نقل کرده</w:t>
      </w:r>
      <w:r>
        <w:rPr>
          <w:rtl/>
        </w:rPr>
        <w:softHyphen/>
      </w:r>
      <w:r>
        <w:rPr>
          <w:rFonts w:hint="cs"/>
          <w:rtl/>
        </w:rPr>
        <w:t>اند جمله ابن محبوب عن ابن سنان عن ابی  عبد الله را انداخته</w:t>
      </w:r>
      <w:r>
        <w:rPr>
          <w:rtl/>
        </w:rPr>
        <w:softHyphen/>
      </w:r>
      <w:r>
        <w:rPr>
          <w:rFonts w:hint="cs"/>
          <w:rtl/>
        </w:rPr>
        <w:t>اند؛ ولی در آن جمله</w:t>
      </w:r>
      <w:r>
        <w:rPr>
          <w:rtl/>
        </w:rPr>
        <w:softHyphen/>
      </w:r>
      <w:r>
        <w:rPr>
          <w:rFonts w:hint="cs"/>
          <w:rtl/>
        </w:rPr>
        <w:t>ای که صدوق می</w:t>
      </w:r>
      <w:r>
        <w:rPr>
          <w:rtl/>
        </w:rPr>
        <w:softHyphen/>
      </w:r>
      <w:r>
        <w:rPr>
          <w:rFonts w:hint="cs"/>
          <w:rtl/>
        </w:rPr>
        <w:t xml:space="preserve">گوید، نینداخته </w:t>
      </w:r>
      <w:r>
        <w:rPr>
          <w:rtl/>
        </w:rPr>
        <w:softHyphen/>
      </w:r>
      <w:r>
        <w:rPr>
          <w:rFonts w:hint="cs"/>
          <w:rtl/>
        </w:rPr>
        <w:t>است. اما اینکه گفته</w:t>
      </w:r>
      <w:r>
        <w:rPr>
          <w:rtl/>
        </w:rPr>
        <w:softHyphen/>
      </w:r>
      <w:r>
        <w:rPr>
          <w:rFonts w:hint="cs"/>
          <w:rtl/>
        </w:rPr>
        <w:t>اید دأب صدوق این است، فرموده دأب صدوق در بیان مرسلات این است که واو و عاطف را نمی</w:t>
      </w:r>
      <w:r>
        <w:rPr>
          <w:rtl/>
        </w:rPr>
        <w:softHyphen/>
      </w:r>
      <w:r>
        <w:rPr>
          <w:rFonts w:hint="cs"/>
          <w:rtl/>
        </w:rPr>
        <w:t>آورد، و امام (علیه السلام) را هم می</w:t>
      </w:r>
      <w:r>
        <w:rPr>
          <w:rtl/>
        </w:rPr>
        <w:softHyphen/>
      </w:r>
      <w:r>
        <w:rPr>
          <w:rFonts w:hint="cs"/>
          <w:rtl/>
        </w:rPr>
        <w:t>آورد؛ در من لا یحضر، وقتی می</w:t>
      </w:r>
      <w:r>
        <w:rPr>
          <w:rtl/>
        </w:rPr>
        <w:softHyphen/>
      </w:r>
      <w:r>
        <w:rPr>
          <w:rFonts w:hint="cs"/>
          <w:rtl/>
        </w:rPr>
        <w:t>خواهد حدیث مرسلی را عقیب مسندی نقل بکند، می</w:t>
      </w:r>
      <w:r>
        <w:rPr>
          <w:rtl/>
        </w:rPr>
        <w:softHyphen/>
      </w:r>
      <w:r>
        <w:rPr>
          <w:rFonts w:hint="cs"/>
          <w:rtl/>
        </w:rPr>
        <w:t>گوید (قال الصادق علیه السلام)، یعنی  معصوم را می</w:t>
      </w:r>
      <w:r>
        <w:rPr>
          <w:rFonts w:hint="cs"/>
          <w:rtl/>
        </w:rPr>
        <w:softHyphen/>
        <w:t>آورد، و (واو) نمی</w:t>
      </w:r>
      <w:r>
        <w:rPr>
          <w:rtl/>
        </w:rPr>
        <w:softHyphen/>
      </w:r>
      <w:r>
        <w:rPr>
          <w:rFonts w:hint="cs"/>
          <w:rtl/>
        </w:rPr>
        <w:t>آورد. نه اینکه دأبش این باشد که با عاطف بیاورد، بدون ذکر واو، و مرادش هم مرسله باشد؛ ایشان عکس نتیجه گرفته است، ادّعا فرموده دأب صدوق این است در جائی که می</w:t>
      </w:r>
      <w:r>
        <w:rPr>
          <w:rtl/>
        </w:rPr>
        <w:softHyphen/>
      </w:r>
      <w:r>
        <w:rPr>
          <w:rFonts w:hint="cs"/>
          <w:rtl/>
        </w:rPr>
        <w:t>خواهد مرسل نقل بکند، عاطف نمی</w:t>
      </w:r>
      <w:r>
        <w:rPr>
          <w:rtl/>
        </w:rPr>
        <w:softHyphen/>
      </w:r>
      <w:r>
        <w:rPr>
          <w:rFonts w:hint="cs"/>
          <w:rtl/>
        </w:rPr>
        <w:t>آورد، و مرویٌّ عنه را می</w:t>
      </w:r>
      <w:r>
        <w:rPr>
          <w:rtl/>
        </w:rPr>
        <w:softHyphen/>
      </w:r>
      <w:r>
        <w:rPr>
          <w:rFonts w:hint="cs"/>
          <w:rtl/>
        </w:rPr>
        <w:t>آورد؛ و چون در این روایت، عاطف آورده است (و قال)، و مرویٌّ عنه را نیاورده است، مؤیّد این است که این، تتمّه همان روایت است. و ممّا یؤیّد که دوران امر است که این (و قال کفن المرأة علی زوجها اذا ماتت)، عطف بر همین جمله نزدیک باشد، یا عطف بر اول سند باشد، ظاهرش این است که عطف بر همین نزدیک است، (و قال ابو عبد الله). اینکه بگوئید عطف بر اول سند است، اولاً دور است؛ ثانیاً معنی ندارد. که اینها همه حرف صاحب مدارک را تأیید می</w:t>
      </w:r>
      <w:r>
        <w:rPr>
          <w:rtl/>
        </w:rPr>
        <w:softHyphen/>
      </w:r>
      <w:r>
        <w:rPr>
          <w:rFonts w:hint="cs"/>
          <w:rtl/>
        </w:rPr>
        <w:t>کند که (و قال) تتمّه حدیث است؛ و گفته این (و قال) مسند است؛ و مرسل نیست، خلافاً لصاحب الحدائق و من تبعه. ایشان دو تا منبّه و مؤیّد صاحب حدائق را جواب داده است، و خودش از آن طرف تأیید کرده که جزأ حدیث مسند است، و سند بر سر آن در می</w:t>
      </w:r>
      <w:r>
        <w:rPr>
          <w:rtl/>
        </w:rPr>
        <w:softHyphen/>
      </w:r>
      <w:r>
        <w:rPr>
          <w:rFonts w:hint="cs"/>
          <w:rtl/>
        </w:rPr>
        <w:t>آید.</w:t>
      </w:r>
    </w:p>
    <w:p w:rsidR="00D33E45" w:rsidRDefault="00D33E45" w:rsidP="00D33E45">
      <w:pPr>
        <w:rPr>
          <w:rtl/>
        </w:rPr>
      </w:pPr>
      <w:r w:rsidRPr="004374C2">
        <w:rPr>
          <w:rFonts w:hint="cs"/>
          <w:rtl/>
        </w:rPr>
        <w:lastRenderedPageBreak/>
        <w:t>و لکن در ذهن ما این است که این مقداری که ایشان بیان کرده است، نمی</w:t>
      </w:r>
      <w:r w:rsidRPr="004374C2">
        <w:rPr>
          <w:rFonts w:hint="cs"/>
          <w:rtl/>
        </w:rPr>
        <w:softHyphen/>
        <w:t>تواند برای ما اطمینان بیاورد که یک حدیث است؛ اینکه ایشان فرموده (و قال) عطف بر (قال) قبل است؛ می</w:t>
      </w:r>
      <w:r w:rsidRPr="004374C2">
        <w:rPr>
          <w:rtl/>
        </w:rPr>
        <w:softHyphen/>
      </w:r>
      <w:r w:rsidRPr="004374C2">
        <w:rPr>
          <w:rFonts w:hint="cs"/>
          <w:rtl/>
        </w:rPr>
        <w:t xml:space="preserve">گوئیم عیبی ندارد از باب قرب، عطف به آن باشد، و بر قبلش (إبتداء سند) هم معنی ندارد؛ ولی با ارسال هم سازگاری دارد؛ و اینکه فرموده که (الصادق) را بعدش نیاورده است، این هم مضرّ نیست؛ مرحوم صدوق روایت را </w:t>
      </w:r>
      <w:r>
        <w:rPr>
          <w:rFonts w:hint="cs"/>
          <w:rtl/>
        </w:rPr>
        <w:t>که نقل می</w:t>
      </w:r>
      <w:r>
        <w:rPr>
          <w:rtl/>
        </w:rPr>
        <w:softHyphen/>
      </w:r>
      <w:r>
        <w:rPr>
          <w:rFonts w:hint="cs"/>
          <w:rtl/>
        </w:rPr>
        <w:t>کند، همان جمله اُولی است، و بعد به ذهنش می</w:t>
      </w:r>
      <w:r>
        <w:rPr>
          <w:rtl/>
        </w:rPr>
        <w:softHyphen/>
      </w:r>
      <w:r>
        <w:rPr>
          <w:rFonts w:hint="cs"/>
          <w:rtl/>
        </w:rPr>
        <w:t>زند که جمله دوم که چون از امام صادق است، آن را عطف کرده است، نه اینکه در همین حدیث باشد، اینکه (واو) آورده است، چون این هم از امام صادق (علیه السلام) بوده است؛ و اینکه امام را تکرار نکرده است، چون نیاز به تکرار امام نبوده است. اینکه بگوئیم کلینی و شیخ که نقل کرده</w:t>
      </w:r>
      <w:r>
        <w:rPr>
          <w:rtl/>
        </w:rPr>
        <w:softHyphen/>
      </w:r>
      <w:r>
        <w:rPr>
          <w:rFonts w:hint="cs"/>
          <w:rtl/>
        </w:rPr>
        <w:t>اند، این جمله را نیاورده</w:t>
      </w:r>
      <w:r>
        <w:rPr>
          <w:rFonts w:hint="cs"/>
          <w:rtl/>
        </w:rPr>
        <w:softHyphen/>
        <w:t>اند، و سقط دارد، اینها استبعاد دارد. اگر فرمایش صاحب حدائق، أقرب به ذهن نباشد، که در کتاب وافی و همچنین شیخ انصاری این روایت را مرسله تلقّی کرده</w:t>
      </w:r>
      <w:r>
        <w:rPr>
          <w:rtl/>
        </w:rPr>
        <w:softHyphen/>
      </w:r>
      <w:r>
        <w:rPr>
          <w:rFonts w:hint="cs"/>
          <w:rtl/>
        </w:rPr>
        <w:t>اند؛ و مرحوم مجلسی اول هم مرسله نقل نموده است؛ و خود صاحب وسائل هم در کتاب الوصیه، و همچنین مرحوم همدانی مرسله نقل کرده است. ما از فرمایشات آقای خوئی إقناع نشدیم که این، یک روایت است. منتهی ما اعتراف داریم که تتبّع نکردیم تا ببینیم بر طبق کدام است؛ ما تتبع آقای خوی را قبول نداریم، او اصلاً اهل تتبّع نبوده است. ببینید که آیا مواردی پیدا می</w:t>
      </w:r>
      <w:r>
        <w:rPr>
          <w:rFonts w:hint="cs"/>
          <w:rtl/>
        </w:rPr>
        <w:softHyphen/>
        <w:t>شود که مرحوم صدوق با همین شکل ارسال آورده باشد، با لحاظ اینکه امام همان امام قبلی است. اگر هم با تتبّع، موارد نقضی پیدا کردید که مرسله است، و با (و قال) آورده است، که بعید هم نیست، دیگر فرمایش صاحب حدائق تأیید می</w:t>
      </w:r>
      <w:r>
        <w:rPr>
          <w:rtl/>
        </w:rPr>
        <w:softHyphen/>
      </w:r>
      <w:r>
        <w:rPr>
          <w:rFonts w:hint="cs"/>
          <w:rtl/>
        </w:rPr>
        <w:t>شود، برای ما شک کافی است. همین که ثابت نشود که جزء روایت است، برای ما کافی است، و نمی</w:t>
      </w:r>
      <w:r>
        <w:rPr>
          <w:rtl/>
        </w:rPr>
        <w:softHyphen/>
      </w:r>
      <w:r>
        <w:rPr>
          <w:rFonts w:hint="cs"/>
          <w:rtl/>
        </w:rPr>
        <w:t>توان به این روایت استدلال کرد.</w:t>
      </w:r>
    </w:p>
    <w:p w:rsidR="00D33E45" w:rsidRPr="00C867D2" w:rsidRDefault="00D33E45" w:rsidP="00D33E45">
      <w:pPr>
        <w:rPr>
          <w:rFonts w:ascii="Noor_Titr" w:hAnsi="Noor_Titr"/>
          <w:color w:val="00B050"/>
          <w:rtl/>
        </w:rPr>
      </w:pPr>
      <w:r w:rsidRPr="00C867D2">
        <w:rPr>
          <w:rFonts w:hint="cs"/>
          <w:rtl/>
        </w:rPr>
        <w:t>لذا مدرک منحصر به روایت ثانیه می</w:t>
      </w:r>
      <w:r w:rsidRPr="00C867D2">
        <w:rPr>
          <w:rtl/>
        </w:rPr>
        <w:softHyphen/>
      </w:r>
      <w:r w:rsidRPr="00C867D2">
        <w:rPr>
          <w:rFonts w:hint="cs"/>
          <w:rtl/>
        </w:rPr>
        <w:t>شود.</w:t>
      </w:r>
      <w:r>
        <w:rPr>
          <w:rFonts w:hint="cs"/>
          <w:rtl/>
        </w:rPr>
        <w:t xml:space="preserve"> </w:t>
      </w:r>
      <w:r w:rsidRPr="00C867D2">
        <w:rPr>
          <w:rFonts w:hint="cs"/>
          <w:color w:val="00B050"/>
          <w:rtl/>
        </w:rPr>
        <w:t>«</w:t>
      </w:r>
      <w:r w:rsidRPr="00C867D2">
        <w:rPr>
          <w:rFonts w:ascii="Traditional Arabic" w:hAnsi="Traditional Arabic" w:hint="cs"/>
          <w:color w:val="00B050"/>
          <w:rtl/>
        </w:rPr>
        <w:t>مُحَمَّدُ بْنُ الْحَسَنِ بِإِسْنَادِهِ عَنْ أَحْمَدَ بْنِ مُحَمَّدٍ عَنْ مُحَمَّدِ بْنِ عِيسَى عَنْ عَبْدِ اللَّهِ بْنِ الْمُغِيرَةِ عَنْ إِسْمَاعِيلَ بْنِ أَبِي زِيَادٍ السَّكُونِيِّ عَنْ جَعْفَرٍ عَنْ أَبِيه</w:t>
      </w:r>
      <w:r>
        <w:rPr>
          <w:rFonts w:ascii="Traditional Arabic" w:hAnsi="Traditional Arabic" w:hint="cs"/>
          <w:color w:val="00B050"/>
          <w:rtl/>
        </w:rPr>
        <w:t>ِ أَنَّ أَمِيرَ الْمُؤْمِنِينَ (علیه السلام)</w:t>
      </w:r>
      <w:r w:rsidRPr="00C867D2">
        <w:rPr>
          <w:rFonts w:ascii="Traditional Arabic" w:hAnsi="Traditional Arabic" w:hint="cs"/>
          <w:color w:val="00B050"/>
          <w:rtl/>
        </w:rPr>
        <w:t xml:space="preserve"> قَالَ:</w:t>
      </w:r>
      <w:r w:rsidRPr="00C867D2">
        <w:rPr>
          <w:rFonts w:hint="cs"/>
          <w:color w:val="00B050"/>
          <w:rtl/>
        </w:rPr>
        <w:t xml:space="preserve"> عَلَى الزَّوْجِ كَفَنُ امْرَأَتِهِ إِذَا مَاتَتْ».</w:t>
      </w:r>
      <w:r>
        <w:rPr>
          <w:rStyle w:val="ab"/>
          <w:rFonts w:ascii="Noor_Lotus" w:hAnsi="Noor_Lotus"/>
          <w:color w:val="00B050"/>
          <w:sz w:val="28"/>
          <w:rtl/>
        </w:rPr>
        <w:footnoteReference w:id="3"/>
      </w:r>
    </w:p>
    <w:p w:rsidR="00D33E45" w:rsidRDefault="00D33E45" w:rsidP="00D33E45">
      <w:pPr>
        <w:rPr>
          <w:rtl/>
        </w:rPr>
      </w:pPr>
      <w:r>
        <w:rPr>
          <w:rFonts w:hint="cs"/>
          <w:rtl/>
        </w:rPr>
        <w:t>این روایت را مرحوم شیخ طوسی به سندش از احمد بن محمد، نقل نموده است، مراد از أحمد بن محمد، چه ابن عیسی باشد، یا ابن خالد، این سند تمام است؛ عبد الله بن مغیره هم ثقه است؛ و اسماعیل بن ابی زیاد السکونی هم عامی است؛ مثل صاحب مدارک به روایت غیر صحیح عمل نمی</w:t>
      </w:r>
      <w:r>
        <w:rPr>
          <w:rtl/>
        </w:rPr>
        <w:softHyphen/>
      </w:r>
      <w:r>
        <w:rPr>
          <w:rFonts w:hint="cs"/>
          <w:rtl/>
        </w:rPr>
        <w:t>کرده است، شیخ طوسی فرموده (عملت الطائفه بروایات عدّه، منهم اسماعیل  بن ابی زیاد السکونی). بنا بر اعتبار روایت ثقه، خصوصاً که اینجا هم عمل شده است، اگر بگوئیم قدیمی</w:t>
      </w:r>
      <w:r>
        <w:rPr>
          <w:rtl/>
        </w:rPr>
        <w:softHyphen/>
      </w:r>
      <w:r>
        <w:rPr>
          <w:rFonts w:hint="cs"/>
          <w:rtl/>
        </w:rPr>
        <w:t>ها این را مرسله می</w:t>
      </w:r>
      <w:r>
        <w:rPr>
          <w:rtl/>
        </w:rPr>
        <w:softHyphen/>
      </w:r>
      <w:r>
        <w:rPr>
          <w:rFonts w:hint="cs"/>
          <w:rtl/>
        </w:rPr>
        <w:t>دانسته</w:t>
      </w:r>
      <w:r>
        <w:rPr>
          <w:rtl/>
        </w:rPr>
        <w:softHyphen/>
      </w:r>
      <w:r>
        <w:rPr>
          <w:rFonts w:hint="cs"/>
          <w:rtl/>
        </w:rPr>
        <w:t>اند، به این مضمون عمل کرده</w:t>
      </w:r>
      <w:r>
        <w:rPr>
          <w:rtl/>
        </w:rPr>
        <w:softHyphen/>
      </w:r>
      <w:r>
        <w:rPr>
          <w:rFonts w:hint="cs"/>
          <w:rtl/>
        </w:rPr>
        <w:t>اند؛ این روایت از نظر سندی مشکلی ندارد، و روایت منحصر به روایت اول نیست.</w:t>
      </w:r>
    </w:p>
    <w:p w:rsidR="00D33E45" w:rsidRDefault="00D33E45" w:rsidP="00D33E45">
      <w:pPr>
        <w:pStyle w:val="30"/>
        <w:rPr>
          <w:rtl/>
        </w:rPr>
      </w:pPr>
      <w:bookmarkStart w:id="5" w:name="_Toc18685813"/>
      <w:r>
        <w:rPr>
          <w:rFonts w:hint="cs"/>
          <w:rtl/>
        </w:rPr>
        <w:lastRenderedPageBreak/>
        <w:t>مطلق بودن وجوب کفن زوجه بر زوج حتّی در صورت یسار زوجه</w:t>
      </w:r>
      <w:bookmarkEnd w:id="5"/>
    </w:p>
    <w:p w:rsidR="00D33E45" w:rsidRDefault="00D33E45" w:rsidP="00D33E45">
      <w:pPr>
        <w:rPr>
          <w:rtl/>
        </w:rPr>
      </w:pPr>
      <w:r>
        <w:rPr>
          <w:rFonts w:hint="cs"/>
          <w:rtl/>
        </w:rPr>
        <w:t>مرحوم سیّد در ادامه فرموده و لو زن یسار دارد، باز کفن او بر عهده زوج است؛ بخاطر اطلاق روایات (کفن المرأة علی  زوجها) چه کفن داشته باشد یا نداشته باشد؛ بله در صورتی که زن وصیّت کرده که از پول خودم، من را کفن کنید. باید به وصیّت او عمل شود.</w:t>
      </w:r>
    </w:p>
    <w:p w:rsidR="00D33E45" w:rsidRDefault="00D33E45" w:rsidP="00D33E45">
      <w:pPr>
        <w:rPr>
          <w:rtl/>
        </w:rPr>
      </w:pPr>
      <w:r>
        <w:rPr>
          <w:rFonts w:hint="cs"/>
          <w:rtl/>
        </w:rPr>
        <w:t>شبهه</w:t>
      </w:r>
      <w:r>
        <w:rPr>
          <w:rtl/>
        </w:rPr>
        <w:softHyphen/>
      </w:r>
      <w:r>
        <w:rPr>
          <w:rFonts w:hint="cs"/>
          <w:rtl/>
        </w:rPr>
        <w:t>ای که در اینجا هست، این روایت معارض دارد و آن صدر همان روایت گیر دار است؛ صدر روایتی که از ابن سنان بود، حضرت فرموده (ثمن الکفن من جمیع المال)، چه زوجه باشد یا نباشد؛ الآن زنی هست، و مال دارد، صدر روایت ابن سنان می</w:t>
      </w:r>
      <w:r>
        <w:rPr>
          <w:rtl/>
        </w:rPr>
        <w:softHyphen/>
      </w:r>
      <w:r>
        <w:rPr>
          <w:rFonts w:hint="cs"/>
          <w:rtl/>
        </w:rPr>
        <w:t>گوید که باید ثمن کفن را از مال او بدهند، و روایات (کفن الزوجة علی زوجها) می</w:t>
      </w:r>
      <w:r>
        <w:rPr>
          <w:rtl/>
        </w:rPr>
        <w:softHyphen/>
      </w:r>
      <w:r>
        <w:rPr>
          <w:rFonts w:hint="cs"/>
          <w:rtl/>
        </w:rPr>
        <w:t>گوید که بر زوجش واجب است.</w:t>
      </w:r>
    </w:p>
    <w:p w:rsidR="00D33E45" w:rsidRDefault="00D33E45" w:rsidP="00D33E45">
      <w:pPr>
        <w:rPr>
          <w:rtl/>
        </w:rPr>
      </w:pPr>
      <w:r>
        <w:rPr>
          <w:rFonts w:hint="cs"/>
          <w:rtl/>
        </w:rPr>
        <w:t>و لکن این توهّم معارضه، توهّم محض است؛ و معارضه</w:t>
      </w:r>
      <w:r>
        <w:rPr>
          <w:rtl/>
        </w:rPr>
        <w:softHyphen/>
      </w:r>
      <w:r>
        <w:rPr>
          <w:rFonts w:hint="cs"/>
          <w:rtl/>
        </w:rPr>
        <w:t>ای در کار نیست. اولاً: ثمن الکفن من جمیع المال، اطلاق ندارد نمی</w:t>
      </w:r>
      <w:r>
        <w:rPr>
          <w:rtl/>
        </w:rPr>
        <w:softHyphen/>
      </w:r>
      <w:r>
        <w:rPr>
          <w:rFonts w:hint="cs"/>
          <w:rtl/>
        </w:rPr>
        <w:t>خواهد بگوید که کفن زن را باید از مال خودش بردارید، جمله (من جمیع المال) در مقابل وصیّت است، می</w:t>
      </w:r>
      <w:r>
        <w:rPr>
          <w:rtl/>
        </w:rPr>
        <w:softHyphen/>
      </w:r>
      <w:r>
        <w:rPr>
          <w:rFonts w:hint="cs"/>
          <w:rtl/>
        </w:rPr>
        <w:t>خواهد یگوید مثل وصیت نیست که باید از ثلث مال باشد؛ اما اینکه در کجاها باید از اصل مال باشد، ربطی به این ندارد. موضوع این روایات، این است، در جائی که می</w:t>
      </w:r>
      <w:r>
        <w:rPr>
          <w:rtl/>
        </w:rPr>
        <w:softHyphen/>
      </w:r>
      <w:r>
        <w:rPr>
          <w:rFonts w:hint="cs"/>
          <w:rtl/>
        </w:rPr>
        <w:t>خواهید کفن را از مالش بر دارید، بر همه مقدّم است؛ اما اینکه در کجا باید از اصل مالش بردارید، در مقام بیان آن نیست. ثانیاً: بالفرض اطلاق داشته باشد که پول کفن هر کسی را باید از مال خودش  بردارید، همانطور که در تنقیح</w:t>
      </w:r>
      <w:r>
        <w:rPr>
          <w:rStyle w:val="ab"/>
          <w:rFonts w:ascii="Noor_Lotus" w:hAnsi="Noor_Lotus" w:cs="B Lotus"/>
          <w:sz w:val="28"/>
          <w:rtl/>
        </w:rPr>
        <w:footnoteReference w:id="4"/>
      </w:r>
      <w:r>
        <w:rPr>
          <w:rFonts w:hint="cs"/>
          <w:rtl/>
        </w:rPr>
        <w:t xml:space="preserve"> فرموده است، می</w:t>
      </w:r>
      <w:r>
        <w:rPr>
          <w:rtl/>
        </w:rPr>
        <w:softHyphen/>
      </w:r>
      <w:r>
        <w:rPr>
          <w:rFonts w:hint="cs"/>
          <w:rtl/>
        </w:rPr>
        <w:t>گوئیم نسبت این روایت، با روایت سکونی، عموم و خصوص مطلق است، این روایت خاص است، و روایت سکونی را تخصیص می</w:t>
      </w:r>
      <w:r>
        <w:rPr>
          <w:rtl/>
        </w:rPr>
        <w:softHyphen/>
      </w:r>
      <w:r>
        <w:rPr>
          <w:rFonts w:hint="cs"/>
          <w:rtl/>
        </w:rPr>
        <w:t>زند، و نتیجه این می</w:t>
      </w:r>
      <w:r>
        <w:rPr>
          <w:rtl/>
        </w:rPr>
        <w:softHyphen/>
      </w:r>
      <w:r>
        <w:rPr>
          <w:rFonts w:hint="cs"/>
          <w:rtl/>
        </w:rPr>
        <w:t>شود که ثمن کفن هر کسی را باید از مالش برداشت، الّا زوجه که باید از مال زوجش باشد.</w:t>
      </w:r>
    </w:p>
    <w:p w:rsidR="00D33E45" w:rsidRPr="001A27D7" w:rsidRDefault="00D33E45" w:rsidP="001A27D7">
      <w:pPr>
        <w:rPr>
          <w:rtl/>
        </w:rPr>
      </w:pPr>
    </w:p>
    <w:bookmarkEnd w:id="0"/>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13D" w:rsidRDefault="0016413D" w:rsidP="008B750B">
      <w:pPr>
        <w:spacing w:line="240" w:lineRule="auto"/>
      </w:pPr>
      <w:r>
        <w:separator/>
      </w:r>
    </w:p>
  </w:endnote>
  <w:endnote w:type="continuationSeparator" w:id="0">
    <w:p w:rsidR="0016413D" w:rsidRDefault="0016413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altName w:val="Times New Roman"/>
    <w:panose1 w:val="02000700000000000000"/>
    <w:charset w:val="00"/>
    <w:family w:val="auto"/>
    <w:pitch w:val="variable"/>
    <w:sig w:usb0="00000000"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DB4998" w:rsidRPr="00DB499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B56E6" w:rsidP="001B6799">
          <w:pPr>
            <w:pStyle w:val="a6"/>
            <w:bidi w:val="0"/>
            <w:rPr>
              <w:color w:val="808080" w:themeColor="background1" w:themeShade="80"/>
              <w:rtl/>
            </w:rPr>
          </w:pPr>
          <w:bookmarkStart w:id="13" w:name="BokAdres"/>
          <w:bookmarkEnd w:id="13"/>
          <w:r>
            <w:rPr>
              <w:color w:val="808080" w:themeColor="background1" w:themeShade="80"/>
            </w:rPr>
            <w:t>F1mg1_13950706-017_sl1_mfeb.ir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13D" w:rsidRDefault="0016413D" w:rsidP="008B750B">
      <w:pPr>
        <w:spacing w:line="240" w:lineRule="auto"/>
      </w:pPr>
      <w:r>
        <w:separator/>
      </w:r>
    </w:p>
  </w:footnote>
  <w:footnote w:type="continuationSeparator" w:id="0">
    <w:p w:rsidR="0016413D" w:rsidRDefault="0016413D" w:rsidP="008B750B">
      <w:pPr>
        <w:spacing w:line="240" w:lineRule="auto"/>
      </w:pPr>
      <w:r>
        <w:continuationSeparator/>
      </w:r>
    </w:p>
  </w:footnote>
  <w:footnote w:id="1">
    <w:p w:rsidR="00D33E45" w:rsidRPr="00D55DE4" w:rsidRDefault="00D33E45" w:rsidP="00D33E45">
      <w:pPr>
        <w:pStyle w:val="a8"/>
        <w:bidi/>
        <w:spacing w:before="0" w:beforeAutospacing="0" w:after="0" w:afterAutospacing="0"/>
        <w:jc w:val="both"/>
        <w:rPr>
          <w:rFonts w:ascii="Noor_Titr" w:hAnsi="Noor_Titr" w:cs="B Badr"/>
          <w:sz w:val="22"/>
          <w:szCs w:val="22"/>
        </w:rPr>
      </w:pPr>
      <w:r w:rsidRPr="00D55DE4">
        <w:rPr>
          <w:rStyle w:val="ab"/>
          <w:rFonts w:cs="B Badr"/>
          <w:sz w:val="22"/>
          <w:szCs w:val="22"/>
        </w:rPr>
        <w:footnoteRef/>
      </w:r>
      <w:r w:rsidRPr="00D55DE4">
        <w:rPr>
          <w:rFonts w:cs="B Badr"/>
          <w:sz w:val="22"/>
          <w:szCs w:val="22"/>
          <w:rtl/>
        </w:rPr>
        <w:t xml:space="preserve"> </w:t>
      </w:r>
      <w:r w:rsidRPr="00D55DE4">
        <w:rPr>
          <w:rFonts w:cs="B Badr" w:hint="cs"/>
          <w:sz w:val="22"/>
          <w:szCs w:val="22"/>
          <w:rtl/>
        </w:rPr>
        <w:t xml:space="preserve">- </w:t>
      </w:r>
      <w:r w:rsidRPr="00D55DE4">
        <w:rPr>
          <w:rFonts w:ascii="Noor_Titr" w:hAnsi="Noor_Titr" w:cs="B Badr" w:hint="cs"/>
          <w:sz w:val="22"/>
          <w:szCs w:val="22"/>
          <w:rtl/>
        </w:rPr>
        <w:t>من لا يحضره الفقيه؛ ج‌4، ص: 193 «</w:t>
      </w:r>
      <w:r w:rsidRPr="00D55DE4">
        <w:rPr>
          <w:rFonts w:ascii="Traditional Arabic" w:hAnsi="Noor_Lotus" w:cs="B Badr" w:hint="cs"/>
          <w:sz w:val="22"/>
          <w:szCs w:val="22"/>
          <w:rtl/>
        </w:rPr>
        <w:t>وَ رَوَى الْحَسَنُ بْنُ مَحْبُوبٍ عَنْ عَبْدِ اللَّهِ بْنِ سِنَانٍ عَنْ أَبِي عَبْدِ اللَّهِ (علیه السلام) قَالَ</w:t>
      </w:r>
      <w:r w:rsidRPr="00D55DE4">
        <w:rPr>
          <w:rFonts w:ascii="Noor_Lotus" w:hAnsi="Noor_Lotus" w:cs="B Badr" w:hint="cs"/>
          <w:sz w:val="22"/>
          <w:szCs w:val="22"/>
          <w:rtl/>
        </w:rPr>
        <w:t xml:space="preserve"> الْكَفَنُ مِنْ جَمِيعِ الْمَالِ </w:t>
      </w:r>
      <w:r w:rsidRPr="00D55DE4">
        <w:rPr>
          <w:rFonts w:ascii="Traditional Arabic" w:hAnsi="Noor_Lotus" w:cs="B Badr" w:hint="cs"/>
          <w:sz w:val="22"/>
          <w:szCs w:val="22"/>
          <w:rtl/>
        </w:rPr>
        <w:t>وَ قَالَ (علیه السلام)</w:t>
      </w:r>
      <w:r w:rsidRPr="00D55DE4">
        <w:rPr>
          <w:rFonts w:ascii="Noor_Lotus" w:hAnsi="Noor_Lotus" w:cs="B Badr" w:hint="cs"/>
          <w:sz w:val="22"/>
          <w:szCs w:val="22"/>
          <w:rtl/>
        </w:rPr>
        <w:t xml:space="preserve"> كَفَنُ الْمَرْأَةِ عَلَى زَوْجِهَا إِذَا مَاتَتْ».</w:t>
      </w:r>
    </w:p>
  </w:footnote>
  <w:footnote w:id="2">
    <w:p w:rsidR="00D33E45" w:rsidRPr="007F3C7B" w:rsidRDefault="00D33E45" w:rsidP="00D33E45">
      <w:pPr>
        <w:pStyle w:val="a8"/>
        <w:tabs>
          <w:tab w:val="left" w:pos="844"/>
          <w:tab w:val="center" w:pos="5102"/>
        </w:tabs>
        <w:bidi/>
        <w:spacing w:before="0" w:beforeAutospacing="0" w:after="0" w:afterAutospacing="0"/>
        <w:jc w:val="both"/>
        <w:rPr>
          <w:rFonts w:ascii="Noor_Titr" w:hAnsi="Noor_Titr" w:cs="B Badr"/>
          <w:sz w:val="22"/>
          <w:szCs w:val="22"/>
          <w:rtl/>
        </w:rPr>
      </w:pPr>
      <w:r w:rsidRPr="007F3C7B">
        <w:rPr>
          <w:rStyle w:val="ab"/>
          <w:rFonts w:cs="B Badr"/>
          <w:sz w:val="22"/>
          <w:szCs w:val="22"/>
        </w:rPr>
        <w:footnoteRef/>
      </w:r>
      <w:r w:rsidRPr="007F3C7B">
        <w:rPr>
          <w:rFonts w:cs="B Badr"/>
          <w:sz w:val="22"/>
          <w:szCs w:val="22"/>
          <w:rtl/>
        </w:rPr>
        <w:t xml:space="preserve"> </w:t>
      </w:r>
      <w:r w:rsidRPr="007F3C7B">
        <w:rPr>
          <w:rFonts w:cs="B Badr" w:hint="cs"/>
          <w:sz w:val="22"/>
          <w:szCs w:val="22"/>
          <w:rtl/>
        </w:rPr>
        <w:t xml:space="preserve">- </w:t>
      </w:r>
      <w:r w:rsidRPr="007F3C7B">
        <w:rPr>
          <w:rFonts w:ascii="Noor_Titr" w:hAnsi="Noor_Titr" w:cs="B Badr" w:hint="cs"/>
          <w:sz w:val="22"/>
          <w:szCs w:val="22"/>
          <w:rtl/>
        </w:rPr>
        <w:t>موسوعة الإمام الخوئي؛ ج‌9، ص</w:t>
      </w:r>
      <w:r>
        <w:rPr>
          <w:rFonts w:ascii="Noor_Titr" w:hAnsi="Noor_Titr" w:cs="B Badr" w:hint="cs"/>
          <w:sz w:val="22"/>
          <w:szCs w:val="22"/>
          <w:rtl/>
        </w:rPr>
        <w:t>ص</w:t>
      </w:r>
      <w:r w:rsidRPr="007F3C7B">
        <w:rPr>
          <w:rFonts w:ascii="Noor_Titr" w:hAnsi="Noor_Titr" w:cs="B Badr" w:hint="cs"/>
          <w:sz w:val="22"/>
          <w:szCs w:val="22"/>
          <w:rtl/>
        </w:rPr>
        <w:t>: 11</w:t>
      </w:r>
      <w:r>
        <w:rPr>
          <w:rFonts w:ascii="Noor_Titr" w:hAnsi="Noor_Titr" w:cs="B Badr" w:hint="cs"/>
          <w:sz w:val="22"/>
          <w:szCs w:val="22"/>
          <w:rtl/>
        </w:rPr>
        <w:t>9- 118 (</w:t>
      </w:r>
      <w:r w:rsidRPr="007F3C7B">
        <w:rPr>
          <w:rFonts w:ascii="Noor_Lotus" w:hAnsi="Noor_Lotus" w:cs="B Badr" w:hint="cs"/>
          <w:sz w:val="22"/>
          <w:szCs w:val="22"/>
          <w:rtl/>
        </w:rPr>
        <w:t>إلّا أنّ الصحيح هو ما فهمه صاحبا المدارك و الوسائل، فانّا قد تتبّعنا كتاب من لا يحضره الفقيه فرأينا أن عادة مؤلفه جرت على ذكر الرواية الاولى من دون عاطف و ذكر الرواية الثانية بعاطف، مثلًا يقول: سأل سليمان بن خالد أبا عبد اللّه (عليه السلام) ...</w:t>
      </w:r>
      <w:r w:rsidRPr="007F3C7B">
        <w:rPr>
          <w:rFonts w:ascii="Noor_Titr" w:hAnsi="Noor_Titr" w:cs="B Badr" w:hint="cs"/>
          <w:sz w:val="22"/>
          <w:szCs w:val="22"/>
          <w:rtl/>
        </w:rPr>
        <w:t xml:space="preserve"> </w:t>
      </w:r>
      <w:r w:rsidRPr="007F3C7B">
        <w:rPr>
          <w:rFonts w:ascii="Noor_Lotus" w:hAnsi="Noor_Lotus" w:cs="B Badr" w:hint="cs"/>
          <w:sz w:val="22"/>
          <w:szCs w:val="22"/>
          <w:rtl/>
        </w:rPr>
        <w:t>و بعد ذلك يقول: و قال الصادق (عليه السلام)، أو سأل أبو بصير أبا عبد اللّه (عليه السلام) عن الرجل. و بعد ذلك يقول: و قال الصادق (عليه السلام) أو يقول: و سئل الصادق (عليه السلام) عن المشوّهين ... ثمّ يقول: و قال الصادق (عليه السلام) و هكذا.</w:t>
      </w:r>
      <w:r w:rsidRPr="007F3C7B">
        <w:rPr>
          <w:rFonts w:ascii="Noor_Titr" w:hAnsi="Noor_Titr" w:cs="B Badr" w:hint="cs"/>
          <w:sz w:val="22"/>
          <w:szCs w:val="22"/>
          <w:rtl/>
        </w:rPr>
        <w:t xml:space="preserve"> </w:t>
      </w:r>
      <w:r w:rsidRPr="007F3C7B">
        <w:rPr>
          <w:rFonts w:ascii="Noor_Lotus" w:hAnsi="Noor_Lotus" w:cs="B Badr" w:hint="cs"/>
          <w:sz w:val="22"/>
          <w:szCs w:val="22"/>
          <w:rtl/>
        </w:rPr>
        <w:t>و عليه ففي المقام يحتمل أن يكون قوله: «و قال: كفن المرأة على زوجها إذا ماتت» معطوفاً على «قال: ثمن الكفن من جميع المال» فهما رواية واحدة، كما يحتمل كونها معطوفة على أصل الرواية فتكون الرواية مستقلّة مرسلة، فكلا الاحتمالين وارد في المقام، إلّا أن قرب قوله «و قال ...» من الجملة الأُولى ظاهر في أنّهما رواية واحدة كما فهمه صاحب المدارك و غيره.</w:t>
      </w:r>
    </w:p>
    <w:p w:rsidR="00D33E45" w:rsidRPr="007F3C7B" w:rsidRDefault="00D33E45" w:rsidP="00D33E45">
      <w:pPr>
        <w:pStyle w:val="a8"/>
        <w:bidi/>
        <w:spacing w:before="0" w:beforeAutospacing="0" w:after="0" w:afterAutospacing="0"/>
        <w:jc w:val="both"/>
        <w:rPr>
          <w:rFonts w:ascii="Noor_Titr" w:hAnsi="Noor_Titr" w:cs="B Badr"/>
          <w:sz w:val="22"/>
          <w:szCs w:val="22"/>
        </w:rPr>
      </w:pPr>
      <w:r w:rsidRPr="007F3C7B">
        <w:rPr>
          <w:rFonts w:ascii="Noor_Lotus" w:hAnsi="Noor_Lotus" w:cs="B Badr" w:hint="cs"/>
          <w:sz w:val="22"/>
          <w:szCs w:val="22"/>
          <w:rtl/>
        </w:rPr>
        <w:t>بل قد جرت عادة الصدوق (قدس سره) في كتابه على عدم عطف الرواية المرسلة على المسندة كما في المقام حيث إنّه روى الرواية مسندة ثمّ قال «و قال: كفن المرأة» حيث لا يعهد مثل ذلك في كتابه، بل هو أمر غير مناسب في نفسه، فمن عطف «و قال» من غير إسناده إلى الإمام (عليه السلام) على الجملة السابقة المسندة إلى الإمام (عليه السلام) نستكشف أنّهما رواية واحدة).</w:t>
      </w:r>
    </w:p>
  </w:footnote>
  <w:footnote w:id="3">
    <w:p w:rsidR="00D33E45" w:rsidRDefault="00D33E45" w:rsidP="00D33E45">
      <w:pPr>
        <w:pStyle w:val="a9"/>
      </w:pPr>
      <w:r>
        <w:rPr>
          <w:rStyle w:val="ab"/>
        </w:rPr>
        <w:footnoteRef/>
      </w:r>
      <w:r>
        <w:rPr>
          <w:rtl/>
        </w:rPr>
        <w:t xml:space="preserve"> </w:t>
      </w:r>
      <w:r>
        <w:rPr>
          <w:rFonts w:hint="cs"/>
          <w:rtl/>
        </w:rPr>
        <w:t xml:space="preserve">- </w:t>
      </w:r>
      <w:r w:rsidRPr="00C867D2">
        <w:rPr>
          <w:rFonts w:asciiTheme="minorHAnsi" w:eastAsiaTheme="minorHAnsi" w:hAnsiTheme="minorHAnsi" w:hint="cs"/>
          <w:rtl/>
        </w:rPr>
        <w:t>وسائل الشيعة؛ ج‌3، ص: 54</w:t>
      </w:r>
      <w:r>
        <w:rPr>
          <w:rFonts w:hint="cs"/>
          <w:rtl/>
        </w:rPr>
        <w:t>، أبواب التکفین، باب 32، ح 2.</w:t>
      </w:r>
    </w:p>
  </w:footnote>
  <w:footnote w:id="4">
    <w:p w:rsidR="00D33E45" w:rsidRPr="004374C2" w:rsidRDefault="00D33E45" w:rsidP="00D33E45">
      <w:pPr>
        <w:pStyle w:val="a8"/>
        <w:bidi/>
        <w:spacing w:before="0" w:beforeAutospacing="0" w:after="0" w:afterAutospacing="0"/>
        <w:jc w:val="both"/>
        <w:rPr>
          <w:rFonts w:ascii="Noor_Titr" w:hAnsi="Noor_Titr" w:cs="B Badr"/>
          <w:color w:val="000000" w:themeColor="text1"/>
          <w:sz w:val="22"/>
          <w:szCs w:val="22"/>
          <w:rtl/>
        </w:rPr>
      </w:pPr>
      <w:r w:rsidRPr="004374C2">
        <w:rPr>
          <w:rStyle w:val="ab"/>
          <w:rFonts w:cs="B Badr"/>
          <w:color w:val="000000" w:themeColor="text1"/>
          <w:sz w:val="22"/>
          <w:szCs w:val="22"/>
        </w:rPr>
        <w:footnoteRef/>
      </w:r>
      <w:r w:rsidRPr="004374C2">
        <w:rPr>
          <w:rFonts w:cs="B Badr"/>
          <w:color w:val="000000" w:themeColor="text1"/>
          <w:sz w:val="22"/>
          <w:szCs w:val="22"/>
          <w:rtl/>
        </w:rPr>
        <w:t xml:space="preserve"> </w:t>
      </w:r>
      <w:r w:rsidRPr="004374C2">
        <w:rPr>
          <w:rFonts w:cs="B Badr" w:hint="cs"/>
          <w:color w:val="000000" w:themeColor="text1"/>
          <w:sz w:val="22"/>
          <w:szCs w:val="22"/>
          <w:rtl/>
        </w:rPr>
        <w:t xml:space="preserve">- </w:t>
      </w:r>
      <w:r w:rsidRPr="004374C2">
        <w:rPr>
          <w:rFonts w:ascii="Noor_Titr" w:hAnsi="Noor_Titr" w:cs="B Badr" w:hint="cs"/>
          <w:color w:val="000000" w:themeColor="text1"/>
          <w:sz w:val="22"/>
          <w:szCs w:val="22"/>
          <w:rtl/>
        </w:rPr>
        <w:t>موسوعة الإمام الخوئي؛ ج‌9، ص: 120 (</w:t>
      </w:r>
      <w:r w:rsidRPr="004374C2">
        <w:rPr>
          <w:rFonts w:ascii="Noor_Lotus" w:hAnsi="Noor_Lotus" w:cs="B Badr" w:hint="cs"/>
          <w:color w:val="000000" w:themeColor="text1"/>
          <w:sz w:val="22"/>
          <w:szCs w:val="22"/>
          <w:rtl/>
        </w:rPr>
        <w:t>لإطلاق الروايتين، و لا ينافي ذلك ما ورد في جملة من الروايات من أنّ الكفن يخرج من أصل المال مقدّماً على الدين و الوصية و الإرث نظراً إلى أنّه يدل على أن كفن الزوجة يخرج من أصل مالها إذا كان لها يسار. و الوجه في عدم المنافاة: أن ما دلّ على أن كفن الزوجة على زوجها أخص مطلقاً من تلك الطائفة و معه لا بدّ من تخصيص خروج الكفن من أصل المال بغير الزوجة لأنّ كفنها على زوجها.</w:t>
      </w:r>
      <w:r w:rsidRPr="004374C2">
        <w:rPr>
          <w:rFonts w:ascii="Noor_Titr" w:hAnsi="Noor_Titr" w:cs="B Badr" w:hint="cs"/>
          <w:color w:val="000000" w:themeColor="text1"/>
          <w:sz w:val="22"/>
          <w:szCs w:val="22"/>
          <w:rtl/>
        </w:rPr>
        <w:t xml:space="preserve"> </w:t>
      </w:r>
      <w:r w:rsidRPr="004374C2">
        <w:rPr>
          <w:rFonts w:ascii="Noor_Lotus" w:hAnsi="Noor_Lotus" w:cs="B Badr" w:hint="cs"/>
          <w:color w:val="000000" w:themeColor="text1"/>
          <w:sz w:val="22"/>
          <w:szCs w:val="22"/>
          <w:rtl/>
        </w:rPr>
        <w:t>و هذا من غير فرق بين أن تكون الجملة الثانية في رواية الصدوق جزءاً من الرواية أم لم تكن، لأنّ المدار إنّما هو على النسبة بين الطائفتين، كانتا متصلتين أم منفصلتين.</w:t>
      </w:r>
    </w:p>
    <w:p w:rsidR="00D33E45" w:rsidRPr="004374C2" w:rsidRDefault="00D33E45" w:rsidP="00D33E45">
      <w:pPr>
        <w:pStyle w:val="a8"/>
        <w:bidi/>
        <w:spacing w:before="0" w:beforeAutospacing="0" w:after="0" w:afterAutospacing="0"/>
        <w:jc w:val="both"/>
        <w:rPr>
          <w:rFonts w:ascii="Noor_Titr" w:hAnsi="Noor_Titr" w:cs="B Badr"/>
          <w:color w:val="000000" w:themeColor="text1"/>
          <w:sz w:val="22"/>
          <w:szCs w:val="22"/>
        </w:rPr>
      </w:pPr>
      <w:r w:rsidRPr="004374C2">
        <w:rPr>
          <w:rFonts w:ascii="Noor_Lotus" w:hAnsi="Noor_Lotus" w:cs="B Badr" w:hint="cs"/>
          <w:color w:val="000000" w:themeColor="text1"/>
          <w:sz w:val="22"/>
          <w:szCs w:val="22"/>
          <w:rtl/>
        </w:rPr>
        <w:t>على أنا لو أغمضنا النظر عن كون النسبة عموماً مطلقاً و فرضناهما متباينتين أيضاً يلزمنا تقديم ما دلّ على أنّ الكفن يخرج من المال على تلكم الطائفة، إذ لو عكسنا الأمر و عملنا بتلك الطائفة للزم حمل الروايتين على أن كفن الزوجة على زوجها بما إذا لم يكن للزوجة مال و لو بمقدار الكفن، و هذا نادر في نادر، و إطلاق الكلام المطلق و إرادة الفرد النادر منه مستهجن جدّاً فلا يمكن حملهما على تلك الصورة النادرة).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FB56E6">
      <w:rPr>
        <w:b/>
        <w:bCs/>
        <w:sz w:val="20"/>
        <w:szCs w:val="24"/>
        <w:rtl/>
      </w:rPr>
      <w:t>017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FB56E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FB56E6">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FB56E6">
      <w:rPr>
        <w:sz w:val="24"/>
        <w:szCs w:val="24"/>
        <w:rtl/>
      </w:rPr>
      <w:t>6 /7 /1395</w:t>
    </w:r>
  </w:p>
  <w:p w:rsidR="00FA3B17" w:rsidRPr="00F16B53" w:rsidRDefault="00935A55" w:rsidP="001B6799">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FB56E6">
      <w:rPr>
        <w:rFonts w:hint="cs"/>
        <w:sz w:val="24"/>
        <w:szCs w:val="24"/>
        <w:rtl/>
      </w:rPr>
      <w:t>تکفین</w:t>
    </w:r>
    <w:r w:rsidR="00FB56E6">
      <w:rPr>
        <w:sz w:val="24"/>
        <w:szCs w:val="24"/>
        <w:rtl/>
      </w:rPr>
      <w:t xml:space="preserve"> </w:t>
    </w:r>
    <w:r w:rsidR="00FB56E6">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FB56E6">
      <w:rPr>
        <w:rFonts w:hint="cs"/>
        <w:sz w:val="24"/>
        <w:szCs w:val="24"/>
        <w:rtl/>
      </w:rPr>
      <w:t>سجاد</w:t>
    </w:r>
    <w:r w:rsidR="00FB56E6">
      <w:rPr>
        <w:sz w:val="24"/>
        <w:szCs w:val="24"/>
        <w:rtl/>
      </w:rPr>
      <w:t xml:space="preserve"> </w:t>
    </w:r>
    <w:r w:rsidR="00FB56E6">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FB56E6">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6413D"/>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33E45"/>
    <w:rsid w:val="00D552B9"/>
    <w:rsid w:val="00D735B2"/>
    <w:rsid w:val="00D74021"/>
    <w:rsid w:val="00D76D01"/>
    <w:rsid w:val="00D922A9"/>
    <w:rsid w:val="00D9394A"/>
    <w:rsid w:val="00DB0CBB"/>
    <w:rsid w:val="00DB4998"/>
    <w:rsid w:val="00DB67CC"/>
    <w:rsid w:val="00DE1070"/>
    <w:rsid w:val="00E00219"/>
    <w:rsid w:val="00E0316B"/>
    <w:rsid w:val="00E25A0A"/>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56E6"/>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673DA-807C-4142-9D35-C0CCF9258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8</TotalTime>
  <Pages>5</Pages>
  <Words>1424</Words>
  <Characters>8121</Characters>
  <Application>Microsoft Office Word</Application>
  <DocSecurity>0</DocSecurity>
  <Lines>67</Lines>
  <Paragraphs>19</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9526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pc5</cp:lastModifiedBy>
  <cp:revision>5</cp:revision>
  <dcterms:created xsi:type="dcterms:W3CDTF">2019-09-06T13:37:00Z</dcterms:created>
  <dcterms:modified xsi:type="dcterms:W3CDTF">2016-09-28T03:08:00Z</dcterms:modified>
</cp:coreProperties>
</file>