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E36D8A" w:rsidRDefault="00520A48">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rFonts w:ascii="Noor_Lotus" w:hAnsi="Noor_Lotus"/>
          <w:noProof/>
        </w:rPr>
        <w:fldChar w:fldCharType="begin"/>
      </w:r>
      <w:r>
        <w:rPr>
          <w:rStyle w:val="Hyperlink"/>
          <w:rFonts w:ascii="Noor_Lotus" w:hAnsi="Noor_Lotus"/>
          <w:noProof/>
        </w:rPr>
        <w:instrText xml:space="preserve"> </w:instrText>
      </w:r>
      <w:r>
        <w:rPr>
          <w:rStyle w:val="Hyperlink"/>
          <w:rFonts w:ascii="Noor_Lotus" w:hAnsi="Noor_Lotus" w:hint="eastAsia"/>
          <w:noProof/>
        </w:rPr>
        <w:instrText>TOC \o "1-5" \h \z \u</w:instrText>
      </w:r>
      <w:r>
        <w:rPr>
          <w:rStyle w:val="Hyperlink"/>
          <w:rFonts w:ascii="Noor_Lotus" w:hAnsi="Noor_Lotus"/>
          <w:noProof/>
        </w:rPr>
        <w:instrText xml:space="preserve"> </w:instrText>
      </w:r>
      <w:r>
        <w:rPr>
          <w:rStyle w:val="Hyperlink"/>
          <w:rFonts w:ascii="Noor_Lotus" w:hAnsi="Noor_Lotus"/>
          <w:noProof/>
        </w:rPr>
        <w:fldChar w:fldCharType="separate"/>
      </w:r>
      <w:hyperlink w:anchor="_Toc22408723" w:history="1">
        <w:r w:rsidR="00E36D8A" w:rsidRPr="00284E91">
          <w:rPr>
            <w:rStyle w:val="Hyperlink"/>
            <w:rFonts w:hint="eastAsia"/>
            <w:noProof/>
            <w:rtl/>
          </w:rPr>
          <w:t>مسأله</w:t>
        </w:r>
        <w:r w:rsidR="00E36D8A" w:rsidRPr="00284E91">
          <w:rPr>
            <w:rStyle w:val="Hyperlink"/>
            <w:noProof/>
            <w:rtl/>
          </w:rPr>
          <w:t xml:space="preserve"> 1: </w:t>
        </w:r>
        <w:r w:rsidR="00E36D8A" w:rsidRPr="00284E91">
          <w:rPr>
            <w:rStyle w:val="Hyperlink"/>
            <w:rFonts w:hint="eastAsia"/>
            <w:noProof/>
            <w:rtl/>
          </w:rPr>
          <w:t>عدم</w:t>
        </w:r>
        <w:r w:rsidR="00E36D8A" w:rsidRPr="00284E91">
          <w:rPr>
            <w:rStyle w:val="Hyperlink"/>
            <w:noProof/>
            <w:rtl/>
          </w:rPr>
          <w:t xml:space="preserve"> </w:t>
        </w:r>
        <w:r w:rsidR="00E36D8A" w:rsidRPr="00284E91">
          <w:rPr>
            <w:rStyle w:val="Hyperlink"/>
            <w:rFonts w:hint="eastAsia"/>
            <w:noProof/>
            <w:rtl/>
          </w:rPr>
          <w:t>فرق</w:t>
        </w:r>
        <w:r w:rsidR="00E36D8A" w:rsidRPr="00284E91">
          <w:rPr>
            <w:rStyle w:val="Hyperlink"/>
            <w:noProof/>
            <w:rtl/>
          </w:rPr>
          <w:t xml:space="preserve"> </w:t>
        </w:r>
        <w:r w:rsidR="00E36D8A" w:rsidRPr="00284E91">
          <w:rPr>
            <w:rStyle w:val="Hyperlink"/>
            <w:rFonts w:hint="eastAsia"/>
            <w:noProof/>
            <w:rtl/>
          </w:rPr>
          <w:t>ب</w:t>
        </w:r>
        <w:r w:rsidR="00E36D8A" w:rsidRPr="00284E91">
          <w:rPr>
            <w:rStyle w:val="Hyperlink"/>
            <w:rFonts w:hint="cs"/>
            <w:noProof/>
            <w:rtl/>
          </w:rPr>
          <w:t>ی</w:t>
        </w:r>
        <w:r w:rsidR="00E36D8A" w:rsidRPr="00284E91">
          <w:rPr>
            <w:rStyle w:val="Hyperlink"/>
            <w:rFonts w:hint="eastAsia"/>
            <w:noProof/>
            <w:rtl/>
          </w:rPr>
          <w:t>ن</w:t>
        </w:r>
        <w:r w:rsidR="00E36D8A" w:rsidRPr="00284E91">
          <w:rPr>
            <w:rStyle w:val="Hyperlink"/>
            <w:noProof/>
            <w:rtl/>
          </w:rPr>
          <w:t xml:space="preserve"> </w:t>
        </w:r>
        <w:r w:rsidR="00E36D8A" w:rsidRPr="00284E91">
          <w:rPr>
            <w:rStyle w:val="Hyperlink"/>
            <w:rFonts w:hint="eastAsia"/>
            <w:noProof/>
            <w:rtl/>
          </w:rPr>
          <w:t>أقسام</w:t>
        </w:r>
        <w:r w:rsidR="00E36D8A" w:rsidRPr="00284E91">
          <w:rPr>
            <w:rStyle w:val="Hyperlink"/>
            <w:noProof/>
            <w:rtl/>
          </w:rPr>
          <w:t xml:space="preserve"> </w:t>
        </w:r>
        <w:r w:rsidR="00E36D8A" w:rsidRPr="00284E91">
          <w:rPr>
            <w:rStyle w:val="Hyperlink"/>
            <w:rFonts w:hint="eastAsia"/>
            <w:noProof/>
            <w:rtl/>
          </w:rPr>
          <w:t>م</w:t>
        </w:r>
        <w:r w:rsidR="00E36D8A" w:rsidRPr="00284E91">
          <w:rPr>
            <w:rStyle w:val="Hyperlink"/>
            <w:rFonts w:hint="cs"/>
            <w:noProof/>
            <w:rtl/>
          </w:rPr>
          <w:t>یّ</w:t>
        </w:r>
        <w:r w:rsidR="00E36D8A" w:rsidRPr="00284E91">
          <w:rPr>
            <w:rStyle w:val="Hyperlink"/>
            <w:rFonts w:hint="eastAsia"/>
            <w:noProof/>
            <w:rtl/>
          </w:rPr>
          <w:t>ت</w:t>
        </w:r>
        <w:r w:rsidR="00E36D8A" w:rsidRPr="00284E91">
          <w:rPr>
            <w:rStyle w:val="Hyperlink"/>
            <w:noProof/>
            <w:rtl/>
          </w:rPr>
          <w:t xml:space="preserve"> </w:t>
        </w:r>
        <w:r w:rsidR="00E36D8A" w:rsidRPr="00284E91">
          <w:rPr>
            <w:rStyle w:val="Hyperlink"/>
            <w:rFonts w:hint="eastAsia"/>
            <w:noProof/>
            <w:rtl/>
          </w:rPr>
          <w:t>در</w:t>
        </w:r>
        <w:r w:rsidR="00E36D8A" w:rsidRPr="00284E91">
          <w:rPr>
            <w:rStyle w:val="Hyperlink"/>
            <w:noProof/>
            <w:rtl/>
          </w:rPr>
          <w:t xml:space="preserve"> </w:t>
        </w:r>
        <w:r w:rsidR="00E36D8A" w:rsidRPr="00284E91">
          <w:rPr>
            <w:rStyle w:val="Hyperlink"/>
            <w:rFonts w:hint="eastAsia"/>
            <w:noProof/>
            <w:rtl/>
          </w:rPr>
          <w:t>وجوب</w:t>
        </w:r>
        <w:r w:rsidR="00E36D8A" w:rsidRPr="00284E91">
          <w:rPr>
            <w:rStyle w:val="Hyperlink"/>
            <w:noProof/>
            <w:rtl/>
          </w:rPr>
          <w:t xml:space="preserve"> </w:t>
        </w:r>
        <w:r w:rsidR="00E36D8A" w:rsidRPr="00284E91">
          <w:rPr>
            <w:rStyle w:val="Hyperlink"/>
            <w:rFonts w:hint="eastAsia"/>
            <w:noProof/>
            <w:rtl/>
          </w:rPr>
          <w:t>حنوط</w:t>
        </w:r>
        <w:r w:rsidR="00E36D8A" w:rsidRPr="00284E91">
          <w:rPr>
            <w:rStyle w:val="Hyperlink"/>
            <w:noProof/>
            <w:rtl/>
          </w:rPr>
          <w:t xml:space="preserve"> (</w:t>
        </w:r>
        <w:r w:rsidR="00E36D8A" w:rsidRPr="00284E91">
          <w:rPr>
            <w:rStyle w:val="Hyperlink"/>
            <w:rFonts w:hint="eastAsia"/>
            <w:noProof/>
            <w:rtl/>
          </w:rPr>
          <w:t>استثناء</w:t>
        </w:r>
        <w:r w:rsidR="00E36D8A" w:rsidRPr="00284E91">
          <w:rPr>
            <w:rStyle w:val="Hyperlink"/>
            <w:noProof/>
            <w:rtl/>
          </w:rPr>
          <w:t xml:space="preserve"> </w:t>
        </w:r>
        <w:r w:rsidR="00E36D8A" w:rsidRPr="00284E91">
          <w:rPr>
            <w:rStyle w:val="Hyperlink"/>
            <w:rFonts w:hint="eastAsia"/>
            <w:noProof/>
            <w:rtl/>
          </w:rPr>
          <w:t>محرم</w:t>
        </w:r>
        <w:r w:rsidR="00E36D8A" w:rsidRPr="00284E91">
          <w:rPr>
            <w:rStyle w:val="Hyperlink"/>
            <w:noProof/>
            <w:rtl/>
          </w:rPr>
          <w:t xml:space="preserve"> </w:t>
        </w:r>
        <w:r w:rsidR="00E36D8A" w:rsidRPr="00284E91">
          <w:rPr>
            <w:rStyle w:val="Hyperlink"/>
            <w:rFonts w:hint="eastAsia"/>
            <w:noProof/>
            <w:rtl/>
          </w:rPr>
          <w:t>قبل</w:t>
        </w:r>
        <w:r w:rsidR="00E36D8A" w:rsidRPr="00284E91">
          <w:rPr>
            <w:rStyle w:val="Hyperlink"/>
            <w:noProof/>
            <w:rtl/>
          </w:rPr>
          <w:t xml:space="preserve"> </w:t>
        </w:r>
        <w:r w:rsidR="00E36D8A" w:rsidRPr="00284E91">
          <w:rPr>
            <w:rStyle w:val="Hyperlink"/>
            <w:rFonts w:hint="eastAsia"/>
            <w:noProof/>
            <w:rtl/>
          </w:rPr>
          <w:t>از</w:t>
        </w:r>
        <w:r w:rsidR="00E36D8A" w:rsidRPr="00284E91">
          <w:rPr>
            <w:rStyle w:val="Hyperlink"/>
            <w:noProof/>
            <w:rtl/>
          </w:rPr>
          <w:t xml:space="preserve"> </w:t>
        </w:r>
        <w:r w:rsidR="00E36D8A" w:rsidRPr="00284E91">
          <w:rPr>
            <w:rStyle w:val="Hyperlink"/>
            <w:rFonts w:hint="eastAsia"/>
            <w:noProof/>
            <w:rtl/>
          </w:rPr>
          <w:t>طواف</w:t>
        </w:r>
        <w:r w:rsidR="00E36D8A" w:rsidRPr="00284E91">
          <w:rPr>
            <w:rStyle w:val="Hyperlink"/>
            <w:noProof/>
            <w:rtl/>
          </w:rPr>
          <w:t>)</w:t>
        </w:r>
        <w:r w:rsidR="00E36D8A">
          <w:rPr>
            <w:noProof/>
            <w:webHidden/>
            <w:rtl/>
          </w:rPr>
          <w:tab/>
        </w:r>
        <w:r w:rsidR="00E36D8A">
          <w:rPr>
            <w:noProof/>
            <w:webHidden/>
            <w:rtl/>
          </w:rPr>
          <w:fldChar w:fldCharType="begin"/>
        </w:r>
        <w:r w:rsidR="00E36D8A">
          <w:rPr>
            <w:noProof/>
            <w:webHidden/>
            <w:rtl/>
          </w:rPr>
          <w:instrText xml:space="preserve"> </w:instrText>
        </w:r>
        <w:r w:rsidR="00E36D8A">
          <w:rPr>
            <w:noProof/>
            <w:webHidden/>
          </w:rPr>
          <w:instrText>PAGEREF</w:instrText>
        </w:r>
        <w:r w:rsidR="00E36D8A">
          <w:rPr>
            <w:noProof/>
            <w:webHidden/>
            <w:rtl/>
          </w:rPr>
          <w:instrText xml:space="preserve"> _</w:instrText>
        </w:r>
        <w:r w:rsidR="00E36D8A">
          <w:rPr>
            <w:noProof/>
            <w:webHidden/>
          </w:rPr>
          <w:instrText>Toc</w:instrText>
        </w:r>
        <w:r w:rsidR="00E36D8A">
          <w:rPr>
            <w:noProof/>
            <w:webHidden/>
            <w:rtl/>
          </w:rPr>
          <w:instrText xml:space="preserve">22408723 </w:instrText>
        </w:r>
        <w:r w:rsidR="00E36D8A">
          <w:rPr>
            <w:noProof/>
            <w:webHidden/>
          </w:rPr>
          <w:instrText>\h</w:instrText>
        </w:r>
        <w:r w:rsidR="00E36D8A">
          <w:rPr>
            <w:noProof/>
            <w:webHidden/>
            <w:rtl/>
          </w:rPr>
          <w:instrText xml:space="preserve"> </w:instrText>
        </w:r>
        <w:r w:rsidR="00E36D8A">
          <w:rPr>
            <w:noProof/>
            <w:webHidden/>
            <w:rtl/>
          </w:rPr>
        </w:r>
        <w:r w:rsidR="00E36D8A">
          <w:rPr>
            <w:noProof/>
            <w:webHidden/>
            <w:rtl/>
          </w:rPr>
          <w:fldChar w:fldCharType="separate"/>
        </w:r>
        <w:r w:rsidR="00E36D8A">
          <w:rPr>
            <w:noProof/>
            <w:webHidden/>
            <w:rtl/>
          </w:rPr>
          <w:t>2</w:t>
        </w:r>
        <w:r w:rsidR="00E36D8A">
          <w:rPr>
            <w:noProof/>
            <w:webHidden/>
            <w:rtl/>
          </w:rPr>
          <w:fldChar w:fldCharType="end"/>
        </w:r>
      </w:hyperlink>
    </w:p>
    <w:p w:rsidR="00E36D8A" w:rsidRDefault="00E36D8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2408724" w:history="1">
        <w:r w:rsidRPr="00284E91">
          <w:rPr>
            <w:rStyle w:val="Hyperlink"/>
            <w:rFonts w:hint="eastAsia"/>
            <w:noProof/>
            <w:rtl/>
          </w:rPr>
          <w:t>مسأله</w:t>
        </w:r>
        <w:r w:rsidRPr="00284E91">
          <w:rPr>
            <w:rStyle w:val="Hyperlink"/>
            <w:noProof/>
            <w:rtl/>
          </w:rPr>
          <w:t xml:space="preserve"> 2: </w:t>
        </w:r>
        <w:r w:rsidRPr="00284E91">
          <w:rPr>
            <w:rStyle w:val="Hyperlink"/>
            <w:rFonts w:hint="eastAsia"/>
            <w:noProof/>
            <w:rtl/>
          </w:rPr>
          <w:t>عدم</w:t>
        </w:r>
        <w:r w:rsidRPr="00284E91">
          <w:rPr>
            <w:rStyle w:val="Hyperlink"/>
            <w:noProof/>
            <w:rtl/>
          </w:rPr>
          <w:t xml:space="preserve"> </w:t>
        </w:r>
        <w:r w:rsidRPr="00284E91">
          <w:rPr>
            <w:rStyle w:val="Hyperlink"/>
            <w:rFonts w:hint="eastAsia"/>
            <w:noProof/>
            <w:rtl/>
          </w:rPr>
          <w:t>إعتبار</w:t>
        </w:r>
        <w:r w:rsidRPr="00284E91">
          <w:rPr>
            <w:rStyle w:val="Hyperlink"/>
            <w:noProof/>
            <w:rtl/>
          </w:rPr>
          <w:t xml:space="preserve"> </w:t>
        </w:r>
        <w:r w:rsidRPr="00284E91">
          <w:rPr>
            <w:rStyle w:val="Hyperlink"/>
            <w:rFonts w:hint="eastAsia"/>
            <w:noProof/>
            <w:rtl/>
          </w:rPr>
          <w:t>قصد</w:t>
        </w:r>
        <w:r w:rsidRPr="00284E91">
          <w:rPr>
            <w:rStyle w:val="Hyperlink"/>
            <w:noProof/>
            <w:rtl/>
          </w:rPr>
          <w:t xml:space="preserve"> </w:t>
        </w:r>
        <w:r w:rsidRPr="00284E91">
          <w:rPr>
            <w:rStyle w:val="Hyperlink"/>
            <w:rFonts w:hint="eastAsia"/>
            <w:noProof/>
            <w:rtl/>
          </w:rPr>
          <w:t>قربت</w:t>
        </w:r>
        <w:r w:rsidRPr="00284E91">
          <w:rPr>
            <w:rStyle w:val="Hyperlink"/>
            <w:noProof/>
            <w:rtl/>
          </w:rPr>
          <w:t xml:space="preserve"> </w:t>
        </w:r>
        <w:r w:rsidRPr="00284E91">
          <w:rPr>
            <w:rStyle w:val="Hyperlink"/>
            <w:rFonts w:hint="eastAsia"/>
            <w:noProof/>
            <w:rtl/>
          </w:rPr>
          <w:t>در</w:t>
        </w:r>
        <w:r w:rsidRPr="00284E91">
          <w:rPr>
            <w:rStyle w:val="Hyperlink"/>
            <w:noProof/>
            <w:rtl/>
          </w:rPr>
          <w:t xml:space="preserve"> </w:t>
        </w:r>
        <w:r w:rsidRPr="00284E91">
          <w:rPr>
            <w:rStyle w:val="Hyperlink"/>
            <w:rFonts w:hint="eastAsia"/>
            <w:noProof/>
            <w:rtl/>
          </w:rPr>
          <w:t>تحن</w:t>
        </w:r>
        <w:r w:rsidRPr="00284E91">
          <w:rPr>
            <w:rStyle w:val="Hyperlink"/>
            <w:rFonts w:hint="cs"/>
            <w:noProof/>
            <w:rtl/>
          </w:rPr>
          <w:t>ی</w:t>
        </w:r>
        <w:r w:rsidRPr="00284E91">
          <w:rPr>
            <w:rStyle w:val="Hyperlink"/>
            <w:rFonts w:hint="eastAsia"/>
            <w:noProof/>
            <w:rtl/>
          </w:rPr>
          <w:t>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22408724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36D8A" w:rsidRDefault="00E36D8A">
      <w:pPr>
        <w:pStyle w:val="TOC4"/>
        <w:tabs>
          <w:tab w:val="right" w:leader="dot" w:pos="10194"/>
        </w:tabs>
        <w:rPr>
          <w:rFonts w:asciiTheme="minorHAnsi" w:eastAsiaTheme="minorEastAsia" w:hAnsiTheme="minorHAnsi" w:cstheme="minorBidi"/>
          <w:bCs w:val="0"/>
          <w:noProof/>
          <w:color w:val="auto"/>
          <w:szCs w:val="22"/>
          <w:rtl/>
          <w:lang w:bidi="ar-SA"/>
        </w:rPr>
      </w:pPr>
      <w:hyperlink w:anchor="_Toc22408725" w:history="1">
        <w:r w:rsidRPr="00284E91">
          <w:rPr>
            <w:rStyle w:val="Hyperlink"/>
            <w:rFonts w:hint="eastAsia"/>
            <w:noProof/>
            <w:rtl/>
          </w:rPr>
          <w:t>فرع</w:t>
        </w:r>
        <w:r w:rsidRPr="00284E91">
          <w:rPr>
            <w:rStyle w:val="Hyperlink"/>
            <w:noProof/>
            <w:rtl/>
          </w:rPr>
          <w:t xml:space="preserve">: </w:t>
        </w:r>
        <w:r w:rsidRPr="00284E91">
          <w:rPr>
            <w:rStyle w:val="Hyperlink"/>
            <w:rFonts w:hint="eastAsia"/>
            <w:noProof/>
            <w:rtl/>
          </w:rPr>
          <w:t>حکم</w:t>
        </w:r>
        <w:r w:rsidRPr="00284E91">
          <w:rPr>
            <w:rStyle w:val="Hyperlink"/>
            <w:noProof/>
            <w:rtl/>
          </w:rPr>
          <w:t xml:space="preserve"> </w:t>
        </w:r>
        <w:r w:rsidRPr="00284E91">
          <w:rPr>
            <w:rStyle w:val="Hyperlink"/>
            <w:rFonts w:hint="eastAsia"/>
            <w:noProof/>
            <w:rtl/>
          </w:rPr>
          <w:t>تحن</w:t>
        </w:r>
        <w:r w:rsidRPr="00284E91">
          <w:rPr>
            <w:rStyle w:val="Hyperlink"/>
            <w:rFonts w:hint="cs"/>
            <w:noProof/>
            <w:rtl/>
          </w:rPr>
          <w:t>ی</w:t>
        </w:r>
        <w:r w:rsidRPr="00284E91">
          <w:rPr>
            <w:rStyle w:val="Hyperlink"/>
            <w:rFonts w:hint="eastAsia"/>
            <w:noProof/>
            <w:rtl/>
          </w:rPr>
          <w:t>ط</w:t>
        </w:r>
        <w:r w:rsidRPr="00284E91">
          <w:rPr>
            <w:rStyle w:val="Hyperlink"/>
            <w:noProof/>
            <w:rtl/>
          </w:rPr>
          <w:t xml:space="preserve"> </w:t>
        </w:r>
        <w:r w:rsidRPr="00284E91">
          <w:rPr>
            <w:rStyle w:val="Hyperlink"/>
            <w:rFonts w:hint="eastAsia"/>
            <w:noProof/>
            <w:rtl/>
          </w:rPr>
          <w:t>م</w:t>
        </w:r>
        <w:r w:rsidRPr="00284E91">
          <w:rPr>
            <w:rStyle w:val="Hyperlink"/>
            <w:rFonts w:hint="cs"/>
            <w:noProof/>
            <w:rtl/>
          </w:rPr>
          <w:t>یّ</w:t>
        </w:r>
        <w:r w:rsidRPr="00284E91">
          <w:rPr>
            <w:rStyle w:val="Hyperlink"/>
            <w:rFonts w:hint="eastAsia"/>
            <w:noProof/>
            <w:rtl/>
          </w:rPr>
          <w:t>ت</w:t>
        </w:r>
        <w:r w:rsidRPr="00284E91">
          <w:rPr>
            <w:rStyle w:val="Hyperlink"/>
            <w:noProof/>
            <w:rtl/>
          </w:rPr>
          <w:t xml:space="preserve"> </w:t>
        </w:r>
        <w:r w:rsidRPr="00284E91">
          <w:rPr>
            <w:rStyle w:val="Hyperlink"/>
            <w:rFonts w:hint="eastAsia"/>
            <w:noProof/>
            <w:rtl/>
          </w:rPr>
          <w:t>بواسطه</w:t>
        </w:r>
        <w:r w:rsidRPr="00284E91">
          <w:rPr>
            <w:rStyle w:val="Hyperlink"/>
            <w:noProof/>
            <w:rtl/>
          </w:rPr>
          <w:t xml:space="preserve"> </w:t>
        </w:r>
        <w:r w:rsidRPr="00284E91">
          <w:rPr>
            <w:rStyle w:val="Hyperlink"/>
            <w:rFonts w:hint="eastAsia"/>
            <w:noProof/>
            <w:rtl/>
          </w:rPr>
          <w:t>صب</w:t>
        </w:r>
        <w:r w:rsidRPr="00284E9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22408725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E36D8A" w:rsidRDefault="00E36D8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2408726" w:history="1">
        <w:r w:rsidRPr="00284E91">
          <w:rPr>
            <w:rStyle w:val="Hyperlink"/>
            <w:rFonts w:hint="eastAsia"/>
            <w:noProof/>
            <w:rtl/>
          </w:rPr>
          <w:t>مسأله</w:t>
        </w:r>
        <w:r w:rsidRPr="00284E91">
          <w:rPr>
            <w:rStyle w:val="Hyperlink"/>
            <w:noProof/>
            <w:rtl/>
          </w:rPr>
          <w:t xml:space="preserve"> 3: </w:t>
        </w:r>
        <w:r w:rsidRPr="00284E91">
          <w:rPr>
            <w:rStyle w:val="Hyperlink"/>
            <w:rFonts w:hint="eastAsia"/>
            <w:noProof/>
            <w:rtl/>
          </w:rPr>
          <w:t>مقدار</w:t>
        </w:r>
        <w:r w:rsidRPr="00284E91">
          <w:rPr>
            <w:rStyle w:val="Hyperlink"/>
            <w:noProof/>
            <w:rtl/>
          </w:rPr>
          <w:t xml:space="preserve"> </w:t>
        </w:r>
        <w:r w:rsidRPr="00284E91">
          <w:rPr>
            <w:rStyle w:val="Hyperlink"/>
            <w:rFonts w:hint="eastAsia"/>
            <w:noProof/>
            <w:rtl/>
          </w:rPr>
          <w:t>کافور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22408726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520A48" w:rsidP="00C91EB6">
      <w:r>
        <w:rPr>
          <w:rStyle w:val="Hyperlink"/>
          <w:rFonts w:ascii="Noor_Lotus" w:hAnsi="Noor_Lotus" w:cs="B Titr"/>
          <w:noProof/>
          <w:szCs w:val="24"/>
        </w:rPr>
        <w:fldChar w:fldCharType="end"/>
      </w:r>
    </w:p>
    <w:p w:rsidR="003A6148" w:rsidRDefault="00F842AD" w:rsidP="00E36D8A">
      <w:pPr>
        <w:rPr>
          <w:rtl/>
        </w:rPr>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015796">
        <w:rPr>
          <w:rFonts w:hint="cs"/>
          <w:rtl/>
        </w:rPr>
        <w:t>احکام</w:t>
      </w:r>
      <w:r w:rsidR="00015796">
        <w:rPr>
          <w:rtl/>
        </w:rPr>
        <w:t xml:space="preserve"> </w:t>
      </w:r>
      <w:r w:rsidR="00015796">
        <w:rPr>
          <w:rFonts w:hint="cs"/>
          <w:rtl/>
        </w:rPr>
        <w:t>اموات</w:t>
      </w:r>
      <w:r w:rsidR="00724537">
        <w:rPr>
          <w:rFonts w:hint="cs"/>
          <w:rtl/>
        </w:rPr>
        <w:t>/</w:t>
      </w:r>
      <w:bookmarkStart w:id="1" w:name="BokSabj_d"/>
      <w:bookmarkEnd w:id="1"/>
      <w:r w:rsidR="00AF25B9">
        <w:rPr>
          <w:rFonts w:hint="cs"/>
          <w:rtl/>
        </w:rPr>
        <w:t>حنوط</w:t>
      </w:r>
      <w:r w:rsidR="00596C1E">
        <w:rPr>
          <w:rFonts w:hint="cs"/>
          <w:rtl/>
        </w:rPr>
        <w:t xml:space="preserve"> </w:t>
      </w:r>
      <w:r w:rsidR="00724537">
        <w:rPr>
          <w:rFonts w:hint="cs"/>
          <w:rtl/>
        </w:rPr>
        <w:t>/</w:t>
      </w:r>
      <w:bookmarkStart w:id="2" w:name="BokSabj2_d"/>
      <w:bookmarkEnd w:id="2"/>
      <w:r w:rsidR="00AF25B9">
        <w:rPr>
          <w:rFonts w:hint="cs"/>
          <w:rtl/>
        </w:rPr>
        <w:t xml:space="preserve"> </w:t>
      </w:r>
      <w:r w:rsidR="00E36D8A">
        <w:rPr>
          <w:rFonts w:hint="cs"/>
          <w:rtl/>
        </w:rPr>
        <w:t>مسائل</w:t>
      </w:r>
      <w:r w:rsidR="001B6799">
        <w:rPr>
          <w:rFonts w:hint="cs"/>
          <w:rtl/>
        </w:rPr>
        <w:t xml:space="preserve"> </w:t>
      </w:r>
    </w:p>
    <w:p w:rsidR="00520A48" w:rsidRDefault="00520A48" w:rsidP="003A6148">
      <w:pPr>
        <w:pBdr>
          <w:bottom w:val="double" w:sz="6" w:space="1" w:color="auto"/>
        </w:pBdr>
      </w:pPr>
    </w:p>
    <w:p w:rsidR="00E36D8A" w:rsidRDefault="00E36D8A" w:rsidP="00E36D8A">
      <w:pPr>
        <w:rPr>
          <w:rtl/>
          <w:lang w:bidi="ar-SA"/>
        </w:rPr>
      </w:pPr>
      <w:r w:rsidRPr="00E36D8A">
        <w:rPr>
          <w:rFonts w:hint="cs"/>
          <w:rtl/>
          <w:lang w:bidi="ar-SA"/>
        </w:rPr>
        <w:t>بسم الله الرّحمن الرّحیم</w:t>
      </w:r>
      <w:r w:rsidRPr="00E36D8A">
        <w:rPr>
          <w:rFonts w:hint="cs"/>
          <w:rtl/>
          <w:lang w:bidi="ar-SA"/>
        </w:rPr>
        <w:tab/>
      </w:r>
      <w:r w:rsidRPr="00E36D8A">
        <w:rPr>
          <w:rFonts w:hint="cs"/>
          <w:rtl/>
          <w:lang w:bidi="ar-SA"/>
        </w:rPr>
        <w:tab/>
      </w:r>
      <w:r w:rsidRPr="00E36D8A">
        <w:rPr>
          <w:rFonts w:hint="cs"/>
          <w:rtl/>
          <w:lang w:bidi="ar-SA"/>
        </w:rPr>
        <w:tab/>
      </w:r>
      <w:r w:rsidRPr="00E36D8A">
        <w:rPr>
          <w:rFonts w:hint="cs"/>
          <w:rtl/>
          <w:lang w:bidi="ar-SA"/>
        </w:rPr>
        <w:tab/>
      </w:r>
      <w:r w:rsidRPr="00E36D8A">
        <w:rPr>
          <w:rFonts w:hint="cs"/>
          <w:rtl/>
          <w:lang w:bidi="ar-SA"/>
        </w:rPr>
        <w:tab/>
      </w:r>
      <w:r w:rsidRPr="00E36D8A">
        <w:rPr>
          <w:rFonts w:hint="cs"/>
          <w:rtl/>
          <w:lang w:bidi="ar-SA"/>
        </w:rPr>
        <w:tab/>
      </w:r>
      <w:r w:rsidRPr="00E36D8A">
        <w:rPr>
          <w:rFonts w:hint="cs"/>
          <w:rtl/>
          <w:lang w:bidi="ar-SA"/>
        </w:rPr>
        <w:tab/>
      </w:r>
      <w:r w:rsidRPr="00E36D8A">
        <w:rPr>
          <w:rFonts w:hint="cs"/>
          <w:rtl/>
          <w:lang w:bidi="ar-SA"/>
        </w:rPr>
        <w:tab/>
        <w:t xml:space="preserve">19/8/1395 </w:t>
      </w:r>
      <w:r w:rsidRPr="00E36D8A">
        <w:rPr>
          <w:rFonts w:ascii="Times New Roman" w:hAnsi="Times New Roman" w:cs="Times New Roman" w:hint="cs"/>
          <w:rtl/>
          <w:lang w:bidi="ar-SA"/>
        </w:rPr>
        <w:t>–</w:t>
      </w:r>
      <w:r w:rsidRPr="00E36D8A">
        <w:rPr>
          <w:rFonts w:hint="cs"/>
          <w:rtl/>
          <w:lang w:bidi="ar-SA"/>
        </w:rPr>
        <w:t xml:space="preserve">  چهارشنبه </w:t>
      </w:r>
      <w:r w:rsidRPr="00E36D8A">
        <w:rPr>
          <w:rFonts w:ascii="Times New Roman" w:hAnsi="Times New Roman" w:cs="Times New Roman" w:hint="cs"/>
          <w:rtl/>
          <w:lang w:bidi="ar-SA"/>
        </w:rPr>
        <w:t>–</w:t>
      </w:r>
      <w:r w:rsidRPr="00E36D8A">
        <w:rPr>
          <w:rFonts w:hint="cs"/>
          <w:rtl/>
          <w:lang w:bidi="ar-SA"/>
        </w:rPr>
        <w:t xml:space="preserve"> ج35</w:t>
      </w:r>
    </w:p>
    <w:p w:rsidR="00E36D8A" w:rsidRDefault="00E36D8A" w:rsidP="00E36D8A">
      <w:pPr>
        <w:rPr>
          <w:rFonts w:hint="cs"/>
          <w:rtl/>
        </w:rPr>
      </w:pPr>
      <w:r>
        <w:rPr>
          <w:rFonts w:hint="cs"/>
          <w:rtl/>
        </w:rPr>
        <w:t>بحث به اینجا رسید که مرحوم سی</w:t>
      </w:r>
      <w:r>
        <w:rPr>
          <w:rFonts w:hint="cs"/>
          <w:rtl/>
        </w:rPr>
        <w:t>ّ</w:t>
      </w:r>
      <w:r>
        <w:rPr>
          <w:rFonts w:hint="cs"/>
          <w:rtl/>
        </w:rPr>
        <w:t>د فرمود (و یشترط فی الکافور أن یکون طاهرا)، گفتیم وجهش انصراف است. و همچنین با توجه به روایاتی که فرموده نباید کفن میّت، نجس بماند، فهمیده می</w:t>
      </w:r>
      <w:r>
        <w:rPr>
          <w:rFonts w:hint="cs"/>
          <w:rtl/>
        </w:rPr>
        <w:softHyphen/>
        <w:t>شود که نباید کافور نجس باشد. و روایاتی که گفته کافور پیامبر را از بهشت آوردند، مؤیّد این است</w:t>
      </w:r>
      <w:bookmarkStart w:id="3" w:name="_GoBack"/>
      <w:bookmarkEnd w:id="3"/>
      <w:r>
        <w:rPr>
          <w:rFonts w:hint="cs"/>
          <w:rtl/>
        </w:rPr>
        <w:t xml:space="preserve"> که نسبت به کافور یک اهتمامی هست، که در این صورت اگر بگوئیم حنوط با کافور نجس، اشکالی ندارد، ذوق فقهی این را نمی</w:t>
      </w:r>
      <w:r>
        <w:rPr>
          <w:rtl/>
        </w:rPr>
        <w:softHyphen/>
      </w:r>
      <w:r>
        <w:rPr>
          <w:rFonts w:hint="cs"/>
          <w:rtl/>
        </w:rPr>
        <w:t>پسندد. نسبت به کافور یک اهتمامی هست، و اهتمام هم مناسبت به طهارت کافور دارد. مرحوم حکیم</w:t>
      </w:r>
      <w:r>
        <w:rPr>
          <w:rStyle w:val="FootnoteReference"/>
          <w:rFonts w:cs="B Lotus"/>
          <w:rtl/>
        </w:rPr>
        <w:footnoteReference w:id="1"/>
      </w:r>
      <w:r>
        <w:rPr>
          <w:rFonts w:hint="cs"/>
          <w:rtl/>
        </w:rPr>
        <w:t xml:space="preserve"> فرموده فقهاء متعرّض این شرط نشده</w:t>
      </w:r>
      <w:r>
        <w:rPr>
          <w:rtl/>
        </w:rPr>
        <w:softHyphen/>
      </w:r>
      <w:r>
        <w:rPr>
          <w:rFonts w:hint="cs"/>
          <w:rtl/>
        </w:rPr>
        <w:t>اند، ولی یک مسأله</w:t>
      </w:r>
      <w:r>
        <w:rPr>
          <w:rFonts w:hint="cs"/>
          <w:rtl/>
        </w:rPr>
        <w:softHyphen/>
        <w:t>ای اجماعی است. که مرحوم خوئی</w:t>
      </w:r>
      <w:r>
        <w:rPr>
          <w:rStyle w:val="FootnoteReference"/>
          <w:rFonts w:cs="B Lotus"/>
          <w:rtl/>
        </w:rPr>
        <w:footnoteReference w:id="2"/>
      </w:r>
      <w:r>
        <w:rPr>
          <w:rFonts w:hint="cs"/>
          <w:rtl/>
        </w:rPr>
        <w:t xml:space="preserve"> اشکال کرده چه طور متعرّض نشده</w:t>
      </w:r>
      <w:r>
        <w:rPr>
          <w:rtl/>
        </w:rPr>
        <w:softHyphen/>
      </w:r>
      <w:r>
        <w:rPr>
          <w:rFonts w:hint="cs"/>
          <w:rtl/>
        </w:rPr>
        <w:t>اند، ولی اجماعی است. که می</w:t>
      </w:r>
      <w:r>
        <w:rPr>
          <w:rFonts w:hint="cs"/>
          <w:rtl/>
        </w:rPr>
        <w:softHyphen/>
        <w:t>گوئیم مراد مرحوم حکیم از اینکه فرموده اجماعی است، یعنی واضح است.</w:t>
      </w:r>
    </w:p>
    <w:p w:rsidR="00E36D8A" w:rsidRDefault="00E36D8A" w:rsidP="00E36D8A">
      <w:pPr>
        <w:rPr>
          <w:rFonts w:hint="cs"/>
          <w:rtl/>
        </w:rPr>
      </w:pPr>
      <w:r>
        <w:rPr>
          <w:rFonts w:hint="cs"/>
          <w:rtl/>
        </w:rPr>
        <w:t>و همچنین شرط است که کافور، غصبی نباشد؛ چون در مال غصبی، امر به ردّ داریم، و چیزی که امر به ردّ دارد، معنی ندارد که بگوید  با آن حنوط کنید. در باب اجتماع امر و نهی، لا تغصب مقدّم است.</w:t>
      </w:r>
    </w:p>
    <w:p w:rsidR="00E36D8A" w:rsidRDefault="00E36D8A" w:rsidP="00E36D8A">
      <w:pPr>
        <w:rPr>
          <w:rFonts w:hint="cs"/>
          <w:rtl/>
        </w:rPr>
      </w:pPr>
      <w:r>
        <w:rPr>
          <w:rFonts w:hint="cs"/>
          <w:rtl/>
        </w:rPr>
        <w:t>و همچنین باید کافور، جدیدی باشد. جدید باشد، یعنی آن قدر کهنه نباشد که بویش رفته باشد؛ چون کافور را که استعمال می</w:t>
      </w:r>
      <w:r>
        <w:rPr>
          <w:rtl/>
        </w:rPr>
        <w:softHyphen/>
      </w:r>
      <w:r>
        <w:rPr>
          <w:rFonts w:hint="cs"/>
          <w:rtl/>
        </w:rPr>
        <w:t>کنند؛ به هدف آن بویش هست؛ یا از این جهت که بوی کافور، سبب می</w:t>
      </w:r>
      <w:r>
        <w:rPr>
          <w:rtl/>
        </w:rPr>
        <w:softHyphen/>
      </w:r>
      <w:r>
        <w:rPr>
          <w:rFonts w:hint="cs"/>
          <w:rtl/>
        </w:rPr>
        <w:t>شود که بعضی حیوانات به میّت، نزدیک نشوند؛ یا یک نوع احترام است برای میّت؛ چون یک نوع تطیّب است. البته اگر عتیق باشد، ولی بو داشته باشد، کافی است. در روایات گفته که بعنوان حنوط، کافور بمالید؛ و در حنوط، بو داشتن، خوابیده است.</w:t>
      </w:r>
    </w:p>
    <w:p w:rsidR="00E36D8A" w:rsidRPr="004E2299" w:rsidRDefault="00E36D8A" w:rsidP="00E36D8A">
      <w:pPr>
        <w:rPr>
          <w:rFonts w:hint="cs"/>
          <w:rtl/>
        </w:rPr>
      </w:pPr>
      <w:r>
        <w:rPr>
          <w:rFonts w:hint="cs"/>
          <w:rtl/>
        </w:rPr>
        <w:lastRenderedPageBreak/>
        <w:t>و شرط است که کافور، مسحوق باشد؛ بخاطر اینکه می</w:t>
      </w:r>
      <w:r>
        <w:rPr>
          <w:rtl/>
        </w:rPr>
        <w:softHyphen/>
      </w:r>
      <w:r>
        <w:rPr>
          <w:rFonts w:hint="cs"/>
          <w:rtl/>
        </w:rPr>
        <w:t>خواهید مسح بکنید، باید مسحوق باشد؛ و اگر به صورت آرد نباشد، نمی</w:t>
      </w:r>
      <w:r>
        <w:rPr>
          <w:rtl/>
        </w:rPr>
        <w:softHyphen/>
      </w:r>
      <w:r>
        <w:rPr>
          <w:rFonts w:hint="cs"/>
          <w:rtl/>
        </w:rPr>
        <w:t>شود مسح کرد؛ مسح شدن، توقف بر آرد شدن دارد. که این مقدار شاید کافی نباشد، اگر کسی از این جهت نتوانست مسحوق بودن را درست کند؛ می</w:t>
      </w:r>
      <w:r>
        <w:rPr>
          <w:rtl/>
        </w:rPr>
        <w:softHyphen/>
      </w:r>
      <w:r>
        <w:rPr>
          <w:rFonts w:hint="cs"/>
          <w:rtl/>
        </w:rPr>
        <w:t>گوئیم در مرسله یونس، مسحوق آمده است. (ثم اعمد الی کافور مسحوق).</w:t>
      </w:r>
      <w:r>
        <w:rPr>
          <w:rStyle w:val="FootnoteReference"/>
          <w:rFonts w:cs="B Lotus"/>
          <w:rtl/>
        </w:rPr>
        <w:footnoteReference w:id="3"/>
      </w:r>
      <w:r>
        <w:rPr>
          <w:rFonts w:hint="cs"/>
          <w:rtl/>
        </w:rPr>
        <w:t xml:space="preserve"> مضافاً که مناسب میّت هم همین است، چون اگر درشت باشد، و مسح بکنید، سبب أذیت میّت می</w:t>
      </w:r>
      <w:r>
        <w:rPr>
          <w:rtl/>
        </w:rPr>
        <w:softHyphen/>
      </w:r>
      <w:r>
        <w:rPr>
          <w:rFonts w:hint="cs"/>
          <w:rtl/>
        </w:rPr>
        <w:t>شود؛ و شارع هم راضی نیست که میّت أذیت شود. اینکه مرحوم خوئی در بعض جاها می</w:t>
      </w:r>
      <w:r>
        <w:rPr>
          <w:rtl/>
        </w:rPr>
        <w:softHyphen/>
      </w:r>
      <w:r>
        <w:rPr>
          <w:rFonts w:hint="cs"/>
          <w:rtl/>
        </w:rPr>
        <w:t>گوید مرسله یونس، منافات با معتبره بودن آن ندارد؛ یعنی مرسله</w:t>
      </w:r>
      <w:r>
        <w:rPr>
          <w:rtl/>
        </w:rPr>
        <w:softHyphen/>
      </w:r>
      <w:r>
        <w:rPr>
          <w:rFonts w:hint="cs"/>
          <w:rtl/>
        </w:rPr>
        <w:t>ای است که مرحوم خوئی آن را قبول دارد. لذا کلام معلِّق تنقیح، نادرست است؛ که اشکال می</w:t>
      </w:r>
      <w:r>
        <w:rPr>
          <w:rtl/>
        </w:rPr>
        <w:softHyphen/>
      </w:r>
      <w:r>
        <w:rPr>
          <w:rFonts w:hint="cs"/>
          <w:rtl/>
        </w:rPr>
        <w:t>کند چرا در اینجا می</w:t>
      </w:r>
      <w:r>
        <w:rPr>
          <w:rtl/>
        </w:rPr>
        <w:softHyphen/>
      </w:r>
      <w:r>
        <w:rPr>
          <w:rFonts w:hint="cs"/>
          <w:rtl/>
        </w:rPr>
        <w:t>گوئید مرسله یونس، ولی بعد می</w:t>
      </w:r>
      <w:r>
        <w:rPr>
          <w:rtl/>
        </w:rPr>
        <w:softHyphen/>
      </w:r>
      <w:r>
        <w:rPr>
          <w:rFonts w:hint="cs"/>
          <w:rtl/>
        </w:rPr>
        <w:t>گوئید معتبره یونس.</w:t>
      </w:r>
      <w:bookmarkStart w:id="4" w:name="_Toc22320884"/>
    </w:p>
    <w:p w:rsidR="00E36D8A" w:rsidRPr="00343623" w:rsidRDefault="00E36D8A" w:rsidP="00E36D8A">
      <w:pPr>
        <w:pStyle w:val="Heading3"/>
        <w:rPr>
          <w:rFonts w:ascii="Noor_Titr" w:hAnsi="Noor_Titr" w:hint="cs"/>
          <w:color w:val="286564"/>
          <w:rtl/>
        </w:rPr>
      </w:pPr>
      <w:bookmarkStart w:id="5" w:name="_Toc22408723"/>
      <w:r>
        <w:rPr>
          <w:rFonts w:hint="cs"/>
          <w:rtl/>
        </w:rPr>
        <w:t>مسأله 1:</w:t>
      </w:r>
      <w:bookmarkEnd w:id="4"/>
      <w:r>
        <w:rPr>
          <w:rFonts w:hint="cs"/>
          <w:rtl/>
        </w:rPr>
        <w:t xml:space="preserve"> عدم فرق بین أقسام میّت در وجوب حنوط (استثناء محرم قبل از طواف)</w:t>
      </w:r>
      <w:bookmarkEnd w:id="5"/>
    </w:p>
    <w:p w:rsidR="00E36D8A" w:rsidRDefault="00E36D8A" w:rsidP="00E36D8A">
      <w:pPr>
        <w:pStyle w:val="NormalWeb"/>
        <w:bidi/>
        <w:spacing w:line="276" w:lineRule="auto"/>
        <w:jc w:val="both"/>
        <w:rPr>
          <w:rFonts w:ascii="Noor_Lotus" w:hAnsi="Noor_Lotus" w:cs="Noor_Lotus" w:hint="cs"/>
          <w:color w:val="000000"/>
          <w:sz w:val="30"/>
          <w:szCs w:val="30"/>
          <w:rtl/>
        </w:rPr>
      </w:pPr>
      <w:r w:rsidRPr="00E36D8A">
        <w:rPr>
          <w:rStyle w:val="SubtleEmphasis"/>
          <w:rFonts w:hint="cs"/>
          <w:rtl/>
        </w:rPr>
        <w:t>مسألة 1: لا فرق في وجوب الحنوط بين الصغير و الكبير</w:t>
      </w:r>
      <w:r w:rsidRPr="00E36D8A">
        <w:rPr>
          <w:rStyle w:val="SubtleEmphasis"/>
          <w:rFonts w:hint="cs"/>
        </w:rPr>
        <w:t>‌</w:t>
      </w:r>
      <w:r w:rsidRPr="00E36D8A">
        <w:rPr>
          <w:rStyle w:val="SubtleEmphasis"/>
          <w:rFonts w:hint="cs"/>
          <w:rtl/>
        </w:rPr>
        <w:t xml:space="preserve"> و الأنثى و الخنثى و الذكر و الحر و العبد نعم لا يجوز تحنيط المحرم قبل إتيانه بالطواف كما مر و لا يلحق به التي في العدة و لا المعتكف و إن كان يحرم عليهما استعمال الطيب حال الحياة‌</w:t>
      </w:r>
      <w:r>
        <w:rPr>
          <w:rFonts w:ascii="Noor_Lotus" w:hAnsi="Noor_Lotus" w:cs="Noor_Lotus" w:hint="cs"/>
          <w:color w:val="000000"/>
          <w:sz w:val="30"/>
          <w:szCs w:val="30"/>
          <w:rtl/>
        </w:rPr>
        <w:t>.</w:t>
      </w:r>
      <w:r>
        <w:rPr>
          <w:rStyle w:val="FootnoteReference"/>
          <w:rFonts w:ascii="Noor_Lotus" w:hAnsi="Noor_Lotus" w:cs="Noor_Lotus"/>
          <w:color w:val="000000"/>
          <w:sz w:val="30"/>
          <w:szCs w:val="30"/>
          <w:rtl/>
        </w:rPr>
        <w:footnoteReference w:id="4"/>
      </w:r>
    </w:p>
    <w:p w:rsidR="00E36D8A" w:rsidRDefault="00E36D8A" w:rsidP="00E36D8A">
      <w:pPr>
        <w:rPr>
          <w:rFonts w:hint="cs"/>
          <w:color w:val="00B050"/>
          <w:rtl/>
        </w:rPr>
      </w:pPr>
      <w:r>
        <w:rPr>
          <w:rFonts w:hint="cs"/>
          <w:rtl/>
        </w:rPr>
        <w:t xml:space="preserve">در وجوب حنوط، فرقی بین صغیر و کبیر، مرد و زن و خنثی، حرّ و عبد، وجود ندارد. </w:t>
      </w:r>
      <w:r w:rsidRPr="0045418B">
        <w:rPr>
          <w:rFonts w:hint="cs"/>
          <w:rtl/>
        </w:rPr>
        <w:t>بخاطر اطلاق روایات</w:t>
      </w:r>
      <w:r>
        <w:rPr>
          <w:rFonts w:hint="cs"/>
          <w:rtl/>
        </w:rPr>
        <w:t>؛</w:t>
      </w:r>
      <w:r w:rsidRPr="0045418B">
        <w:rPr>
          <w:rFonts w:hint="cs"/>
          <w:rtl/>
        </w:rPr>
        <w:t xml:space="preserve"> و خصوصا</w:t>
      </w:r>
      <w:r>
        <w:rPr>
          <w:rFonts w:hint="cs"/>
          <w:rtl/>
        </w:rPr>
        <w:t>ً</w:t>
      </w:r>
      <w:r w:rsidRPr="0045418B">
        <w:rPr>
          <w:rFonts w:hint="cs"/>
          <w:rtl/>
        </w:rPr>
        <w:t xml:space="preserve"> </w:t>
      </w:r>
      <w:r w:rsidRPr="003557C5">
        <w:rPr>
          <w:rFonts w:hint="cs"/>
          <w:rtl/>
        </w:rPr>
        <w:t>که در صحیحه حلبی</w:t>
      </w:r>
      <w:r w:rsidRPr="003557C5">
        <w:rPr>
          <w:rStyle w:val="FootnoteReference"/>
          <w:rFonts w:ascii="Noor_Titr" w:hAnsi="Noor_Titr" w:cs="B Lotus"/>
          <w:sz w:val="28"/>
          <w:rtl/>
        </w:rPr>
        <w:footnoteReference w:id="5"/>
      </w:r>
      <w:r w:rsidRPr="00A50307">
        <w:rPr>
          <w:rFonts w:hint="cs"/>
          <w:rtl/>
        </w:rPr>
        <w:t xml:space="preserve"> داشت که حنوط رجل و مرأه سواء است</w:t>
      </w:r>
      <w:r>
        <w:rPr>
          <w:rFonts w:hint="cs"/>
          <w:rtl/>
        </w:rPr>
        <w:t>؛</w:t>
      </w:r>
      <w:r w:rsidRPr="00A50307">
        <w:rPr>
          <w:rFonts w:hint="cs"/>
          <w:rtl/>
        </w:rPr>
        <w:t xml:space="preserve"> تصریح به عدم فرق بین زن و مرد دارد. حکم</w:t>
      </w:r>
      <w:r w:rsidRPr="0045418B">
        <w:rPr>
          <w:rFonts w:hint="cs"/>
          <w:rtl/>
        </w:rPr>
        <w:t xml:space="preserve"> مال ح</w:t>
      </w:r>
      <w:r>
        <w:rPr>
          <w:rFonts w:hint="cs"/>
          <w:rtl/>
        </w:rPr>
        <w:t>یث</w:t>
      </w:r>
      <w:r w:rsidRPr="0045418B">
        <w:rPr>
          <w:rFonts w:hint="cs"/>
          <w:rtl/>
        </w:rPr>
        <w:t xml:space="preserve"> می</w:t>
      </w:r>
      <w:r>
        <w:rPr>
          <w:rFonts w:hint="cs"/>
          <w:rtl/>
        </w:rPr>
        <w:t>ّ</w:t>
      </w:r>
      <w:r w:rsidRPr="0045418B">
        <w:rPr>
          <w:rFonts w:hint="cs"/>
          <w:rtl/>
        </w:rPr>
        <w:t>ت مسلم است</w:t>
      </w:r>
      <w:r>
        <w:rPr>
          <w:rFonts w:hint="cs"/>
          <w:rtl/>
        </w:rPr>
        <w:t xml:space="preserve">؛ </w:t>
      </w:r>
      <w:r w:rsidRPr="0045418B">
        <w:rPr>
          <w:rFonts w:hint="cs"/>
          <w:rtl/>
        </w:rPr>
        <w:t>و خصوصی</w:t>
      </w:r>
      <w:r>
        <w:rPr>
          <w:rFonts w:hint="cs"/>
          <w:rtl/>
        </w:rPr>
        <w:t>ّ</w:t>
      </w:r>
      <w:r w:rsidRPr="0045418B">
        <w:rPr>
          <w:rFonts w:hint="cs"/>
          <w:rtl/>
        </w:rPr>
        <w:t>ات دیگرش دخیل نیست. فقط یک استثناء است</w:t>
      </w:r>
      <w:r>
        <w:rPr>
          <w:rFonts w:hint="cs"/>
          <w:rtl/>
        </w:rPr>
        <w:t>،</w:t>
      </w:r>
      <w:r w:rsidRPr="0045418B">
        <w:rPr>
          <w:rFonts w:hint="cs"/>
          <w:rtl/>
        </w:rPr>
        <w:t xml:space="preserve"> که نمی</w:t>
      </w:r>
      <w:r w:rsidRPr="0045418B">
        <w:rPr>
          <w:rtl/>
        </w:rPr>
        <w:softHyphen/>
      </w:r>
      <w:r w:rsidRPr="0045418B">
        <w:rPr>
          <w:rFonts w:hint="cs"/>
          <w:rtl/>
        </w:rPr>
        <w:t>شود محرم را تحنیط کرد</w:t>
      </w:r>
      <w:r>
        <w:rPr>
          <w:rFonts w:hint="cs"/>
          <w:rtl/>
        </w:rPr>
        <w:t>؛</w:t>
      </w:r>
      <w:r w:rsidRPr="0045418B">
        <w:rPr>
          <w:rFonts w:hint="cs"/>
          <w:rtl/>
        </w:rPr>
        <w:t xml:space="preserve"> چون استعمال طیب در حقّ محرم، حرام است؛ همین حکم را بالتّعبد شارع مقدّس ادامه داده است. مراد مرحوم سیّد هم محرم به احرام حج</w:t>
      </w:r>
      <w:r>
        <w:rPr>
          <w:rFonts w:hint="cs"/>
          <w:rtl/>
        </w:rPr>
        <w:t>ّ</w:t>
      </w:r>
      <w:r w:rsidRPr="0045418B">
        <w:rPr>
          <w:rFonts w:hint="cs"/>
          <w:rtl/>
        </w:rPr>
        <w:t xml:space="preserve"> است</w:t>
      </w:r>
      <w:r>
        <w:rPr>
          <w:rFonts w:hint="cs"/>
          <w:rtl/>
        </w:rPr>
        <w:t>.</w:t>
      </w:r>
      <w:r w:rsidRPr="0045418B">
        <w:rPr>
          <w:rFonts w:hint="cs"/>
          <w:rtl/>
        </w:rPr>
        <w:t xml:space="preserve"> </w:t>
      </w:r>
      <w:r>
        <w:rPr>
          <w:rFonts w:hint="cs"/>
          <w:rtl/>
        </w:rPr>
        <w:t>(البته عمره هم همین جور است، ولی مرحوم سیّد، محرم به احرام حجّ را گفته است) اینکه مرحوم سیّد فرموده (قبل إتیانه بالطواف)، شامل سعی هم می</w:t>
      </w:r>
      <w:r>
        <w:rPr>
          <w:rFonts w:hint="cs"/>
          <w:rtl/>
        </w:rPr>
        <w:softHyphen/>
        <w:t xml:space="preserve">شود؛ زیرا </w:t>
      </w:r>
      <w:r w:rsidRPr="0045418B">
        <w:rPr>
          <w:rFonts w:hint="cs"/>
          <w:rtl/>
        </w:rPr>
        <w:t>به سعی هم طواف گفته می</w:t>
      </w:r>
      <w:r w:rsidRPr="0045418B">
        <w:rPr>
          <w:rtl/>
        </w:rPr>
        <w:softHyphen/>
      </w:r>
      <w:r w:rsidRPr="0045418B">
        <w:rPr>
          <w:rFonts w:hint="cs"/>
          <w:rtl/>
        </w:rPr>
        <w:t>شود، طواف أعم از سعی و طواف است. در آیه شریف</w:t>
      </w:r>
      <w:r>
        <w:rPr>
          <w:rFonts w:hint="cs"/>
          <w:rtl/>
        </w:rPr>
        <w:t xml:space="preserve">ه هم بر </w:t>
      </w:r>
      <w:r>
        <w:rPr>
          <w:rFonts w:hint="cs"/>
          <w:rtl/>
        </w:rPr>
        <w:lastRenderedPageBreak/>
        <w:t xml:space="preserve">سعی، طواف اطلاق کرده است. </w:t>
      </w:r>
      <w:r w:rsidRPr="00E36D8A">
        <w:rPr>
          <w:rStyle w:val="IntenseEmphasis"/>
          <w:rFonts w:hint="cs"/>
          <w:rtl/>
        </w:rPr>
        <w:t>«إِنَّ الصَّفَا وَ الْمَرْوَةَ مِنْ شَعَائِرِ اللَّهِ فَمَنْ حَجَّ الْبَيْتَ أَوِ اعْتَمَرَ فَلاَ جُنَاحَ عَلَيْهِ أَنْ يَطَّوَّفَ بِهِمَا وَ مَنْ تَطَوَّعَ خَيْراً فَإِنَّ اللَّهَ شَاكِرٌ عَلِيمٌ »</w:t>
      </w:r>
      <w:r w:rsidRPr="00F90B68">
        <w:rPr>
          <w:rFonts w:hint="cs"/>
          <w:color w:val="00B050"/>
          <w:rtl/>
        </w:rPr>
        <w:t>.</w:t>
      </w:r>
      <w:r w:rsidRPr="00F90B68">
        <w:rPr>
          <w:rStyle w:val="FootnoteReference"/>
          <w:rFonts w:ascii="Noor_Titr" w:hAnsi="Noor_Titr"/>
          <w:color w:val="00B050"/>
          <w:sz w:val="28"/>
          <w:rtl/>
        </w:rPr>
        <w:footnoteReference w:id="6"/>
      </w:r>
    </w:p>
    <w:p w:rsidR="00E36D8A" w:rsidRPr="00F90B68" w:rsidRDefault="00E36D8A" w:rsidP="00E36D8A">
      <w:pPr>
        <w:rPr>
          <w:rFonts w:hint="cs"/>
          <w:color w:val="00B050"/>
          <w:rtl/>
        </w:rPr>
      </w:pPr>
      <w:r>
        <w:rPr>
          <w:rFonts w:hint="cs"/>
          <w:rtl/>
        </w:rPr>
        <w:t>اما زنی که در عدّه و</w:t>
      </w:r>
      <w:r w:rsidRPr="0045418B">
        <w:rPr>
          <w:rFonts w:hint="cs"/>
          <w:rtl/>
        </w:rPr>
        <w:t>فات است</w:t>
      </w:r>
      <w:r>
        <w:rPr>
          <w:rFonts w:hint="cs"/>
          <w:rtl/>
        </w:rPr>
        <w:t>،</w:t>
      </w:r>
      <w:r w:rsidRPr="0045418B">
        <w:rPr>
          <w:rFonts w:hint="cs"/>
          <w:rtl/>
        </w:rPr>
        <w:t xml:space="preserve"> و همچنین معتکف</w:t>
      </w:r>
      <w:r>
        <w:rPr>
          <w:rFonts w:hint="cs"/>
          <w:rtl/>
        </w:rPr>
        <w:t>،</w:t>
      </w:r>
      <w:r w:rsidRPr="0045418B">
        <w:rPr>
          <w:rFonts w:hint="cs"/>
          <w:rtl/>
        </w:rPr>
        <w:t xml:space="preserve"> گرچه نباید طیب استعمال کن</w:t>
      </w:r>
      <w:r>
        <w:rPr>
          <w:rFonts w:hint="cs"/>
          <w:rtl/>
        </w:rPr>
        <w:t>ند؛ ولی بعد از موت، ملحق</w:t>
      </w:r>
      <w:r w:rsidRPr="0045418B">
        <w:rPr>
          <w:rFonts w:hint="cs"/>
          <w:rtl/>
        </w:rPr>
        <w:t xml:space="preserve"> به محرم نمی</w:t>
      </w:r>
      <w:r>
        <w:rPr>
          <w:rtl/>
        </w:rPr>
        <w:softHyphen/>
      </w:r>
      <w:r w:rsidRPr="0045418B">
        <w:rPr>
          <w:rFonts w:hint="cs"/>
          <w:rtl/>
        </w:rPr>
        <w:t>شو</w:t>
      </w:r>
      <w:r>
        <w:rPr>
          <w:rFonts w:hint="cs"/>
          <w:rtl/>
        </w:rPr>
        <w:t>ن</w:t>
      </w:r>
      <w:r w:rsidRPr="0045418B">
        <w:rPr>
          <w:rFonts w:hint="cs"/>
          <w:rtl/>
        </w:rPr>
        <w:t xml:space="preserve">د. </w:t>
      </w:r>
      <w:r>
        <w:rPr>
          <w:rFonts w:hint="cs"/>
          <w:rtl/>
        </w:rPr>
        <w:t xml:space="preserve">زیرا </w:t>
      </w:r>
      <w:r w:rsidRPr="0045418B">
        <w:rPr>
          <w:rFonts w:hint="cs"/>
          <w:rtl/>
        </w:rPr>
        <w:t xml:space="preserve">این حکم فقط در </w:t>
      </w:r>
      <w:r>
        <w:rPr>
          <w:rFonts w:hint="cs"/>
          <w:rtl/>
        </w:rPr>
        <w:t xml:space="preserve">مورد </w:t>
      </w:r>
      <w:r w:rsidRPr="0045418B">
        <w:rPr>
          <w:rFonts w:hint="cs"/>
          <w:rtl/>
        </w:rPr>
        <w:t>محرم است، آن هم فقط در کافور. ما دائر مدار</w:t>
      </w:r>
      <w:r>
        <w:rPr>
          <w:rFonts w:hint="cs"/>
          <w:rtl/>
        </w:rPr>
        <w:t xml:space="preserve"> دلیل</w:t>
      </w:r>
      <w:r w:rsidRPr="0045418B">
        <w:rPr>
          <w:rFonts w:hint="cs"/>
          <w:rtl/>
        </w:rPr>
        <w:t xml:space="preserve"> هستیم</w:t>
      </w:r>
      <w:r>
        <w:rPr>
          <w:rFonts w:hint="cs"/>
          <w:rtl/>
        </w:rPr>
        <w:t>؛</w:t>
      </w:r>
      <w:r w:rsidRPr="0045418B">
        <w:rPr>
          <w:rFonts w:hint="cs"/>
          <w:rtl/>
        </w:rPr>
        <w:t xml:space="preserve"> و دلیل به معتکف</w:t>
      </w:r>
      <w:r>
        <w:rPr>
          <w:rFonts w:hint="cs"/>
          <w:rtl/>
        </w:rPr>
        <w:t xml:space="preserve"> و</w:t>
      </w:r>
      <w:r w:rsidRPr="0045418B">
        <w:rPr>
          <w:rFonts w:hint="cs"/>
          <w:rtl/>
        </w:rPr>
        <w:t xml:space="preserve"> زن حیّ</w:t>
      </w:r>
      <w:r>
        <w:rPr>
          <w:rFonts w:hint="cs"/>
          <w:rtl/>
        </w:rPr>
        <w:t>ی</w:t>
      </w:r>
      <w:r w:rsidRPr="0045418B">
        <w:rPr>
          <w:rFonts w:hint="cs"/>
          <w:rtl/>
        </w:rPr>
        <w:t xml:space="preserve"> </w:t>
      </w:r>
      <w:r>
        <w:rPr>
          <w:rFonts w:hint="cs"/>
          <w:rtl/>
        </w:rPr>
        <w:t xml:space="preserve">که </w:t>
      </w:r>
      <w:r w:rsidRPr="0045418B">
        <w:rPr>
          <w:rFonts w:hint="cs"/>
          <w:rtl/>
        </w:rPr>
        <w:t>در عد</w:t>
      </w:r>
      <w:r>
        <w:rPr>
          <w:rFonts w:hint="cs"/>
          <w:rtl/>
        </w:rPr>
        <w:t>ّ</w:t>
      </w:r>
      <w:r w:rsidRPr="0045418B">
        <w:rPr>
          <w:rFonts w:hint="cs"/>
          <w:rtl/>
        </w:rPr>
        <w:t xml:space="preserve">ه </w:t>
      </w:r>
      <w:r>
        <w:rPr>
          <w:rFonts w:hint="cs"/>
          <w:rtl/>
        </w:rPr>
        <w:t>است، اختصاص دارد؛</w:t>
      </w:r>
      <w:r w:rsidRPr="0045418B">
        <w:rPr>
          <w:rFonts w:hint="cs"/>
          <w:rtl/>
        </w:rPr>
        <w:t xml:space="preserve"> و </w:t>
      </w:r>
      <w:r>
        <w:rPr>
          <w:rFonts w:hint="cs"/>
          <w:rtl/>
        </w:rPr>
        <w:t>بعد از موت،</w:t>
      </w:r>
      <w:r w:rsidRPr="0045418B">
        <w:rPr>
          <w:rFonts w:hint="cs"/>
          <w:rtl/>
        </w:rPr>
        <w:t xml:space="preserve"> دیگر </w:t>
      </w:r>
      <w:r>
        <w:rPr>
          <w:rFonts w:hint="cs"/>
          <w:rtl/>
        </w:rPr>
        <w:t>بر آنها عنوان معتکف و زن در عدّه، صادق نیست.</w:t>
      </w:r>
      <w:r w:rsidRPr="0045418B">
        <w:rPr>
          <w:rFonts w:hint="cs"/>
          <w:rtl/>
        </w:rPr>
        <w:t xml:space="preserve"> اطلاق</w:t>
      </w:r>
      <w:r>
        <w:rPr>
          <w:rFonts w:hint="cs"/>
          <w:rtl/>
        </w:rPr>
        <w:t>ات میگوید که</w:t>
      </w:r>
      <w:r w:rsidRPr="0045418B">
        <w:rPr>
          <w:rFonts w:hint="cs"/>
          <w:rtl/>
        </w:rPr>
        <w:t xml:space="preserve"> </w:t>
      </w:r>
      <w:r>
        <w:rPr>
          <w:rFonts w:hint="cs"/>
          <w:rtl/>
        </w:rPr>
        <w:t>حنوط به کافور، واجب است؛</w:t>
      </w:r>
      <w:r w:rsidRPr="0045418B">
        <w:rPr>
          <w:rFonts w:hint="cs"/>
          <w:rtl/>
        </w:rPr>
        <w:t xml:space="preserve"> و در حق اینها هم مخص</w:t>
      </w:r>
      <w:r>
        <w:rPr>
          <w:rFonts w:hint="cs"/>
          <w:rtl/>
        </w:rPr>
        <w:t>ّ</w:t>
      </w:r>
      <w:r w:rsidRPr="0045418B">
        <w:rPr>
          <w:rFonts w:hint="cs"/>
          <w:rtl/>
        </w:rPr>
        <w:t>ص</w:t>
      </w:r>
      <w:r>
        <w:rPr>
          <w:rFonts w:hint="cs"/>
          <w:rtl/>
        </w:rPr>
        <w:t xml:space="preserve"> </w:t>
      </w:r>
      <w:r w:rsidRPr="0045418B">
        <w:rPr>
          <w:rFonts w:hint="cs"/>
          <w:rtl/>
        </w:rPr>
        <w:t>نداریم، این است که در حق</w:t>
      </w:r>
      <w:r>
        <w:rPr>
          <w:rFonts w:hint="cs"/>
          <w:rtl/>
        </w:rPr>
        <w:t>ّ</w:t>
      </w:r>
      <w:r w:rsidRPr="0045418B">
        <w:rPr>
          <w:rFonts w:hint="cs"/>
          <w:rtl/>
        </w:rPr>
        <w:t xml:space="preserve"> این دو</w:t>
      </w:r>
      <w:r>
        <w:rPr>
          <w:rFonts w:hint="cs"/>
          <w:rtl/>
        </w:rPr>
        <w:t>،</w:t>
      </w:r>
      <w:r w:rsidRPr="0045418B">
        <w:rPr>
          <w:rFonts w:hint="cs"/>
          <w:rtl/>
        </w:rPr>
        <w:t xml:space="preserve"> کافور به وجوب خودش باقی است.</w:t>
      </w:r>
    </w:p>
    <w:p w:rsidR="00E36D8A" w:rsidRDefault="00E36D8A" w:rsidP="00E36D8A">
      <w:pPr>
        <w:pStyle w:val="Heading3"/>
        <w:rPr>
          <w:rFonts w:hint="cs"/>
          <w:rtl/>
        </w:rPr>
      </w:pPr>
      <w:bookmarkStart w:id="6" w:name="_Toc22408724"/>
      <w:r>
        <w:rPr>
          <w:rFonts w:hint="cs"/>
          <w:rtl/>
        </w:rPr>
        <w:t>مسأله 2: عدم إعتبار قصد قربت در تحنیط</w:t>
      </w:r>
      <w:bookmarkEnd w:id="6"/>
    </w:p>
    <w:p w:rsidR="00E36D8A" w:rsidRPr="00E36D8A" w:rsidRDefault="00E36D8A" w:rsidP="00E36D8A">
      <w:pPr>
        <w:pStyle w:val="NormalWeb"/>
        <w:bidi/>
        <w:spacing w:line="276" w:lineRule="auto"/>
        <w:jc w:val="both"/>
        <w:rPr>
          <w:rStyle w:val="SubtleEmphasis"/>
          <w:rFonts w:hint="cs"/>
          <w:rtl/>
        </w:rPr>
      </w:pPr>
      <w:r w:rsidRPr="00E36D8A">
        <w:rPr>
          <w:rStyle w:val="SubtleEmphasis"/>
          <w:rFonts w:hint="cs"/>
          <w:rtl/>
        </w:rPr>
        <w:t>مسألة 2: لا يعتبر في التحنيط قصد القربة</w:t>
      </w:r>
      <w:r w:rsidRPr="00E36D8A">
        <w:rPr>
          <w:rStyle w:val="SubtleEmphasis"/>
          <w:rFonts w:hint="cs"/>
        </w:rPr>
        <w:t>‌</w:t>
      </w:r>
      <w:r w:rsidRPr="00E36D8A">
        <w:rPr>
          <w:rStyle w:val="SubtleEmphasis"/>
          <w:rFonts w:hint="cs"/>
          <w:rtl/>
        </w:rPr>
        <w:t xml:space="preserve"> فيجوز أن يباشره الصبي المميز أيضا.</w:t>
      </w:r>
    </w:p>
    <w:p w:rsidR="00E36D8A" w:rsidRDefault="00E36D8A" w:rsidP="00E36D8A">
      <w:pPr>
        <w:rPr>
          <w:rFonts w:hint="cs"/>
          <w:rtl/>
        </w:rPr>
      </w:pPr>
      <w:r>
        <w:rPr>
          <w:rFonts w:cs="Noor_Lotus" w:hint="cs"/>
          <w:sz w:val="30"/>
          <w:szCs w:val="30"/>
          <w:rtl/>
        </w:rPr>
        <w:t>‌</w:t>
      </w:r>
      <w:r>
        <w:rPr>
          <w:rFonts w:hint="cs"/>
          <w:rtl/>
        </w:rPr>
        <w:t>اینکه آیا تحنیط از امور عبادی است، یا از امور عبادی نیست، در آن بحث است. در فقه گیر است که یک عدّه مستحبات و واجبات داریم، که شک داریم تعبّدی است یا توصلی است؛ به همین مناسبت در اصول  بحث کرده</w:t>
      </w:r>
      <w:r>
        <w:rPr>
          <w:rtl/>
        </w:rPr>
        <w:softHyphen/>
      </w:r>
      <w:r>
        <w:rPr>
          <w:rFonts w:hint="cs"/>
          <w:rtl/>
        </w:rPr>
        <w:t>اند که در صورت شک، اصل چیست؟ آیا حنوط کردن، مثل غسل دادن، از تعبّدیّات است، یا از تعبّدیّات نیست. در مورد غسل گفتیم که به حکم ارتکاز، تعبّدی است؛ و در حنوط دلیل نداریم، و شک داریم که تعبّدی است یا توصلی است؛ این هم علی المبنی  است؛ بعضی مثل مرحوم وخوئی، می</w:t>
      </w:r>
      <w:r>
        <w:rPr>
          <w:rtl/>
        </w:rPr>
        <w:softHyphen/>
      </w:r>
      <w:r>
        <w:rPr>
          <w:rFonts w:hint="cs"/>
          <w:rtl/>
        </w:rPr>
        <w:t>گویند که می</w:t>
      </w:r>
      <w:r>
        <w:rPr>
          <w:rtl/>
        </w:rPr>
        <w:softHyphen/>
      </w:r>
      <w:r>
        <w:rPr>
          <w:rFonts w:hint="cs"/>
          <w:rtl/>
        </w:rPr>
        <w:t>شود به اطلاق امر تمسّک بکنیم؛ که (امسحوا بلاکافور) اطلاق دارد؛ چه قصد قربت بکنید، یا نه. و بعض دیگر، مثل مرحوم آخوند، می</w:t>
      </w:r>
      <w:r>
        <w:rPr>
          <w:rtl/>
        </w:rPr>
        <w:softHyphen/>
      </w:r>
      <w:r>
        <w:rPr>
          <w:rFonts w:hint="cs"/>
          <w:rtl/>
        </w:rPr>
        <w:t>گویند تمسّک به اطلاق، امکان ندارد؛ چون تقیید به قصد قربت، محال است؛ و اذا استحال التقیید، استحال الإطلاق؛ و نوبت به اصل عملی می</w:t>
      </w:r>
      <w:r>
        <w:rPr>
          <w:rtl/>
        </w:rPr>
        <w:softHyphen/>
      </w:r>
      <w:r>
        <w:rPr>
          <w:rFonts w:hint="cs"/>
          <w:rtl/>
        </w:rPr>
        <w:t>رسد؛ که مثل مرحوم آخوند، مبنایش  این است که عند الشک، اصل اشتغال است؛ و حدیث رفع جاری نمی</w:t>
      </w:r>
      <w:r>
        <w:rPr>
          <w:rtl/>
        </w:rPr>
        <w:softHyphen/>
      </w:r>
      <w:r>
        <w:rPr>
          <w:rFonts w:hint="cs"/>
          <w:rtl/>
        </w:rPr>
        <w:t>شود؛ چون اعتبار قصد قربت عقلی است، و حدیث  رفع، چیزی را رفع می</w:t>
      </w:r>
      <w:r>
        <w:rPr>
          <w:rtl/>
        </w:rPr>
        <w:softHyphen/>
      </w:r>
      <w:r>
        <w:rPr>
          <w:rFonts w:hint="cs"/>
          <w:rtl/>
        </w:rPr>
        <w:t>کند که شرعی باشد. در مقابل بعضی می</w:t>
      </w:r>
      <w:r>
        <w:rPr>
          <w:rtl/>
        </w:rPr>
        <w:softHyphen/>
      </w:r>
      <w:r>
        <w:rPr>
          <w:rFonts w:hint="cs"/>
          <w:rtl/>
        </w:rPr>
        <w:t>گویند اعتبار قصد قربت، شرعی است؛ و شارع مقدّس می</w:t>
      </w:r>
      <w:r>
        <w:rPr>
          <w:rFonts w:hint="cs"/>
          <w:rtl/>
        </w:rPr>
        <w:softHyphen/>
        <w:t>تواند قصد قربت را أخذ بکند؛ حال به جعل اول، یا با متمّم الجعل است (مثل مرحوم نائینی)، گرچه عقل درک می</w:t>
      </w:r>
      <w:r>
        <w:rPr>
          <w:rtl/>
        </w:rPr>
        <w:softHyphen/>
      </w:r>
      <w:r>
        <w:rPr>
          <w:rFonts w:hint="cs"/>
          <w:rtl/>
        </w:rPr>
        <w:t>کند اما تناله ید الشرع؛ لذا (رفع ما لا یعلمون) در شک در قصد قربت، جاری است؛ پس اینکه مرحوم سیّد فرموده (لا یعتبر فی التحنیط  قصد القربة)، تمام است، یا به مقتضای اصل لفظی (اطلاقات) یا مقتضای اصل عملی (برائت).</w:t>
      </w:r>
    </w:p>
    <w:p w:rsidR="00E36D8A" w:rsidRDefault="00E36D8A" w:rsidP="00E36D8A">
      <w:pPr>
        <w:rPr>
          <w:rFonts w:hint="cs"/>
          <w:rtl/>
        </w:rPr>
      </w:pPr>
      <w:r>
        <w:rPr>
          <w:rFonts w:hint="cs"/>
          <w:rtl/>
        </w:rPr>
        <w:lastRenderedPageBreak/>
        <w:t>بعد از اینکه مرحوم سیّد فرمود قصد قربت معتبر نیست، تفریع کرده که ممیّز هم می</w:t>
      </w:r>
      <w:r>
        <w:rPr>
          <w:rtl/>
        </w:rPr>
        <w:softHyphen/>
      </w:r>
      <w:r>
        <w:rPr>
          <w:rFonts w:hint="cs"/>
          <w:rtl/>
        </w:rPr>
        <w:t>تواند این کار را بکند، و بلوغ  شرط نیست. که ما این تفریع را نمی</w:t>
      </w:r>
      <w:r>
        <w:rPr>
          <w:rtl/>
        </w:rPr>
        <w:softHyphen/>
      </w:r>
      <w:r>
        <w:rPr>
          <w:rFonts w:hint="cs"/>
          <w:rtl/>
        </w:rPr>
        <w:t>فهمیم؛ چون ممیّز هم می</w:t>
      </w:r>
      <w:r>
        <w:rPr>
          <w:rtl/>
        </w:rPr>
        <w:softHyphen/>
      </w:r>
      <w:r>
        <w:rPr>
          <w:rFonts w:hint="cs"/>
          <w:rtl/>
        </w:rPr>
        <w:t>تواند قصد قربت بکند؛ اگر می</w:t>
      </w:r>
      <w:r>
        <w:rPr>
          <w:rtl/>
        </w:rPr>
        <w:softHyphen/>
      </w:r>
      <w:r>
        <w:rPr>
          <w:rFonts w:hint="cs"/>
          <w:rtl/>
        </w:rPr>
        <w:t>فرمود (فیجوز أن یبشره المجانین) درست بود.</w:t>
      </w:r>
    </w:p>
    <w:p w:rsidR="00E36D8A" w:rsidRDefault="00E36D8A" w:rsidP="00E36D8A">
      <w:pPr>
        <w:pStyle w:val="Heading4"/>
        <w:rPr>
          <w:rFonts w:hint="cs"/>
          <w:rtl/>
        </w:rPr>
      </w:pPr>
      <w:bookmarkStart w:id="7" w:name="_Toc22408725"/>
      <w:r>
        <w:rPr>
          <w:rFonts w:hint="cs"/>
          <w:rtl/>
        </w:rPr>
        <w:t>فرع: حکم تحنیط میّت بواسطه صبی</w:t>
      </w:r>
      <w:bookmarkEnd w:id="7"/>
    </w:p>
    <w:p w:rsidR="00E36D8A" w:rsidRDefault="00E36D8A" w:rsidP="00E36D8A">
      <w:pPr>
        <w:rPr>
          <w:rFonts w:hint="cs"/>
          <w:rtl/>
        </w:rPr>
      </w:pPr>
      <w:r>
        <w:rPr>
          <w:rFonts w:hint="cs"/>
          <w:rtl/>
        </w:rPr>
        <w:t>حال خودش یک فرعی است، که آیا صبی، می</w:t>
      </w:r>
      <w:r>
        <w:rPr>
          <w:rtl/>
        </w:rPr>
        <w:softHyphen/>
      </w:r>
      <w:r>
        <w:rPr>
          <w:rFonts w:hint="cs"/>
          <w:rtl/>
        </w:rPr>
        <w:t xml:space="preserve">تواند تحنیط بکند، یا </w:t>
      </w:r>
      <w:r w:rsidRPr="00EE5468">
        <w:rPr>
          <w:rFonts w:hint="cs"/>
          <w:rtl/>
        </w:rPr>
        <w:t>نمی</w:t>
      </w:r>
      <w:r w:rsidRPr="00EE5468">
        <w:rPr>
          <w:rtl/>
        </w:rPr>
        <w:softHyphen/>
      </w:r>
      <w:r w:rsidRPr="00EE5468">
        <w:rPr>
          <w:rFonts w:hint="cs"/>
          <w:rtl/>
        </w:rPr>
        <w:t>تواند؟ مرحوم خوئی</w:t>
      </w:r>
      <w:r w:rsidRPr="00EE5468">
        <w:rPr>
          <w:rStyle w:val="FootnoteReference"/>
          <w:rFonts w:ascii="Noor_Lotus" w:hAnsi="Noor_Lotus" w:cs="B Lotus"/>
          <w:sz w:val="28"/>
          <w:rtl/>
        </w:rPr>
        <w:footnoteReference w:id="7"/>
      </w:r>
      <w:r w:rsidRPr="00EE5468">
        <w:rPr>
          <w:rFonts w:hint="cs"/>
          <w:rtl/>
        </w:rPr>
        <w:t xml:space="preserve"> فرموده نمی</w:t>
      </w:r>
      <w:r w:rsidRPr="00EE5468">
        <w:rPr>
          <w:rtl/>
        </w:rPr>
        <w:softHyphen/>
      </w:r>
      <w:r w:rsidRPr="00EE5468">
        <w:rPr>
          <w:rFonts w:hint="cs"/>
          <w:rtl/>
        </w:rPr>
        <w:t>تواند</w:t>
      </w:r>
      <w:r>
        <w:rPr>
          <w:rFonts w:hint="cs"/>
          <w:rtl/>
        </w:rPr>
        <w:t xml:space="preserve"> تحنیط  بکند؛ امری که داریم، در مورد بالغین است؛ به کسانی که غسل داده</w:t>
      </w:r>
      <w:r>
        <w:rPr>
          <w:rtl/>
        </w:rPr>
        <w:softHyphen/>
      </w:r>
      <w:r>
        <w:rPr>
          <w:rFonts w:hint="cs"/>
          <w:rtl/>
        </w:rPr>
        <w:t>اند، که بالغ هستند، فرموده که مسح بکنید به کافور؛ و ظاهر امر هم مباشرت است؛ و باید خودشان مسح بکنند؛ حتّی نمی</w:t>
      </w:r>
      <w:r>
        <w:rPr>
          <w:rtl/>
        </w:rPr>
        <w:softHyphen/>
      </w:r>
      <w:r>
        <w:rPr>
          <w:rFonts w:hint="cs"/>
          <w:rtl/>
        </w:rPr>
        <w:t>توانند به بچه نابالغ امر بکنند که مسح بکند. و منافاتی  ندارد که توصلی هم باشد، ولی بلوغ و مباشرت شرط باشد. این بر می</w:t>
      </w:r>
      <w:r>
        <w:rPr>
          <w:rtl/>
        </w:rPr>
        <w:softHyphen/>
      </w:r>
      <w:r>
        <w:rPr>
          <w:rFonts w:hint="cs"/>
          <w:rtl/>
        </w:rPr>
        <w:t xml:space="preserve">گردد به یک بحثی در تعبّدی و توصلی، که مرحوم نائینی آن را در بحث تعبّدی و توصلی، مطرح کرده است؛ که توصلی چند اصطلاح دارد، یکی اینکه باید خودت انجام بدهید، و مباشرت لازم است. مرحوم خوئی فرموده تعبّدی و توصلی به معنای قصد قربت، ربطی به مباشرت و عدم مباشرت ندارد. مثل ردّ سلام، که توصلی است، ولی مباشرت شرط است؛ و ممکن است تعبدی باشد، ولی مباشرت شرط نباشد، مثل أداء زکات؛ نسبت بینشان، عموم و خصوص من وجه است. ظاهر کلماتش این است که ظاهر امر، به بالغین است، بر آنها واجب است؛ بر صبیان واجب نیست؛ </w:t>
      </w:r>
      <w:r w:rsidRPr="00056A9D">
        <w:rPr>
          <w:rFonts w:hint="cs"/>
          <w:rtl/>
        </w:rPr>
        <w:t>حال یا ظاهر امر، وجوب است؛</w:t>
      </w:r>
      <w:r>
        <w:rPr>
          <w:rStyle w:val="FootnoteReference"/>
          <w:rFonts w:ascii="Noor_Lotus" w:hAnsi="Noor_Lotus" w:cs="B Lotus"/>
          <w:sz w:val="28"/>
          <w:rtl/>
        </w:rPr>
        <w:footnoteReference w:id="8"/>
      </w:r>
      <w:r w:rsidRPr="00056A9D">
        <w:rPr>
          <w:rFonts w:hint="cs"/>
          <w:rtl/>
        </w:rPr>
        <w:t xml:space="preserve"> و یا ظاهر</w:t>
      </w:r>
      <w:r>
        <w:rPr>
          <w:rFonts w:hint="cs"/>
          <w:rtl/>
        </w:rPr>
        <w:t xml:space="preserve"> امر وجوب بر همه است، حتی صبیان، منتهی حدیث رفع، از صبیان برداشته است. بر صبیان واجب نیست، یا به قصور خطاب، یا لوجود المانع، یعنی حدیث رفع. حال که بر صبیان واجب نشد، و فقط بر بالغین واجب شده است، اگر صبیّی مرتکب این عمل بشود، إجزاء این عمل مستحب در صبیان، از وجوب بر بالغین، </w:t>
      </w:r>
      <w:r>
        <w:rPr>
          <w:rFonts w:hint="cs"/>
          <w:rtl/>
        </w:rPr>
        <w:lastRenderedPageBreak/>
        <w:t>نیاز به دلیل دارد. همان حرفی که در غسل میّت می</w:t>
      </w:r>
      <w:r>
        <w:rPr>
          <w:rtl/>
        </w:rPr>
        <w:softHyphen/>
      </w:r>
      <w:r>
        <w:rPr>
          <w:rFonts w:hint="cs"/>
          <w:rtl/>
        </w:rPr>
        <w:t xml:space="preserve">گفت، که درست است کار صبی، مستحب است؛ ولی استحباب شیءٌ، و إجزاء از بالغین شیءٌ آخر. </w:t>
      </w:r>
    </w:p>
    <w:p w:rsidR="00E36D8A" w:rsidRDefault="00E36D8A" w:rsidP="00E36D8A">
      <w:pPr>
        <w:rPr>
          <w:rFonts w:hint="cs"/>
          <w:rtl/>
        </w:rPr>
      </w:pPr>
      <w:r>
        <w:rPr>
          <w:rFonts w:hint="cs"/>
          <w:rtl/>
        </w:rPr>
        <w:t>الّلهم که قرینه پیدا بشود که مطلوب شارع مجرد تحقّق عمل است؛ معنای اسم مصدری است؛ مثل دفن میّت با شرایط، که مطلوب مولی است؛ اگر یک کافری، یا مجنونی، یا حیوانی علی سبیل الإتّفاق مرده را در قبر کشاند، و اتفاقاً رو به قبله دفنش کرد، مجزی است؛ اینجا مطلوب، مجرّد تحقّق عمل است خارجاً، و جهت عامل دخالت ندارد.</w:t>
      </w:r>
    </w:p>
    <w:p w:rsidR="00E36D8A" w:rsidRDefault="00E36D8A" w:rsidP="00E36D8A">
      <w:pPr>
        <w:rPr>
          <w:rFonts w:hint="cs"/>
          <w:rtl/>
        </w:rPr>
      </w:pPr>
      <w:r>
        <w:rPr>
          <w:rFonts w:hint="cs"/>
          <w:rtl/>
        </w:rPr>
        <w:t>ولی این خلاف خطابات است، چون ظاهر خطابات، معنای صدوری است، (معنای مصدری) و نیاز به قرینه دارد. فرموده هم تفریع، غلط است، چون این ربطی به توصلی بودن ندارد؛ و هم اصلش</w:t>
      </w:r>
      <w:r w:rsidRPr="00F04928">
        <w:rPr>
          <w:rFonts w:hint="cs"/>
          <w:rtl/>
        </w:rPr>
        <w:t xml:space="preserve"> </w:t>
      </w:r>
      <w:r>
        <w:rPr>
          <w:rFonts w:hint="cs"/>
          <w:rtl/>
        </w:rPr>
        <w:t>(</w:t>
      </w:r>
      <w:r w:rsidRPr="00F04928">
        <w:rPr>
          <w:rFonts w:hint="cs"/>
          <w:rtl/>
        </w:rPr>
        <w:t xml:space="preserve">که </w:t>
      </w:r>
      <w:r>
        <w:rPr>
          <w:rFonts w:hint="cs"/>
          <w:rtl/>
        </w:rPr>
        <w:t xml:space="preserve">بگوئیم در صورتی که صبی ممیز، </w:t>
      </w:r>
      <w:r w:rsidRPr="00F04928">
        <w:rPr>
          <w:rFonts w:hint="cs"/>
          <w:rtl/>
        </w:rPr>
        <w:t>این کار را انجام بدهد</w:t>
      </w:r>
      <w:r>
        <w:rPr>
          <w:rFonts w:hint="cs"/>
          <w:rtl/>
        </w:rPr>
        <w:t xml:space="preserve">، مجزی است) غلط است. </w:t>
      </w:r>
    </w:p>
    <w:p w:rsidR="00E36D8A" w:rsidRDefault="00E36D8A" w:rsidP="00E36D8A">
      <w:pPr>
        <w:rPr>
          <w:rFonts w:hint="cs"/>
          <w:rtl/>
        </w:rPr>
      </w:pPr>
      <w:r>
        <w:rPr>
          <w:rFonts w:hint="cs"/>
          <w:rtl/>
        </w:rPr>
        <w:t xml:space="preserve"> و لکن به ذهن می</w:t>
      </w:r>
      <w:r>
        <w:rPr>
          <w:rtl/>
        </w:rPr>
        <w:softHyphen/>
      </w:r>
      <w:r>
        <w:rPr>
          <w:rFonts w:hint="cs"/>
          <w:rtl/>
        </w:rPr>
        <w:t>زند که در باب مسح، درست است که فرموده (إمسحوا)؛ ولی متفاهم عرفی این است که مطلوب شارع آن تمسّح است؛ آن مقدار ماده طیب داری، که روی بدن میّت می</w:t>
      </w:r>
      <w:r>
        <w:rPr>
          <w:rtl/>
        </w:rPr>
        <w:softHyphen/>
      </w:r>
      <w:r>
        <w:rPr>
          <w:rFonts w:hint="cs"/>
          <w:rtl/>
        </w:rPr>
        <w:t>ماند؛ که این قرینه است بر اینکه معنای إصدار، مطلوب شارع نیست، به ذهن می</w:t>
      </w:r>
      <w:r>
        <w:rPr>
          <w:rtl/>
        </w:rPr>
        <w:softHyphen/>
      </w:r>
      <w:r>
        <w:rPr>
          <w:rFonts w:hint="cs"/>
          <w:rtl/>
        </w:rPr>
        <w:t>زند که ماسح خصوصیّتی نداشته باشد؛ و آن تمسّح مهم است. اگر اطمیان پیدا کردید، می</w:t>
      </w:r>
      <w:r>
        <w:rPr>
          <w:rtl/>
        </w:rPr>
        <w:softHyphen/>
      </w:r>
      <w:r>
        <w:rPr>
          <w:rFonts w:hint="cs"/>
          <w:rtl/>
        </w:rPr>
        <w:t>گوئید که با مسح صبی، هم یجزی؛ و الّا باید سراغ مبانی رفت؛ که آیا رفع القلم، صبی را قطع می</w:t>
      </w:r>
      <w:r>
        <w:rPr>
          <w:rtl/>
        </w:rPr>
        <w:softHyphen/>
      </w:r>
      <w:r>
        <w:rPr>
          <w:rFonts w:hint="cs"/>
          <w:rtl/>
        </w:rPr>
        <w:t>کند یا نه؛ که ما می</w:t>
      </w:r>
      <w:r>
        <w:rPr>
          <w:rtl/>
        </w:rPr>
        <w:softHyphen/>
      </w:r>
      <w:r>
        <w:rPr>
          <w:rFonts w:hint="cs"/>
          <w:rtl/>
        </w:rPr>
        <w:t>گفتیم حدیث رفع، فقط مؤاخذه را می</w:t>
      </w:r>
      <w:r>
        <w:rPr>
          <w:rtl/>
        </w:rPr>
        <w:softHyphen/>
      </w:r>
      <w:r>
        <w:rPr>
          <w:rFonts w:hint="cs"/>
          <w:rtl/>
        </w:rPr>
        <w:t>برد، و اصلش می</w:t>
      </w:r>
      <w:r>
        <w:rPr>
          <w:rtl/>
        </w:rPr>
        <w:softHyphen/>
      </w:r>
      <w:r>
        <w:rPr>
          <w:rFonts w:hint="cs"/>
          <w:rtl/>
        </w:rPr>
        <w:t>ماند. ولی اگر مبنای ایشان را قبول کردید، که رُفع القلم، اصل تشریع را می</w:t>
      </w:r>
      <w:r>
        <w:rPr>
          <w:rtl/>
        </w:rPr>
        <w:softHyphen/>
      </w:r>
      <w:r>
        <w:rPr>
          <w:rFonts w:hint="cs"/>
          <w:rtl/>
        </w:rPr>
        <w:t>برد؛ دلیلی بر إجزاء عمل صبی، از بالغین نداریم، الّا همان بیانی که عرض کردیم.</w:t>
      </w:r>
    </w:p>
    <w:p w:rsidR="00E36D8A" w:rsidRDefault="00E36D8A" w:rsidP="00E36D8A">
      <w:pPr>
        <w:pStyle w:val="Heading3"/>
        <w:rPr>
          <w:rFonts w:hint="cs"/>
          <w:rtl/>
        </w:rPr>
      </w:pPr>
      <w:bookmarkStart w:id="8" w:name="_Toc22408726"/>
      <w:r>
        <w:rPr>
          <w:rFonts w:hint="cs"/>
          <w:rtl/>
        </w:rPr>
        <w:t>مسأله 3: مقدار کافور</w:t>
      </w:r>
      <w:bookmarkEnd w:id="8"/>
    </w:p>
    <w:p w:rsidR="00E36D8A" w:rsidRDefault="00E36D8A" w:rsidP="00E36D8A">
      <w:pPr>
        <w:pStyle w:val="NormalWeb"/>
        <w:bidi/>
        <w:spacing w:line="276" w:lineRule="auto"/>
        <w:jc w:val="both"/>
        <w:rPr>
          <w:rFonts w:ascii="Noor_Lotus" w:hAnsi="Noor_Lotus" w:cs="Noor_Lotus" w:hint="cs"/>
          <w:color w:val="000000"/>
          <w:sz w:val="30"/>
          <w:szCs w:val="30"/>
          <w:rtl/>
        </w:rPr>
      </w:pPr>
      <w:r w:rsidRPr="00E36D8A">
        <w:rPr>
          <w:rStyle w:val="SubtleEmphasis"/>
          <w:rFonts w:hint="cs"/>
          <w:rtl/>
        </w:rPr>
        <w:t>مسألة 3: يكفي في مقدار كافور الحنوط المسمى</w:t>
      </w:r>
      <w:r w:rsidRPr="00E36D8A">
        <w:rPr>
          <w:rStyle w:val="SubtleEmphasis"/>
          <w:rFonts w:hint="cs"/>
        </w:rPr>
        <w:t>‌</w:t>
      </w:r>
      <w:r w:rsidRPr="00E36D8A">
        <w:rPr>
          <w:rStyle w:val="SubtleEmphasis"/>
          <w:rFonts w:hint="cs"/>
          <w:rtl/>
        </w:rPr>
        <w:t xml:space="preserve"> و الأفضل أن يكون‌ ثلاثة عشر درهما و ثلث</w:t>
      </w:r>
      <w:r w:rsidRPr="00E36D8A">
        <w:rPr>
          <w:rStyle w:val="SubtleEmphasis"/>
          <w:rtl/>
        </w:rPr>
        <w:footnoteReference w:id="9"/>
      </w:r>
      <w:r w:rsidRPr="00E36D8A">
        <w:rPr>
          <w:rStyle w:val="SubtleEmphasis"/>
          <w:rFonts w:hint="cs"/>
          <w:rtl/>
        </w:rPr>
        <w:t xml:space="preserve"> تصير بحسب المثاقيل الصيرفية سبع مثاقيل و حمصتين إلا خمس الحمصة و الأقوى أن هذا المقدار لخصوص الحنوط لا له و للغسل و أقل الفضل مثقال شرعي و الأفضل منه أربعة دراهم و الأفضل منه أربعة مثاقيل شرعية</w:t>
      </w:r>
      <w:r w:rsidRPr="007D0B4E">
        <w:rPr>
          <w:rFonts w:ascii="Noor_Lotus" w:hAnsi="Noor_Lotus" w:cs="B Badr" w:hint="cs"/>
          <w:color w:val="0070C0"/>
          <w:sz w:val="28"/>
          <w:szCs w:val="28"/>
          <w:rtl/>
        </w:rPr>
        <w:t>.</w:t>
      </w:r>
      <w:r>
        <w:rPr>
          <w:rStyle w:val="FootnoteReference"/>
          <w:rFonts w:ascii="Noor_Lotus" w:hAnsi="Noor_Lotus" w:cs="Noor_Lotus"/>
          <w:color w:val="000000"/>
          <w:sz w:val="30"/>
          <w:szCs w:val="30"/>
          <w:rtl/>
        </w:rPr>
        <w:footnoteReference w:id="10"/>
      </w:r>
      <w:r>
        <w:rPr>
          <w:rFonts w:ascii="Noor_Lotus" w:hAnsi="Noor_Lotus" w:cs="Noor_Lotus" w:hint="cs"/>
          <w:color w:val="000000"/>
          <w:sz w:val="30"/>
          <w:szCs w:val="30"/>
          <w:rtl/>
        </w:rPr>
        <w:t>‌</w:t>
      </w:r>
    </w:p>
    <w:p w:rsidR="00E36D8A" w:rsidRPr="0045418B" w:rsidRDefault="00E36D8A" w:rsidP="00E36D8A">
      <w:pPr>
        <w:rPr>
          <w:rFonts w:hint="cs"/>
          <w:rtl/>
        </w:rPr>
      </w:pPr>
      <w:r w:rsidRPr="0045418B">
        <w:rPr>
          <w:rFonts w:hint="cs"/>
          <w:rtl/>
        </w:rPr>
        <w:lastRenderedPageBreak/>
        <w:t xml:space="preserve">در کافور حنوط، مسمّی </w:t>
      </w:r>
      <w:r>
        <w:rPr>
          <w:rFonts w:hint="cs"/>
          <w:rtl/>
        </w:rPr>
        <w:t xml:space="preserve">کافور، </w:t>
      </w:r>
      <w:r w:rsidRPr="0045418B">
        <w:rPr>
          <w:rFonts w:hint="cs"/>
          <w:rtl/>
        </w:rPr>
        <w:t>کافی است</w:t>
      </w:r>
      <w:r>
        <w:rPr>
          <w:rFonts w:hint="cs"/>
          <w:rtl/>
        </w:rPr>
        <w:t>؛ همین که بگوین</w:t>
      </w:r>
      <w:r w:rsidRPr="0045418B">
        <w:rPr>
          <w:rFonts w:hint="cs"/>
          <w:rtl/>
        </w:rPr>
        <w:t>د</w:t>
      </w:r>
      <w:r>
        <w:rPr>
          <w:rFonts w:hint="cs"/>
          <w:rtl/>
        </w:rPr>
        <w:t xml:space="preserve"> </w:t>
      </w:r>
      <w:r w:rsidRPr="0045418B">
        <w:rPr>
          <w:rFonts w:hint="cs"/>
          <w:rtl/>
        </w:rPr>
        <w:t>کافور را مسح کرد، کافی است</w:t>
      </w:r>
      <w:r>
        <w:rPr>
          <w:rFonts w:hint="cs"/>
          <w:rtl/>
        </w:rPr>
        <w:t xml:space="preserve">. در اصول بحث </w:t>
      </w:r>
      <w:r w:rsidRPr="0045418B">
        <w:rPr>
          <w:rFonts w:hint="cs"/>
          <w:rtl/>
        </w:rPr>
        <w:t>کرده</w:t>
      </w:r>
      <w:r>
        <w:rPr>
          <w:rtl/>
        </w:rPr>
        <w:softHyphen/>
      </w:r>
      <w:r>
        <w:rPr>
          <w:rFonts w:hint="cs"/>
          <w:rtl/>
        </w:rPr>
        <w:t>اند که ظاهر</w:t>
      </w:r>
      <w:r w:rsidRPr="0045418B">
        <w:rPr>
          <w:rFonts w:hint="cs"/>
          <w:rtl/>
        </w:rPr>
        <w:t xml:space="preserve"> هر خطابی</w:t>
      </w:r>
      <w:r>
        <w:rPr>
          <w:rFonts w:hint="cs"/>
          <w:rtl/>
        </w:rPr>
        <w:t>،</w:t>
      </w:r>
      <w:r w:rsidRPr="0045418B">
        <w:rPr>
          <w:rFonts w:hint="cs"/>
          <w:rtl/>
        </w:rPr>
        <w:t xml:space="preserve"> ص</w:t>
      </w:r>
      <w:r>
        <w:rPr>
          <w:rFonts w:hint="cs"/>
          <w:rtl/>
        </w:rPr>
        <w:t>ِ</w:t>
      </w:r>
      <w:r w:rsidRPr="0045418B">
        <w:rPr>
          <w:rFonts w:hint="cs"/>
          <w:rtl/>
        </w:rPr>
        <w:t>رف الوجود و مجر</w:t>
      </w:r>
      <w:r>
        <w:rPr>
          <w:rFonts w:hint="cs"/>
          <w:rtl/>
        </w:rPr>
        <w:t>ّ</w:t>
      </w:r>
      <w:r w:rsidRPr="0045418B">
        <w:rPr>
          <w:rFonts w:hint="cs"/>
          <w:rtl/>
        </w:rPr>
        <w:t>د طبیعی است</w:t>
      </w:r>
      <w:r>
        <w:rPr>
          <w:rFonts w:hint="cs"/>
          <w:rtl/>
        </w:rPr>
        <w:t>؛</w:t>
      </w:r>
      <w:r w:rsidRPr="0045418B">
        <w:rPr>
          <w:rFonts w:hint="cs"/>
          <w:rtl/>
        </w:rPr>
        <w:t xml:space="preserve"> که ص</w:t>
      </w:r>
      <w:r>
        <w:rPr>
          <w:rFonts w:hint="cs"/>
          <w:rtl/>
        </w:rPr>
        <w:t>ِ</w:t>
      </w:r>
      <w:r w:rsidRPr="0045418B">
        <w:rPr>
          <w:rFonts w:hint="cs"/>
          <w:rtl/>
        </w:rPr>
        <w:t>رف الوجود مسح کافور</w:t>
      </w:r>
      <w:r>
        <w:rPr>
          <w:rFonts w:hint="cs"/>
          <w:rtl/>
        </w:rPr>
        <w:t>،</w:t>
      </w:r>
      <w:r w:rsidRPr="0045418B">
        <w:rPr>
          <w:rFonts w:hint="cs"/>
          <w:rtl/>
        </w:rPr>
        <w:t xml:space="preserve"> بر</w:t>
      </w:r>
      <w:r>
        <w:rPr>
          <w:rFonts w:hint="cs"/>
          <w:rtl/>
        </w:rPr>
        <w:t>ای سقوط</w:t>
      </w:r>
      <w:r w:rsidRPr="0045418B">
        <w:rPr>
          <w:rFonts w:hint="cs"/>
          <w:rtl/>
        </w:rPr>
        <w:t xml:space="preserve"> امر به کافور </w:t>
      </w:r>
      <w:r>
        <w:rPr>
          <w:rFonts w:hint="cs"/>
          <w:rtl/>
        </w:rPr>
        <w:t>(إمسحوا بال</w:t>
      </w:r>
      <w:r w:rsidRPr="0045418B">
        <w:rPr>
          <w:rFonts w:hint="cs"/>
          <w:rtl/>
        </w:rPr>
        <w:t>کافور</w:t>
      </w:r>
      <w:r>
        <w:rPr>
          <w:rFonts w:hint="cs"/>
          <w:rtl/>
        </w:rPr>
        <w:t>)</w:t>
      </w:r>
      <w:r w:rsidRPr="0045418B">
        <w:rPr>
          <w:rFonts w:hint="cs"/>
          <w:rtl/>
        </w:rPr>
        <w:t xml:space="preserve"> کفایت می</w:t>
      </w:r>
      <w:r>
        <w:rPr>
          <w:rtl/>
        </w:rPr>
        <w:softHyphen/>
      </w:r>
      <w:r w:rsidRPr="0045418B">
        <w:rPr>
          <w:rFonts w:hint="cs"/>
          <w:rtl/>
        </w:rPr>
        <w:t>کند.</w:t>
      </w:r>
    </w:p>
    <w:p w:rsidR="00E36D8A" w:rsidRPr="0045418B" w:rsidRDefault="00E36D8A" w:rsidP="00E36D8A">
      <w:pPr>
        <w:rPr>
          <w:rFonts w:hint="cs"/>
          <w:rtl/>
        </w:rPr>
      </w:pPr>
      <w:r>
        <w:rPr>
          <w:rFonts w:hint="cs"/>
          <w:rtl/>
        </w:rPr>
        <w:t>بحثی که هست</w:t>
      </w:r>
      <w:r w:rsidRPr="0045418B">
        <w:rPr>
          <w:rFonts w:hint="cs"/>
          <w:rtl/>
        </w:rPr>
        <w:t xml:space="preserve"> در </w:t>
      </w:r>
      <w:r>
        <w:rPr>
          <w:rFonts w:hint="cs"/>
          <w:rtl/>
        </w:rPr>
        <w:t xml:space="preserve">مقدار </w:t>
      </w:r>
      <w:r w:rsidRPr="0045418B">
        <w:rPr>
          <w:rFonts w:hint="cs"/>
          <w:rtl/>
        </w:rPr>
        <w:t>أفضل است</w:t>
      </w:r>
      <w:r>
        <w:rPr>
          <w:rFonts w:hint="cs"/>
          <w:rtl/>
        </w:rPr>
        <w:t>؛ چون</w:t>
      </w:r>
      <w:r w:rsidRPr="0045418B">
        <w:rPr>
          <w:rFonts w:hint="cs"/>
          <w:rtl/>
        </w:rPr>
        <w:t xml:space="preserve"> روایات در </w:t>
      </w:r>
      <w:r>
        <w:rPr>
          <w:rFonts w:hint="cs"/>
          <w:rtl/>
        </w:rPr>
        <w:t xml:space="preserve">مورد مقدار </w:t>
      </w:r>
      <w:r w:rsidRPr="0045418B">
        <w:rPr>
          <w:rFonts w:hint="cs"/>
          <w:rtl/>
        </w:rPr>
        <w:t>افضل</w:t>
      </w:r>
      <w:r>
        <w:rPr>
          <w:rFonts w:hint="cs"/>
          <w:rtl/>
        </w:rPr>
        <w:t>،</w:t>
      </w:r>
      <w:r w:rsidRPr="0045418B">
        <w:rPr>
          <w:rFonts w:hint="cs"/>
          <w:rtl/>
        </w:rPr>
        <w:t xml:space="preserve"> اختلاف دارند. </w:t>
      </w:r>
    </w:p>
    <w:p w:rsidR="00247D2F" w:rsidRPr="00520A48" w:rsidRDefault="00247D2F" w:rsidP="00520A48"/>
    <w:sectPr w:rsidR="00247D2F" w:rsidRPr="00520A48"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F6A" w:rsidRDefault="00B01F6A" w:rsidP="008B750B">
      <w:pPr>
        <w:spacing w:line="240" w:lineRule="auto"/>
      </w:pPr>
      <w:r>
        <w:separator/>
      </w:r>
    </w:p>
  </w:endnote>
  <w:endnote w:type="continuationSeparator" w:id="0">
    <w:p w:rsidR="00B01F6A" w:rsidRDefault="00B01F6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36D8A" w:rsidRPr="00E36D8A">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15796" w:rsidP="001B6799">
          <w:pPr>
            <w:pStyle w:val="Footer"/>
            <w:bidi w:val="0"/>
            <w:rPr>
              <w:color w:val="808080" w:themeColor="background1" w:themeShade="80"/>
              <w:rtl/>
            </w:rPr>
          </w:pPr>
          <w:bookmarkStart w:id="16" w:name="BokAdres"/>
          <w:bookmarkEnd w:id="16"/>
          <w:r>
            <w:rPr>
              <w:color w:val="808080" w:themeColor="background1" w:themeShade="80"/>
            </w:rPr>
            <w:t>F1mg1_13950815-032_sl1_mfeb.ir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F6A" w:rsidRDefault="00B01F6A" w:rsidP="008B750B">
      <w:pPr>
        <w:spacing w:line="240" w:lineRule="auto"/>
      </w:pPr>
      <w:r>
        <w:separator/>
      </w:r>
    </w:p>
  </w:footnote>
  <w:footnote w:type="continuationSeparator" w:id="0">
    <w:p w:rsidR="00B01F6A" w:rsidRDefault="00B01F6A" w:rsidP="008B750B">
      <w:pPr>
        <w:spacing w:line="240" w:lineRule="auto"/>
      </w:pPr>
      <w:r>
        <w:continuationSeparator/>
      </w:r>
    </w:p>
  </w:footnote>
  <w:footnote w:id="1">
    <w:p w:rsidR="00E36D8A" w:rsidRPr="00F04928" w:rsidRDefault="00E36D8A" w:rsidP="00E36D8A">
      <w:pPr>
        <w:pStyle w:val="NormalWeb"/>
        <w:bidi/>
        <w:spacing w:before="0" w:beforeAutospacing="0" w:after="0" w:afterAutospacing="0"/>
        <w:jc w:val="both"/>
        <w:rPr>
          <w:rFonts w:ascii="Noor_Titr" w:hAnsi="Noor_Titr" w:cs="B Badr" w:hint="cs"/>
          <w:sz w:val="22"/>
          <w:szCs w:val="22"/>
        </w:rPr>
      </w:pPr>
      <w:r w:rsidRPr="00F04928">
        <w:rPr>
          <w:rStyle w:val="FootnoteReference"/>
          <w:rFonts w:cs="B Badr"/>
          <w:sz w:val="22"/>
          <w:szCs w:val="22"/>
        </w:rPr>
        <w:footnoteRef/>
      </w:r>
      <w:r w:rsidRPr="00F04928">
        <w:rPr>
          <w:rFonts w:cs="B Badr"/>
          <w:sz w:val="22"/>
          <w:szCs w:val="22"/>
          <w:rtl/>
        </w:rPr>
        <w:t xml:space="preserve"> </w:t>
      </w:r>
      <w:r w:rsidRPr="00F04928">
        <w:rPr>
          <w:rFonts w:cs="B Badr" w:hint="cs"/>
          <w:sz w:val="22"/>
          <w:szCs w:val="22"/>
          <w:rtl/>
        </w:rPr>
        <w:t xml:space="preserve">- </w:t>
      </w:r>
      <w:r w:rsidRPr="00F04928">
        <w:rPr>
          <w:rFonts w:ascii="Noor_Titr" w:hAnsi="Noor_Titr" w:cs="B Badr" w:hint="cs"/>
          <w:sz w:val="22"/>
          <w:szCs w:val="22"/>
          <w:rtl/>
        </w:rPr>
        <w:t>مستمسك العروة الوثقى؛ ج‌4، ص: 191 (</w:t>
      </w:r>
      <w:r w:rsidRPr="00F04928">
        <w:rPr>
          <w:rFonts w:ascii="Noor_Lotus" w:hAnsi="Noor_Lotus" w:cs="B Badr" w:hint="cs"/>
          <w:sz w:val="22"/>
          <w:szCs w:val="22"/>
          <w:rtl/>
        </w:rPr>
        <w:t>لم أقف على من تعرض لهذه الشروط. و الظاهر أن الوجه في اعتبار الطهارة الإجماع).</w:t>
      </w:r>
    </w:p>
  </w:footnote>
  <w:footnote w:id="2">
    <w:p w:rsidR="00E36D8A" w:rsidRPr="00F04928" w:rsidRDefault="00E36D8A" w:rsidP="00E36D8A">
      <w:pPr>
        <w:pStyle w:val="NormalWeb"/>
        <w:bidi/>
        <w:spacing w:before="0" w:beforeAutospacing="0" w:after="0" w:afterAutospacing="0"/>
        <w:jc w:val="both"/>
        <w:rPr>
          <w:rFonts w:ascii="Noor_Titr" w:hAnsi="Noor_Titr" w:cs="B Badr" w:hint="cs"/>
          <w:sz w:val="22"/>
          <w:szCs w:val="22"/>
        </w:rPr>
      </w:pPr>
      <w:r w:rsidRPr="00F04928">
        <w:rPr>
          <w:rStyle w:val="FootnoteReference"/>
          <w:rFonts w:cs="B Badr"/>
          <w:sz w:val="22"/>
          <w:szCs w:val="22"/>
        </w:rPr>
        <w:footnoteRef/>
      </w:r>
      <w:r w:rsidRPr="00F04928">
        <w:rPr>
          <w:rFonts w:cs="B Badr"/>
          <w:sz w:val="22"/>
          <w:szCs w:val="22"/>
          <w:rtl/>
        </w:rPr>
        <w:t xml:space="preserve"> </w:t>
      </w:r>
      <w:r w:rsidRPr="00F04928">
        <w:rPr>
          <w:rFonts w:cs="B Badr" w:hint="cs"/>
          <w:sz w:val="22"/>
          <w:szCs w:val="22"/>
          <w:rtl/>
        </w:rPr>
        <w:t xml:space="preserve">- </w:t>
      </w:r>
      <w:r w:rsidRPr="00F04928">
        <w:rPr>
          <w:rFonts w:ascii="Noor_Titr" w:hAnsi="Noor_Titr" w:cs="B Badr" w:hint="cs"/>
          <w:sz w:val="22"/>
          <w:szCs w:val="22"/>
          <w:rtl/>
        </w:rPr>
        <w:t>موسوعة الإمام الخوئي؛ ج‌9، ص: 163 (</w:t>
      </w:r>
      <w:r w:rsidRPr="00F04928">
        <w:rPr>
          <w:rFonts w:ascii="Noor_Lotus" w:hAnsi="Noor_Lotus" w:cs="B Badr" w:hint="cs"/>
          <w:sz w:val="22"/>
          <w:szCs w:val="22"/>
          <w:rtl/>
        </w:rPr>
        <w:t>لم نجد بعد التتبع من تعرض لاشتراط الطهارة في كافور التحنيط و لم يرد اعتبارها في دليل، و العجيب دعوى الإجماع على اعتبارها في الكافور، إذ مع عدم تعرضهم لذلك كيف تكون المسألة إجماعية).</w:t>
      </w:r>
    </w:p>
  </w:footnote>
  <w:footnote w:id="3">
    <w:p w:rsidR="00E36D8A" w:rsidRPr="00872334" w:rsidRDefault="00E36D8A" w:rsidP="00E36D8A">
      <w:pPr>
        <w:pStyle w:val="FootnoteText"/>
        <w:jc w:val="both"/>
        <w:rPr>
          <w:rFonts w:hint="cs"/>
          <w:sz w:val="22"/>
          <w:szCs w:val="22"/>
        </w:rPr>
      </w:pPr>
      <w:r w:rsidRPr="00872334">
        <w:rPr>
          <w:rStyle w:val="FootnoteReference"/>
          <w:sz w:val="22"/>
          <w:szCs w:val="22"/>
        </w:rPr>
        <w:footnoteRef/>
      </w:r>
      <w:r w:rsidRPr="00872334">
        <w:rPr>
          <w:sz w:val="22"/>
          <w:szCs w:val="22"/>
          <w:rtl/>
        </w:rPr>
        <w:t xml:space="preserve"> </w:t>
      </w:r>
      <w:r w:rsidRPr="00872334">
        <w:rPr>
          <w:rFonts w:hint="cs"/>
          <w:sz w:val="22"/>
          <w:szCs w:val="22"/>
          <w:rtl/>
          <w:lang w:bidi="ar-SA"/>
        </w:rPr>
        <w:t xml:space="preserve">- </w:t>
      </w:r>
      <w:r w:rsidRPr="00872334">
        <w:rPr>
          <w:rFonts w:hint="cs"/>
          <w:sz w:val="22"/>
          <w:szCs w:val="22"/>
          <w:rtl/>
        </w:rPr>
        <w:t xml:space="preserve">وسائل الشيعة؛ ج‌3، صص: 33 </w:t>
      </w:r>
      <w:r w:rsidRPr="00872334">
        <w:rPr>
          <w:rFonts w:ascii="Times New Roman" w:hAnsi="Times New Roman" w:cs="Times New Roman" w:hint="cs"/>
          <w:sz w:val="22"/>
          <w:szCs w:val="22"/>
          <w:rtl/>
        </w:rPr>
        <w:t>–</w:t>
      </w:r>
      <w:r w:rsidRPr="00872334">
        <w:rPr>
          <w:rFonts w:hint="cs"/>
          <w:sz w:val="22"/>
          <w:szCs w:val="22"/>
          <w:rtl/>
        </w:rPr>
        <w:t xml:space="preserve"> 32، باب 14، أبواب التکفین، ح 3. (وَ عَنْهُ عَنْ أَبِيهِ عَنْ رِجَالِهِ عَنْ يُونُسَ عَنْهُمْ (علیهم السلام) قَالَ فِي تَحْنِيطِ الْمَيِّتِ وَ تَكْفِينِهِ- قَالَ ابْسُطِ الْحِبَرَةَ بَسْطاً- ثُمَّ ابْسُطْ عَلَيْهَا الْإِزَارَ- ثُمَّ ابْسُطِ الْقَمِيصَ عَلَيْهِ- وَ تَرُدُّ مُقَدَّمَ الْقَمِيصِ عَلَيْهِ ثُمَّ اعْمِدْ إِلَى كَافُورٍ- مَسْحُوقٍ فَضَعْهُ عَلَى جَبْهَتِهِ مَوْضِعِ سُجُودِهِ- </w:t>
      </w:r>
      <w:r w:rsidRPr="00872334">
        <w:rPr>
          <w:rFonts w:hint="cs"/>
          <w:sz w:val="22"/>
          <w:szCs w:val="22"/>
          <w:u w:val="single"/>
          <w:rtl/>
        </w:rPr>
        <w:t>وَ امْسَحْ بِالْكَافُورِ عَلَى جَمِيعِ مَفَاصِلِهِ</w:t>
      </w:r>
      <w:r w:rsidRPr="00872334">
        <w:rPr>
          <w:rFonts w:hint="cs"/>
          <w:sz w:val="22"/>
          <w:szCs w:val="22"/>
          <w:rtl/>
        </w:rPr>
        <w:t xml:space="preserve">  ...</w:t>
      </w:r>
      <w:r w:rsidRPr="00872334">
        <w:rPr>
          <w:rFonts w:hint="cs"/>
          <w:sz w:val="22"/>
          <w:szCs w:val="22"/>
          <w:rtl/>
          <w:lang w:bidi="ar-SA"/>
        </w:rPr>
        <w:t>».</w:t>
      </w:r>
    </w:p>
  </w:footnote>
  <w:footnote w:id="4">
    <w:p w:rsidR="00E36D8A" w:rsidRPr="00872334" w:rsidRDefault="00E36D8A" w:rsidP="00E36D8A">
      <w:pPr>
        <w:pStyle w:val="FootnoteText"/>
        <w:jc w:val="both"/>
        <w:rPr>
          <w:rFonts w:hint="cs"/>
          <w:sz w:val="22"/>
          <w:szCs w:val="22"/>
        </w:rPr>
      </w:pPr>
      <w:r w:rsidRPr="00872334">
        <w:rPr>
          <w:rStyle w:val="FootnoteReference"/>
          <w:sz w:val="22"/>
          <w:szCs w:val="22"/>
        </w:rPr>
        <w:footnoteRef/>
      </w:r>
      <w:r w:rsidRPr="00872334">
        <w:rPr>
          <w:sz w:val="22"/>
          <w:szCs w:val="22"/>
          <w:rtl/>
        </w:rPr>
        <w:t xml:space="preserve"> </w:t>
      </w:r>
      <w:r w:rsidRPr="00872334">
        <w:rPr>
          <w:rFonts w:hint="cs"/>
          <w:sz w:val="22"/>
          <w:szCs w:val="22"/>
          <w:rtl/>
        </w:rPr>
        <w:t>- العروة الوثقى (للسيد اليزدي)، ج‌1، ص: 414‌.</w:t>
      </w:r>
    </w:p>
  </w:footnote>
  <w:footnote w:id="5">
    <w:p w:rsidR="00E36D8A" w:rsidRPr="003557C5" w:rsidRDefault="00E36D8A" w:rsidP="00E36D8A">
      <w:pPr>
        <w:pStyle w:val="NormalWeb"/>
        <w:bidi/>
        <w:spacing w:before="0" w:beforeAutospacing="0" w:after="0" w:afterAutospacing="0"/>
        <w:jc w:val="both"/>
        <w:rPr>
          <w:rFonts w:ascii="Noor_Titr" w:hAnsi="Noor_Titr" w:cs="B Badr" w:hint="cs"/>
          <w:sz w:val="22"/>
          <w:szCs w:val="22"/>
        </w:rPr>
      </w:pPr>
      <w:r w:rsidRPr="003557C5">
        <w:rPr>
          <w:rStyle w:val="FootnoteReference"/>
          <w:rFonts w:cs="B Badr"/>
          <w:sz w:val="22"/>
          <w:szCs w:val="22"/>
        </w:rPr>
        <w:footnoteRef/>
      </w:r>
      <w:r w:rsidRPr="003557C5">
        <w:rPr>
          <w:rFonts w:cs="B Badr"/>
          <w:sz w:val="22"/>
          <w:szCs w:val="22"/>
          <w:rtl/>
        </w:rPr>
        <w:t xml:space="preserve"> </w:t>
      </w:r>
      <w:r w:rsidRPr="003557C5">
        <w:rPr>
          <w:rFonts w:cs="B Badr" w:hint="cs"/>
          <w:sz w:val="22"/>
          <w:szCs w:val="22"/>
          <w:rtl/>
        </w:rPr>
        <w:t xml:space="preserve">- </w:t>
      </w:r>
      <w:r w:rsidRPr="003557C5">
        <w:rPr>
          <w:rFonts w:ascii="Noor_Titr" w:hAnsi="Noor_Titr" w:cs="B Badr" w:hint="cs"/>
          <w:sz w:val="22"/>
          <w:szCs w:val="22"/>
          <w:rtl/>
        </w:rPr>
        <w:t>وسائل الشيعة؛ ج‌3، ص: 32، باب 14، أبواب التکفین، ح1. «</w:t>
      </w:r>
      <w:r w:rsidRPr="003557C5">
        <w:rPr>
          <w:rFonts w:ascii="Traditional Arabic" w:hAnsi="Traditional Arabic" w:cs="B Badr" w:hint="cs"/>
          <w:sz w:val="22"/>
          <w:szCs w:val="22"/>
          <w:rtl/>
        </w:rPr>
        <w:t>مُحَمَّدُ بْنُ يَعْقُوبَ عَنْ عَلِيِّ بْنِ إِبْرَاهِيمَ عَنْ أَبِيهِ عَنِ ابْنِ أَبِي عُمَيْرٍ عَنْ حَمَّادٍ عَنِ الْحَلَبِيِّ عَنْ أَبِي عَبْدِ اللَّهِ (علیه السلام) قَالَ:</w:t>
      </w:r>
      <w:r w:rsidRPr="003557C5">
        <w:rPr>
          <w:rFonts w:ascii="Noor_Lotus" w:hAnsi="Noor_Lotus" w:cs="B Badr" w:hint="cs"/>
          <w:sz w:val="22"/>
          <w:szCs w:val="22"/>
          <w:rtl/>
        </w:rPr>
        <w:t xml:space="preserve"> إِذَا أَرَدْتَ أَنْ تُحَنِّطَ الْمَيِّتَ- فَاعْمِدْ إِلَى الْكَافُورِ- فَامْسَحْ بِهِ آثَارَ السُّجُودِ مِنْهُ- وَ مَفَاصِلَهُ كُلَّهَا وَ رَأْسَهُ وَ لِحْيَتَهُ- وَ عَلَى صَدْرِهِ مِنَ الْحَنُوطِ- وَ قَالَ (حَنُوطُ الرَّجُلِ) وَ الْمَرْأَةِ سَوَاءٌ- وَ قَالَ أَكْرَهُ أَنْ يُتْبَعَ بِمِجْمَرَةٍ».</w:t>
      </w:r>
    </w:p>
  </w:footnote>
  <w:footnote w:id="6">
    <w:p w:rsidR="00E36D8A" w:rsidRDefault="00E36D8A" w:rsidP="00E36D8A">
      <w:pPr>
        <w:pStyle w:val="FootnoteText"/>
        <w:jc w:val="both"/>
        <w:rPr>
          <w:rFonts w:hint="cs"/>
        </w:rPr>
      </w:pPr>
      <w:r w:rsidRPr="00872334">
        <w:rPr>
          <w:rStyle w:val="FootnoteReference"/>
          <w:sz w:val="22"/>
          <w:szCs w:val="22"/>
        </w:rPr>
        <w:footnoteRef/>
      </w:r>
      <w:r w:rsidRPr="00872334">
        <w:rPr>
          <w:sz w:val="22"/>
          <w:szCs w:val="22"/>
          <w:rtl/>
        </w:rPr>
        <w:t xml:space="preserve"> </w:t>
      </w:r>
      <w:r w:rsidRPr="00872334">
        <w:rPr>
          <w:rFonts w:hint="cs"/>
          <w:sz w:val="22"/>
          <w:szCs w:val="22"/>
          <w:rtl/>
        </w:rPr>
        <w:t>- سوره بقره 2، آیه 158.</w:t>
      </w:r>
    </w:p>
  </w:footnote>
  <w:footnote w:id="7">
    <w:p w:rsidR="00E36D8A" w:rsidRPr="00EE5468" w:rsidRDefault="00E36D8A" w:rsidP="00E36D8A">
      <w:pPr>
        <w:pStyle w:val="NormalWeb"/>
        <w:bidi/>
        <w:spacing w:before="0" w:beforeAutospacing="0" w:after="0" w:afterAutospacing="0"/>
        <w:jc w:val="both"/>
        <w:rPr>
          <w:rFonts w:ascii="Noor_Titr" w:hAnsi="Noor_Titr" w:cs="B Badr" w:hint="cs"/>
          <w:sz w:val="22"/>
          <w:szCs w:val="22"/>
          <w:rtl/>
        </w:rPr>
      </w:pPr>
      <w:r w:rsidRPr="00EE5468">
        <w:rPr>
          <w:rStyle w:val="FootnoteReference"/>
          <w:rFonts w:cs="B Badr"/>
          <w:sz w:val="22"/>
          <w:szCs w:val="22"/>
        </w:rPr>
        <w:footnoteRef/>
      </w:r>
      <w:r w:rsidRPr="00EE5468">
        <w:rPr>
          <w:rFonts w:cs="B Badr"/>
          <w:sz w:val="22"/>
          <w:szCs w:val="22"/>
          <w:rtl/>
        </w:rPr>
        <w:t xml:space="preserve"> </w:t>
      </w:r>
      <w:r w:rsidRPr="00EE5468">
        <w:rPr>
          <w:rFonts w:cs="B Badr" w:hint="cs"/>
          <w:sz w:val="22"/>
          <w:szCs w:val="22"/>
          <w:rtl/>
        </w:rPr>
        <w:t xml:space="preserve">- </w:t>
      </w:r>
      <w:r w:rsidRPr="00EE5468">
        <w:rPr>
          <w:rFonts w:ascii="Noor_Titr" w:hAnsi="Noor_Titr" w:cs="B Badr" w:hint="cs"/>
          <w:sz w:val="22"/>
          <w:szCs w:val="22"/>
          <w:rtl/>
        </w:rPr>
        <w:t xml:space="preserve">موسوعة الإمام الخوئي؛ ج‌9، صص: 166 </w:t>
      </w:r>
      <w:r w:rsidRPr="00EE5468">
        <w:rPr>
          <w:rFonts w:hint="cs"/>
          <w:sz w:val="22"/>
          <w:szCs w:val="22"/>
          <w:rtl/>
        </w:rPr>
        <w:t>–</w:t>
      </w:r>
      <w:r w:rsidRPr="00EE5468">
        <w:rPr>
          <w:rFonts w:ascii="Noor_Titr" w:hAnsi="Noor_Titr" w:cs="B Badr" w:hint="cs"/>
          <w:sz w:val="22"/>
          <w:szCs w:val="22"/>
          <w:rtl/>
        </w:rPr>
        <w:t xml:space="preserve"> 165 (</w:t>
      </w:r>
      <w:r w:rsidRPr="00EE5468">
        <w:rPr>
          <w:rFonts w:ascii="Noor_Lotus" w:hAnsi="Noor_Lotus" w:cs="B Badr" w:hint="cs"/>
          <w:sz w:val="22"/>
          <w:szCs w:val="22"/>
          <w:rtl/>
        </w:rPr>
        <w:t>هذا تفريع على عدم اعتبار قصد التقرب في التحنيط، و فيه إشكال من جهتين:</w:t>
      </w:r>
      <w:r w:rsidRPr="00EE5468">
        <w:rPr>
          <w:rFonts w:ascii="Noor_Titr" w:hAnsi="Noor_Titr" w:cs="B Badr" w:hint="cs"/>
          <w:sz w:val="22"/>
          <w:szCs w:val="22"/>
          <w:rtl/>
        </w:rPr>
        <w:t xml:space="preserve"> </w:t>
      </w:r>
      <w:r w:rsidRPr="00EE5468">
        <w:rPr>
          <w:rFonts w:ascii="Noor_Lotus" w:hAnsi="Noor_Lotus" w:cs="B Badr" w:hint="cs"/>
          <w:sz w:val="22"/>
          <w:szCs w:val="22"/>
          <w:rtl/>
        </w:rPr>
        <w:t>الاولى: أنّ الواجب الّذي لم يعتبر فيه قصد التقرب لو كان يسقط بفعل الغير بمعنى عدم اعتبار المباشرة لم يفرق الحال فيه بين أن يأتي به الصبي المميز أو غيره أو‌ المجنون، أو تحقق بغير ذلك من الأسباب الخارجة عن الاختيار، فإنّه إذا أتى به الصبي غير المميز أو المجنون أجزأ ذلك في مقام الامتثال، فلا وجه لتخصيص الاجتزاء بما إذا باشره الصبي المميز كما ذكر في المتن.</w:t>
      </w:r>
      <w:r w:rsidRPr="00EE5468">
        <w:rPr>
          <w:rFonts w:ascii="Noor_Titr" w:hAnsi="Noor_Titr" w:cs="B Badr" w:hint="cs"/>
          <w:sz w:val="22"/>
          <w:szCs w:val="22"/>
          <w:rtl/>
        </w:rPr>
        <w:t xml:space="preserve"> </w:t>
      </w:r>
      <w:r w:rsidRPr="00EE5468">
        <w:rPr>
          <w:rFonts w:ascii="Noor_Lotus" w:hAnsi="Noor_Lotus" w:cs="B Badr" w:hint="cs"/>
          <w:sz w:val="22"/>
          <w:szCs w:val="22"/>
          <w:rtl/>
        </w:rPr>
        <w:t>الثانية: أنّه لا ملازمة بين كون الواجب توصلياً و بين عدم اعتبار المباشرة في سقوطه، لأنّ النسبة بينهما عموم من وجه، فقد يكون الواجب تعبّدياً و لا تعتبر فيه المباشرة كما في الزكاة فإن إخراجها واجب تعبّدي مع أنّه لو أخرجها غير المالك بأمر منه على ما عندنا أو مطلقاً على المشهور أجزأ ذلك عن المأمور به.</w:t>
      </w:r>
      <w:r w:rsidRPr="00EE5468">
        <w:rPr>
          <w:rFonts w:ascii="Noor_Titr" w:hAnsi="Noor_Titr" w:cs="B Badr" w:hint="cs"/>
          <w:sz w:val="22"/>
          <w:szCs w:val="22"/>
          <w:rtl/>
        </w:rPr>
        <w:t xml:space="preserve"> </w:t>
      </w:r>
      <w:r w:rsidRPr="00EE5468">
        <w:rPr>
          <w:rFonts w:ascii="Noor_Lotus" w:hAnsi="Noor_Lotus" w:cs="B Badr" w:hint="cs"/>
          <w:sz w:val="22"/>
          <w:szCs w:val="22"/>
          <w:rtl/>
        </w:rPr>
        <w:t>و قد يكون الواجب توصلياً و لا يسقط بفعل الغير، بل تعتبر فيه المباشرة مثل رد السلام فإنّه واجب توصلي و لا يسقط إلّا برد من وجب عليه رد السلام فان ردّ غيره لا يسقطه عن ذمّته، فلا ملازمة بين كون الواجب توصلياً و كونه ساقطاً من دون المباشرة.</w:t>
      </w:r>
    </w:p>
    <w:p w:rsidR="00E36D8A" w:rsidRPr="00EE5468" w:rsidRDefault="00E36D8A" w:rsidP="00E36D8A">
      <w:pPr>
        <w:pStyle w:val="NormalWeb"/>
        <w:bidi/>
        <w:spacing w:before="0" w:beforeAutospacing="0" w:after="0" w:afterAutospacing="0"/>
        <w:jc w:val="both"/>
        <w:rPr>
          <w:rFonts w:ascii="Noor_Lotus" w:hAnsi="Noor_Lotus" w:cs="Noor_Lotus" w:hint="cs"/>
          <w:color w:val="000000"/>
          <w:sz w:val="30"/>
          <w:szCs w:val="30"/>
        </w:rPr>
      </w:pPr>
      <w:r w:rsidRPr="00EE5468">
        <w:rPr>
          <w:rFonts w:ascii="Noor_Lotus" w:hAnsi="Noor_Lotus" w:cs="B Badr" w:hint="cs"/>
          <w:sz w:val="22"/>
          <w:szCs w:val="22"/>
          <w:rtl/>
        </w:rPr>
        <w:t>نعم، قد تقوم القرينة الخارجية على أنّ الغرض من إيجاب العمل ليس إلّا تحقّقه و وجوده في الخارج بأيّة كيفيّة كانت و حينئذ نلتزم بسقوطه بفعل الغير و لكنّه لأجل القرينة لا لأجل أنّه توصلي، و عليه فالظاهر عدم الاجتزاء في المقام بفعل غير المكلّفين و لا يسقط التحنيط بفعل الصبي و لا غيره عن ذمّة المكلّفين و إن كان واجباً توصّلياً، لما دلّ على أنّ القلم مرفوع عن الصبي و المجنون).</w:t>
      </w:r>
    </w:p>
  </w:footnote>
  <w:footnote w:id="8">
    <w:p w:rsidR="00E36D8A" w:rsidRPr="00056A9D" w:rsidRDefault="00E36D8A" w:rsidP="00E36D8A">
      <w:pPr>
        <w:pStyle w:val="FootnoteText"/>
        <w:jc w:val="both"/>
        <w:rPr>
          <w:rFonts w:hint="cs"/>
          <w:sz w:val="22"/>
          <w:szCs w:val="22"/>
        </w:rPr>
      </w:pPr>
      <w:r w:rsidRPr="00056A9D">
        <w:rPr>
          <w:rStyle w:val="FootnoteReference"/>
          <w:sz w:val="22"/>
          <w:szCs w:val="22"/>
        </w:rPr>
        <w:footnoteRef/>
      </w:r>
      <w:r w:rsidRPr="00056A9D">
        <w:rPr>
          <w:sz w:val="22"/>
          <w:szCs w:val="22"/>
          <w:rtl/>
        </w:rPr>
        <w:t xml:space="preserve"> </w:t>
      </w:r>
      <w:r w:rsidRPr="00056A9D">
        <w:rPr>
          <w:rFonts w:hint="cs"/>
          <w:sz w:val="22"/>
          <w:szCs w:val="22"/>
          <w:rtl/>
        </w:rPr>
        <w:t xml:space="preserve">- أقول: یعنی </w:t>
      </w:r>
      <w:r>
        <w:rPr>
          <w:rFonts w:hint="cs"/>
          <w:sz w:val="22"/>
          <w:szCs w:val="22"/>
          <w:rtl/>
        </w:rPr>
        <w:t xml:space="preserve">یا </w:t>
      </w:r>
      <w:r w:rsidRPr="00056A9D">
        <w:rPr>
          <w:rFonts w:hint="cs"/>
          <w:sz w:val="22"/>
          <w:szCs w:val="22"/>
          <w:rtl/>
        </w:rPr>
        <w:t>ظاهر امر، وجوب بر خصوص بالغین است.</w:t>
      </w:r>
    </w:p>
  </w:footnote>
  <w:footnote w:id="9">
    <w:p w:rsidR="00E36D8A" w:rsidRPr="006D5AC8" w:rsidRDefault="00E36D8A" w:rsidP="00E36D8A">
      <w:pPr>
        <w:pStyle w:val="FootnoteText"/>
        <w:jc w:val="both"/>
        <w:rPr>
          <w:rFonts w:hint="cs"/>
          <w:sz w:val="22"/>
          <w:szCs w:val="22"/>
        </w:rPr>
      </w:pPr>
      <w:r w:rsidRPr="006D5AC8">
        <w:rPr>
          <w:rStyle w:val="FootnoteReference"/>
          <w:sz w:val="22"/>
          <w:szCs w:val="22"/>
        </w:rPr>
        <w:footnoteRef/>
      </w:r>
      <w:r w:rsidRPr="006D5AC8">
        <w:rPr>
          <w:sz w:val="22"/>
          <w:szCs w:val="22"/>
          <w:rtl/>
        </w:rPr>
        <w:t xml:space="preserve"> </w:t>
      </w:r>
      <w:r w:rsidRPr="006D5AC8">
        <w:rPr>
          <w:rFonts w:hint="cs"/>
          <w:sz w:val="22"/>
          <w:szCs w:val="22"/>
          <w:rtl/>
        </w:rPr>
        <w:t xml:space="preserve">- </w:t>
      </w:r>
      <w:r w:rsidRPr="006D5AC8">
        <w:rPr>
          <w:rFonts w:hint="cs"/>
          <w:sz w:val="22"/>
          <w:szCs w:val="22"/>
          <w:rtl/>
        </w:rPr>
        <w:t>استاد: این عبارت اشتباه است، و عبارت صحیح، (ثلاثة عشر درهما</w:t>
      </w:r>
      <w:r>
        <w:rPr>
          <w:rFonts w:hint="cs"/>
          <w:sz w:val="22"/>
          <w:szCs w:val="22"/>
          <w:rtl/>
        </w:rPr>
        <w:t>ً</w:t>
      </w:r>
      <w:r w:rsidRPr="006D5AC8">
        <w:rPr>
          <w:rFonts w:hint="cs"/>
          <w:sz w:val="22"/>
          <w:szCs w:val="22"/>
          <w:rtl/>
        </w:rPr>
        <w:t xml:space="preserve"> و ثلثا</w:t>
      </w:r>
      <w:r>
        <w:rPr>
          <w:rFonts w:hint="cs"/>
          <w:sz w:val="22"/>
          <w:szCs w:val="22"/>
          <w:rtl/>
        </w:rPr>
        <w:t>ً</w:t>
      </w:r>
      <w:r w:rsidRPr="006D5AC8">
        <w:rPr>
          <w:rFonts w:hint="cs"/>
          <w:sz w:val="22"/>
          <w:szCs w:val="22"/>
          <w:rtl/>
        </w:rPr>
        <w:t>) است.</w:t>
      </w:r>
    </w:p>
  </w:footnote>
  <w:footnote w:id="10">
    <w:p w:rsidR="00E36D8A" w:rsidRDefault="00E36D8A" w:rsidP="00E36D8A">
      <w:pPr>
        <w:pStyle w:val="FootnoteText"/>
        <w:rPr>
          <w:rFonts w:hint="cs"/>
        </w:rPr>
      </w:pPr>
      <w:r>
        <w:rPr>
          <w:rStyle w:val="FootnoteReference"/>
        </w:rPr>
        <w:footnoteRef/>
      </w:r>
      <w:r>
        <w:rPr>
          <w:rtl/>
        </w:rPr>
        <w:t xml:space="preserve"> </w:t>
      </w:r>
      <w:r>
        <w:rPr>
          <w:rFonts w:hint="cs"/>
          <w:rtl/>
        </w:rPr>
        <w:t xml:space="preserve">- </w:t>
      </w:r>
      <w:r w:rsidRPr="00C92F73">
        <w:rPr>
          <w:rFonts w:hint="cs"/>
          <w:rtl/>
        </w:rPr>
        <w:t>العروة الوثقى (للسيد اليزدي)، ج‌1، ص</w:t>
      </w:r>
      <w:r>
        <w:rPr>
          <w:rFonts w:hint="cs"/>
          <w:rtl/>
        </w:rPr>
        <w:t>ص</w:t>
      </w:r>
      <w:r w:rsidRPr="00C92F73">
        <w:rPr>
          <w:rFonts w:hint="cs"/>
          <w:rtl/>
        </w:rPr>
        <w:t>: 415‌</w:t>
      </w:r>
      <w:r>
        <w:rPr>
          <w:rFonts w:hint="cs"/>
          <w:rtl/>
        </w:rPr>
        <w:t xml:space="preserve"> - 414.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36D8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015796">
      <w:rPr>
        <w:b/>
        <w:bCs/>
        <w:sz w:val="20"/>
        <w:szCs w:val="24"/>
        <w:rtl/>
      </w:rPr>
      <w:t>03</w:t>
    </w:r>
    <w:r w:rsidR="00E36D8A">
      <w:rPr>
        <w:rFonts w:hint="cs"/>
        <w:b/>
        <w:bCs/>
        <w:sz w:val="20"/>
        <w:szCs w:val="24"/>
        <w:rtl/>
      </w:rPr>
      <w:t>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015796">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015796">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015796">
      <w:rPr>
        <w:sz w:val="24"/>
        <w:szCs w:val="24"/>
        <w:rtl/>
      </w:rPr>
      <w:t>1</w:t>
    </w:r>
    <w:r w:rsidR="00E36D8A">
      <w:rPr>
        <w:rFonts w:hint="cs"/>
        <w:sz w:val="24"/>
        <w:szCs w:val="24"/>
        <w:rtl/>
      </w:rPr>
      <w:t>9</w:t>
    </w:r>
    <w:r w:rsidR="00015796">
      <w:rPr>
        <w:sz w:val="24"/>
        <w:szCs w:val="24"/>
        <w:rtl/>
      </w:rPr>
      <w:t xml:space="preserve"> /8 /1395</w:t>
    </w:r>
  </w:p>
  <w:p w:rsidR="00FA3B17" w:rsidRPr="00F16B53" w:rsidRDefault="00935A55" w:rsidP="00E36D8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AF25B9">
      <w:rPr>
        <w:rFonts w:hint="cs"/>
        <w:sz w:val="24"/>
        <w:szCs w:val="24"/>
        <w:rtl/>
      </w:rPr>
      <w:t xml:space="preserve"> حنوط</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015796">
      <w:rPr>
        <w:rFonts w:hint="cs"/>
        <w:sz w:val="24"/>
        <w:szCs w:val="24"/>
        <w:rtl/>
      </w:rPr>
      <w:t>سجاد</w:t>
    </w:r>
    <w:r w:rsidR="00015796">
      <w:rPr>
        <w:sz w:val="24"/>
        <w:szCs w:val="24"/>
        <w:rtl/>
      </w:rPr>
      <w:t xml:space="preserve"> </w:t>
    </w:r>
    <w:r w:rsidR="00015796">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E36D8A">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5796"/>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D0040"/>
    <w:rsid w:val="002E220F"/>
    <w:rsid w:val="0032100F"/>
    <w:rsid w:val="0033402C"/>
    <w:rsid w:val="00334F4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2055"/>
    <w:rsid w:val="00425015"/>
    <w:rsid w:val="00430994"/>
    <w:rsid w:val="00441B6D"/>
    <w:rsid w:val="004556EF"/>
    <w:rsid w:val="00462B07"/>
    <w:rsid w:val="00465BD2"/>
    <w:rsid w:val="004871AA"/>
    <w:rsid w:val="004926E1"/>
    <w:rsid w:val="004A2FEA"/>
    <w:rsid w:val="004D255E"/>
    <w:rsid w:val="004D75C5"/>
    <w:rsid w:val="004E2186"/>
    <w:rsid w:val="004E66FB"/>
    <w:rsid w:val="004F470A"/>
    <w:rsid w:val="004F4C59"/>
    <w:rsid w:val="00500C8F"/>
    <w:rsid w:val="00501909"/>
    <w:rsid w:val="005128DF"/>
    <w:rsid w:val="005206FE"/>
    <w:rsid w:val="00520A48"/>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55627"/>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1024"/>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25B9"/>
    <w:rsid w:val="00AF3925"/>
    <w:rsid w:val="00B01F6A"/>
    <w:rsid w:val="00B2292F"/>
    <w:rsid w:val="00B27227"/>
    <w:rsid w:val="00B43169"/>
    <w:rsid w:val="00B55AE4"/>
    <w:rsid w:val="00B739B0"/>
    <w:rsid w:val="00B814A3"/>
    <w:rsid w:val="00B9641A"/>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CF0E71"/>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36D8A"/>
    <w:rsid w:val="00E516C6"/>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44F3C"/>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3D87E-7814-46BF-A61E-FB4B32BB2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16</TotalTime>
  <Pages>6</Pages>
  <Words>1319</Words>
  <Characters>7523</Characters>
  <Application>Microsoft Office Word</Application>
  <DocSecurity>0</DocSecurity>
  <Lines>62</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8825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10</cp:revision>
  <cp:lastPrinted>2019-10-18T16:33:00Z</cp:lastPrinted>
  <dcterms:created xsi:type="dcterms:W3CDTF">2019-10-15T17:06:00Z</dcterms:created>
  <dcterms:modified xsi:type="dcterms:W3CDTF">2019-10-19T16:48:00Z</dcterms:modified>
</cp:coreProperties>
</file>