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B4D" w:rsidRDefault="00195B4D" w:rsidP="00195B4D">
      <w:pPr>
        <w:pStyle w:val="Heading10"/>
        <w:rPr>
          <w:b w:val="0"/>
          <w:bCs w:val="0"/>
          <w:color w:val="000000"/>
          <w:rtl/>
        </w:rPr>
      </w:pPr>
      <w:r w:rsidRPr="0047114C">
        <w:rPr>
          <w:rFonts w:hint="cs"/>
          <w:b w:val="0"/>
          <w:bCs w:val="0"/>
          <w:color w:val="000000"/>
          <w:rtl/>
        </w:rPr>
        <w:t>جلسه 46</w:t>
      </w:r>
    </w:p>
    <w:p w:rsidR="00195B4D" w:rsidRDefault="00195B4D" w:rsidP="00195B4D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بسم الله الرحمن الرحیم</w:t>
      </w:r>
    </w:p>
    <w:p w:rsidR="00195B4D" w:rsidRDefault="00195B4D" w:rsidP="00195B4D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الحمد لله رب العالمین</w:t>
      </w:r>
    </w:p>
    <w:p w:rsidR="00195B4D" w:rsidRPr="00DE6F2F" w:rsidRDefault="00195B4D" w:rsidP="00195B4D">
      <w:pPr>
        <w:pStyle w:val="Heading10"/>
        <w:rPr>
          <w:b w:val="0"/>
          <w:bCs w:val="0"/>
          <w:color w:val="008000"/>
          <w:rtl/>
        </w:rPr>
      </w:pPr>
      <w:r w:rsidRPr="000F610A">
        <w:rPr>
          <w:rFonts w:hint="cs"/>
          <w:b w:val="0"/>
          <w:bCs w:val="0"/>
          <w:rtl/>
        </w:rPr>
        <w:t>حدیث اخلاقی</w:t>
      </w:r>
      <w:r>
        <w:rPr>
          <w:rFonts w:hint="cs"/>
          <w:b w:val="0"/>
          <w:bCs w:val="0"/>
          <w:color w:val="008000"/>
          <w:rtl/>
        </w:rPr>
        <w:t>:</w:t>
      </w:r>
      <w:r w:rsidRPr="00DE6F2F">
        <w:rPr>
          <w:rFonts w:hint="cs"/>
          <w:b w:val="0"/>
          <w:bCs w:val="0"/>
          <w:color w:val="008000"/>
          <w:rtl/>
        </w:rPr>
        <w:t xml:space="preserve"> </w:t>
      </w:r>
      <w:r>
        <w:rPr>
          <w:rFonts w:hint="cs"/>
          <w:b w:val="0"/>
          <w:bCs w:val="0"/>
          <w:color w:val="008000"/>
          <w:rtl/>
        </w:rPr>
        <w:t>...</w:t>
      </w:r>
      <w:r w:rsidRPr="00DE6F2F">
        <w:rPr>
          <w:b w:val="0"/>
          <w:bCs w:val="0"/>
          <w:color w:val="008000"/>
          <w:rtl/>
        </w:rPr>
        <w:t>ويجب للوالدين على الولد ثلاثة أشياء: شكرهما على كل حال. وطاعتهما فيما يأمرانه وينهيانه عنه في غير معصية الله. ونصيحتهما في السر والعلانية. وتجب للولد على والده ثلاث خصال: إختياره لوالدته. وتحسين اسمه</w:t>
      </w:r>
      <w:r w:rsidRPr="00DE6F2F">
        <w:rPr>
          <w:rtl/>
        </w:rPr>
        <w:t xml:space="preserve"> </w:t>
      </w:r>
      <w:r w:rsidRPr="00DE6F2F">
        <w:rPr>
          <w:b w:val="0"/>
          <w:bCs w:val="0"/>
          <w:color w:val="008000"/>
          <w:rtl/>
        </w:rPr>
        <w:t>والمبالغة في تأديبه.</w:t>
      </w:r>
      <w:r>
        <w:rPr>
          <w:rStyle w:val="FootnoteReference"/>
          <w:b w:val="0"/>
          <w:bCs w:val="0"/>
          <w:color w:val="008000"/>
          <w:rtl/>
        </w:rPr>
        <w:footnoteReference w:id="1"/>
      </w:r>
      <w:r>
        <w:rPr>
          <w:rStyle w:val="FootnoteReference"/>
          <w:b w:val="0"/>
          <w:bCs w:val="0"/>
          <w:color w:val="008000"/>
          <w:rtl/>
        </w:rPr>
        <w:footnoteReference w:id="2"/>
      </w:r>
    </w:p>
    <w:p w:rsidR="00195B4D" w:rsidRDefault="00195B4D" w:rsidP="00195B4D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 فرع: برای ماموم شایسته است متابعت امام کند در قنوت، اگر چه جایگاه قنوت برای ماموم نباشد مثلا ماموم رکعت اولش باشد و امام در رکعت دوم باشد؛ جماعتی به این مطلب تصریح کرده اند و به روایت: </w:t>
      </w:r>
      <w:r w:rsidRPr="002D1BD3">
        <w:rPr>
          <w:b w:val="0"/>
          <w:bCs w:val="0"/>
          <w:color w:val="000000"/>
          <w:rtl/>
        </w:rPr>
        <w:t xml:space="preserve">عن الصادق عليه‌السلام </w:t>
      </w:r>
      <w:r w:rsidRPr="002D1BD3">
        <w:rPr>
          <w:b w:val="0"/>
          <w:bCs w:val="0"/>
          <w:color w:val="008000"/>
          <w:rtl/>
        </w:rPr>
        <w:t xml:space="preserve">« في الرجل يدخل في الركعة الأخيرة من الغداة مع الامام فقنت الإمام أيقنت معه؟ فقال : نعم </w:t>
      </w:r>
      <w:r w:rsidRPr="006335E6">
        <w:rPr>
          <w:color w:val="008000"/>
          <w:rtl/>
        </w:rPr>
        <w:t>ويجزيه من القنوت لنفسه</w:t>
      </w:r>
      <w:r w:rsidRPr="006335E6">
        <w:rPr>
          <w:color w:val="008000"/>
        </w:rPr>
        <w:t>.</w:t>
      </w:r>
      <w:r w:rsidRPr="006335E6">
        <w:rPr>
          <w:b w:val="0"/>
          <w:bCs w:val="0"/>
          <w:color w:val="008000"/>
          <w:vertAlign w:val="superscript"/>
          <w:rtl/>
        </w:rPr>
        <w:t xml:space="preserve"> </w:t>
      </w:r>
      <w:r>
        <w:rPr>
          <w:rStyle w:val="FootnoteReference"/>
          <w:b w:val="0"/>
          <w:bCs w:val="0"/>
          <w:color w:val="008000"/>
          <w:rtl/>
        </w:rPr>
        <w:footnoteReference w:id="3"/>
      </w:r>
      <w:r w:rsidRPr="002D1BD3">
        <w:rPr>
          <w:b w:val="0"/>
          <w:bCs w:val="0"/>
          <w:color w:val="008000"/>
          <w:rtl/>
        </w:rPr>
        <w:t xml:space="preserve">» </w:t>
      </w:r>
      <w:r>
        <w:rPr>
          <w:rFonts w:hint="cs"/>
          <w:b w:val="0"/>
          <w:bCs w:val="0"/>
          <w:color w:val="000000"/>
          <w:rtl/>
        </w:rPr>
        <w:t>استناد کرده اند.</w:t>
      </w:r>
    </w:p>
    <w:p w:rsidR="00195B4D" w:rsidRDefault="00195B4D" w:rsidP="00195B4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نکته متنی روایت: در عبارت (یجزیه) اختلاف شده که از قنوت خود ماموم در رکعت دوم مجزی است یا اینکه از همین قنوت مجزی است.</w:t>
      </w:r>
    </w:p>
    <w:p w:rsidR="00195B4D" w:rsidRPr="006335E6" w:rsidRDefault="00195B4D" w:rsidP="00195B4D">
      <w:pPr>
        <w:pStyle w:val="Heading10"/>
        <w:rPr>
          <w:rFonts w:hint="cs"/>
          <w:b w:val="0"/>
          <w:bCs w:val="0"/>
          <w:color w:val="008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اما  از قنوت خود ماموم در رکعت دوم، مجزی نیست به استناد روایت: </w:t>
      </w:r>
      <w:r w:rsidRPr="006335E6">
        <w:rPr>
          <w:rFonts w:hint="cs"/>
          <w:b w:val="0"/>
          <w:bCs w:val="0"/>
          <w:color w:val="008000"/>
          <w:rtl/>
        </w:rPr>
        <w:t>القنوت فی کل صل</w:t>
      </w:r>
      <w:r>
        <w:rPr>
          <w:rFonts w:hint="cs"/>
          <w:b w:val="0"/>
          <w:bCs w:val="0"/>
          <w:color w:val="008000"/>
          <w:rtl/>
        </w:rPr>
        <w:t>اه فی الرکعه الثانیه قبل الرکوع</w:t>
      </w:r>
      <w:r>
        <w:rPr>
          <w:rStyle w:val="FootnoteReference"/>
          <w:b w:val="0"/>
          <w:bCs w:val="0"/>
          <w:color w:val="008000"/>
          <w:rtl/>
        </w:rPr>
        <w:footnoteReference w:id="4"/>
      </w:r>
    </w:p>
    <w:p w:rsidR="00195B4D" w:rsidRDefault="00195B4D" w:rsidP="00195B4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اگر مردم در رکعت 4، درک جماعت کند، وقتی امام سلام نماز را داد، ماموم باید باقی نمازش را بخواند، در رکعت دوم باید قرائت را بخواند و در دو رکعت آخر، مخیر است که حمد بخواند یا تسبیحات اربعه.</w:t>
      </w:r>
    </w:p>
    <w:p w:rsidR="00195B4D" w:rsidRDefault="00195B4D" w:rsidP="00195B4D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اگر در رکعت 3و 4 امام به نماز اما رسیده باشد و امام در رکعت 3و4 حمد را نخوانده است بلکه تسبیحات اربعه را خوانده است، در این فرض ماموم در رکعت 3 و4 مخیر است قرائت حمد داشته باشد یا تسبیحات اربعه داشته باشد.   </w:t>
      </w:r>
    </w:p>
    <w:p w:rsidR="00195B4D" w:rsidRDefault="00195B4D" w:rsidP="00195B4D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روایت: فی الاخیرتین تسبیح و تکبیر و ... و</w:t>
      </w:r>
    </w:p>
    <w:p w:rsidR="00195B4D" w:rsidRPr="002D1BD3" w:rsidRDefault="00195B4D" w:rsidP="00195B4D">
      <w:pPr>
        <w:pStyle w:val="Heading10"/>
        <w:rPr>
          <w:b w:val="0"/>
          <w:bCs w:val="0"/>
          <w:color w:val="0000FF"/>
          <w:rtl/>
        </w:rPr>
      </w:pPr>
      <w:r w:rsidRPr="002D1BD3">
        <w:rPr>
          <w:b w:val="0"/>
          <w:bCs w:val="0"/>
          <w:color w:val="0000FF"/>
          <w:rtl/>
        </w:rPr>
        <w:t>وكذا ينبغي للمأموم متابعة الإمام أيضا في القنوت وإن لم يكن محل قنوته كما نص</w:t>
      </w:r>
      <w:r>
        <w:rPr>
          <w:b w:val="0"/>
          <w:bCs w:val="0"/>
          <w:color w:val="0000FF"/>
          <w:rtl/>
        </w:rPr>
        <w:t xml:space="preserve"> عليه جماعة‌ للموثق أو الصحيح </w:t>
      </w:r>
      <w:r w:rsidRPr="002D1BD3">
        <w:rPr>
          <w:b w:val="0"/>
          <w:bCs w:val="0"/>
          <w:color w:val="0000FF"/>
          <w:rtl/>
        </w:rPr>
        <w:t xml:space="preserve"> عن الصادق عليه‌السلام « في الرجل يدخل في الركعة الأخيرة من الغداة مع الامام فقنت الإمام أيقنت معه؟ فقال : نعم » الحديث. لكن لا يجزيه ذلك عن ال</w:t>
      </w:r>
      <w:r>
        <w:rPr>
          <w:b w:val="0"/>
          <w:bCs w:val="0"/>
          <w:color w:val="0000FF"/>
          <w:rtl/>
        </w:rPr>
        <w:t xml:space="preserve">قنوت لنفسه في ثانيته للعموم </w:t>
      </w:r>
      <w:r w:rsidRPr="002D1BD3">
        <w:rPr>
          <w:b w:val="0"/>
          <w:bCs w:val="0"/>
          <w:color w:val="0000FF"/>
          <w:rtl/>
        </w:rPr>
        <w:t>كما نص عليه في الرياض ، نعم لو اقتضى فوات المتابعة يسقط قطعا ، خصوصا بناء على ما تقدم من العلامة من تحريم جلسة الاستراحة على المأموم إذا لم يجلس الامام وإن كان هو واضح الفساد بالسيرة وغيرها ، وما في الصحيح المزبور محمول على الرخصة كما يشعر به لفظ الاجزاء على ما ذكرناه في بحث القنوت لا على فوات المتابعة ، لأن مفروض سؤال الصحيح الغداة ولا متابعة بعد إدراك الثانية منها فقط.</w:t>
      </w:r>
      <w:r w:rsidRPr="002D1BD3">
        <w:rPr>
          <w:rtl/>
        </w:rPr>
        <w:t xml:space="preserve"> </w:t>
      </w:r>
      <w:r w:rsidRPr="002D1BD3">
        <w:rPr>
          <w:b w:val="0"/>
          <w:bCs w:val="0"/>
          <w:color w:val="0000FF"/>
          <w:rtl/>
        </w:rPr>
        <w:t xml:space="preserve">ومن جميع ما سمعت ظهر لك الحال في قول المصنف ولو أدركه أي </w:t>
      </w:r>
      <w:r w:rsidRPr="002D1BD3">
        <w:rPr>
          <w:b w:val="0"/>
          <w:bCs w:val="0"/>
          <w:color w:val="0000FF"/>
          <w:rtl/>
        </w:rPr>
        <w:lastRenderedPageBreak/>
        <w:t>الإمام في الرابعة دخل معه ، فإذا سلم قام فصلى ما بقي عليه ويقرأ في الثانية له بالحمد والسورة قطعا ، لأنه منفرد ولذا كان في الاثنتين الأخيرتين له أن يقرأ بالحمد ، وإن شاء سبح بلا إشكال ولا خلاف كما اعترف به في المدارك ، إنما الخلاف فيما إذا أدرك معه الركعتين الأخيرتين وسبح الامام فيهما ، فالمشهور كما في الروض والذخيرة على بقاء التخيير له أيضا وإن سبح الامام فيهما ولم يقرأ ، بل في المنتهى نسبته إلى‌</w:t>
      </w:r>
      <w:r w:rsidRPr="002D1BD3">
        <w:rPr>
          <w:rtl/>
        </w:rPr>
        <w:t xml:space="preserve"> </w:t>
      </w:r>
      <w:r w:rsidRPr="002D1BD3">
        <w:rPr>
          <w:b w:val="0"/>
          <w:bCs w:val="0"/>
          <w:color w:val="0000FF"/>
          <w:rtl/>
        </w:rPr>
        <w:t>علمائنا ، وهو الأقوى لإطلاق أدلته ، وصحيح زرارة السابق</w:t>
      </w:r>
      <w:r>
        <w:rPr>
          <w:b w:val="0"/>
          <w:bCs w:val="0"/>
          <w:color w:val="0000FF"/>
          <w:rtl/>
        </w:rPr>
        <w:t xml:space="preserve"> </w:t>
      </w:r>
      <w:r w:rsidRPr="002D1BD3">
        <w:rPr>
          <w:b w:val="0"/>
          <w:bCs w:val="0"/>
          <w:color w:val="0000FF"/>
          <w:rtl/>
        </w:rPr>
        <w:t xml:space="preserve">وغيره ، خلافا لما أرسله غير واحد عن بعض من وجوب القراءة عليه معللين ذلك بأنه لئلا تخلو الصلاة عن فاتحة الكتاب التي لا صلاة بدونها ، وهو مشعر باختصاص الخلاف فيما إذا لم يقرأ المأموم إما لعدم وجوبها عليه أو لعدم تيسرها له ، ومال إليه في الحدائق ، لصحيح </w:t>
      </w:r>
      <w:r>
        <w:rPr>
          <w:b w:val="0"/>
          <w:bCs w:val="0"/>
          <w:color w:val="0000FF"/>
          <w:rtl/>
        </w:rPr>
        <w:t xml:space="preserve">معاوية بن وهب </w:t>
      </w:r>
      <w:r w:rsidRPr="002D1BD3">
        <w:rPr>
          <w:b w:val="0"/>
          <w:bCs w:val="0"/>
          <w:color w:val="0000FF"/>
          <w:rtl/>
        </w:rPr>
        <w:t xml:space="preserve"> ومرسل </w:t>
      </w:r>
      <w:r>
        <w:rPr>
          <w:b w:val="0"/>
          <w:bCs w:val="0"/>
          <w:color w:val="0000FF"/>
          <w:rtl/>
        </w:rPr>
        <w:t>ابن النضر</w:t>
      </w:r>
      <w:r w:rsidRPr="002D1BD3">
        <w:rPr>
          <w:b w:val="0"/>
          <w:bCs w:val="0"/>
          <w:color w:val="0000FF"/>
          <w:rtl/>
        </w:rPr>
        <w:t xml:space="preserve"> المتقدمين سابقا ، قال : وبهما يخص إطلاق </w:t>
      </w:r>
      <w:r>
        <w:rPr>
          <w:b w:val="0"/>
          <w:bCs w:val="0"/>
          <w:color w:val="0000FF"/>
          <w:rtl/>
        </w:rPr>
        <w:t>أدلة التخيير كما خصصت بأخبار</w:t>
      </w:r>
      <w:r w:rsidRPr="002D1BD3">
        <w:rPr>
          <w:b w:val="0"/>
          <w:bCs w:val="0"/>
          <w:color w:val="0000FF"/>
          <w:rtl/>
        </w:rPr>
        <w:t xml:space="preserve"> ناسي القراءة في الأولتين كما قدمنا التحقيق فيه سابقا ، وهو كما ترى ضعيف جدا ، لقصورهما عن ذلك من وجوه لا تخفى.</w:t>
      </w:r>
      <w:r>
        <w:rPr>
          <w:rStyle w:val="FootnoteReference"/>
          <w:b w:val="0"/>
          <w:bCs w:val="0"/>
          <w:color w:val="0000FF"/>
          <w:rtl/>
        </w:rPr>
        <w:footnoteReference w:id="5"/>
      </w: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66C" w:rsidRDefault="00AB466C" w:rsidP="00195B4D">
      <w:pPr>
        <w:spacing w:after="0" w:line="240" w:lineRule="auto"/>
      </w:pPr>
      <w:r>
        <w:separator/>
      </w:r>
    </w:p>
  </w:endnote>
  <w:endnote w:type="continuationSeparator" w:id="0">
    <w:p w:rsidR="00AB466C" w:rsidRDefault="00AB466C" w:rsidP="0019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66C" w:rsidRDefault="00AB466C" w:rsidP="00195B4D">
      <w:pPr>
        <w:spacing w:after="0" w:line="240" w:lineRule="auto"/>
      </w:pPr>
      <w:r>
        <w:separator/>
      </w:r>
    </w:p>
  </w:footnote>
  <w:footnote w:type="continuationSeparator" w:id="0">
    <w:p w:rsidR="00AB466C" w:rsidRDefault="00AB466C" w:rsidP="00195B4D">
      <w:pPr>
        <w:spacing w:after="0" w:line="240" w:lineRule="auto"/>
      </w:pPr>
      <w:r>
        <w:continuationSeparator/>
      </w:r>
    </w:p>
  </w:footnote>
  <w:footnote w:id="1">
    <w:p w:rsidR="00195B4D" w:rsidRPr="00DE6F2F" w:rsidRDefault="00195B4D" w:rsidP="00195B4D">
      <w:pPr>
        <w:pStyle w:val="FootnoteText"/>
        <w:rPr>
          <w:rFonts w:hint="cs"/>
          <w:rtl/>
        </w:rPr>
      </w:pPr>
      <w:r w:rsidRPr="00DE6F2F">
        <w:footnoteRef/>
      </w:r>
      <w:r w:rsidRPr="00DE6F2F">
        <w:rPr>
          <w:rtl/>
        </w:rPr>
        <w:t xml:space="preserve"> </w:t>
      </w:r>
      <w:hyperlink r:id="rId1" w:history="1">
        <w:r w:rsidRPr="00DE6F2F">
          <w:rPr>
            <w:rStyle w:val="Hyperlink"/>
            <w:rtl/>
          </w:rPr>
          <w:t>تحف العقول، ابن شعبة الحراني، ج1، ص322.</w:t>
        </w:r>
      </w:hyperlink>
    </w:p>
  </w:footnote>
  <w:footnote w:id="2">
    <w:p w:rsidR="00195B4D" w:rsidRPr="00DE6F2F" w:rsidRDefault="00195B4D" w:rsidP="00195B4D">
      <w:pPr>
        <w:pStyle w:val="FootnoteText"/>
        <w:rPr>
          <w:rFonts w:hint="cs"/>
          <w:rtl/>
        </w:rPr>
      </w:pPr>
      <w:r w:rsidRPr="00DE6F2F">
        <w:footnoteRef/>
      </w:r>
      <w:r w:rsidRPr="00DE6F2F">
        <w:rPr>
          <w:rtl/>
        </w:rPr>
        <w:t xml:space="preserve"> </w:t>
      </w:r>
      <w:hyperlink r:id="rId2" w:history="1">
        <w:r w:rsidRPr="00DE6F2F">
          <w:rPr>
            <w:rStyle w:val="Hyperlink"/>
            <w:rtl/>
          </w:rPr>
          <w:t xml:space="preserve">بحار </w:t>
        </w:r>
        <w:r w:rsidRPr="00DE6F2F">
          <w:rPr>
            <w:rStyle w:val="Hyperlink"/>
            <w:rtl/>
          </w:rPr>
          <w:t>الأنوار - ط مؤسسةالوفاء، العلامة المجلسي، ج78، ص236.</w:t>
        </w:r>
      </w:hyperlink>
    </w:p>
  </w:footnote>
  <w:footnote w:id="3">
    <w:p w:rsidR="00195B4D" w:rsidRPr="002D1BD3" w:rsidRDefault="00195B4D" w:rsidP="00195B4D">
      <w:pPr>
        <w:pStyle w:val="FootnoteText"/>
        <w:rPr>
          <w:rFonts w:hint="cs"/>
          <w:rtl/>
        </w:rPr>
      </w:pPr>
      <w:r w:rsidRPr="002D1BD3">
        <w:footnoteRef/>
      </w:r>
      <w:r w:rsidRPr="002D1BD3">
        <w:rPr>
          <w:rtl/>
        </w:rPr>
        <w:t xml:space="preserve"> </w:t>
      </w:r>
      <w:hyperlink r:id="rId3" w:history="1">
        <w:r w:rsidRPr="002D1BD3">
          <w:rPr>
            <w:rStyle w:val="Hyperlink"/>
            <w:rtl/>
          </w:rPr>
          <w:t xml:space="preserve">وسائل </w:t>
        </w:r>
        <w:r w:rsidRPr="002D1BD3">
          <w:rPr>
            <w:rStyle w:val="Hyperlink"/>
            <w:rtl/>
          </w:rPr>
          <w:t>الشيعة، الشيخ الحر العاملي، ج4، ص915، أبواب صلاه الجماعه، باب17، ح1، ط الإسلامية.</w:t>
        </w:r>
      </w:hyperlink>
    </w:p>
  </w:footnote>
  <w:footnote w:id="4">
    <w:p w:rsidR="00195B4D" w:rsidRPr="006335E6" w:rsidRDefault="00195B4D" w:rsidP="00195B4D">
      <w:pPr>
        <w:pStyle w:val="FootnoteText"/>
        <w:rPr>
          <w:rFonts w:hint="cs"/>
        </w:rPr>
      </w:pPr>
      <w:r w:rsidRPr="006335E6">
        <w:footnoteRef/>
      </w:r>
      <w:r w:rsidRPr="006335E6">
        <w:rPr>
          <w:rtl/>
        </w:rPr>
        <w:t xml:space="preserve"> </w:t>
      </w:r>
      <w:hyperlink r:id="rId4" w:history="1">
        <w:r w:rsidRPr="006335E6">
          <w:rPr>
            <w:rStyle w:val="Hyperlink"/>
            <w:rtl/>
          </w:rPr>
          <w:t xml:space="preserve">من </w:t>
        </w:r>
        <w:r w:rsidRPr="006335E6">
          <w:rPr>
            <w:rStyle w:val="Hyperlink"/>
            <w:rtl/>
          </w:rPr>
          <w:t>لا يحضره الفقيه‏، الشيخ الصدوق‏، ج1، ص485.</w:t>
        </w:r>
      </w:hyperlink>
    </w:p>
  </w:footnote>
  <w:footnote w:id="5">
    <w:p w:rsidR="00195B4D" w:rsidRPr="002D1BD3" w:rsidRDefault="00195B4D" w:rsidP="00195B4D">
      <w:pPr>
        <w:pStyle w:val="FootnoteText"/>
        <w:rPr>
          <w:rFonts w:hint="cs"/>
          <w:rtl/>
        </w:rPr>
      </w:pPr>
      <w:r w:rsidRPr="002D1BD3">
        <w:footnoteRef/>
      </w:r>
      <w:r w:rsidRPr="002D1BD3">
        <w:rPr>
          <w:rtl/>
        </w:rPr>
        <w:t xml:space="preserve"> </w:t>
      </w:r>
      <w:hyperlink r:id="rId5" w:history="1">
        <w:r w:rsidRPr="002D1BD3">
          <w:rPr>
            <w:rStyle w:val="Hyperlink"/>
            <w:rtl/>
          </w:rPr>
          <w:t xml:space="preserve">جواهر </w:t>
        </w:r>
        <w:r w:rsidRPr="002D1BD3">
          <w:rPr>
            <w:rStyle w:val="Hyperlink"/>
            <w:rtl/>
          </w:rPr>
          <w:t>الكلا</w:t>
        </w:r>
        <w:r w:rsidRPr="002D1BD3">
          <w:rPr>
            <w:rStyle w:val="Hyperlink"/>
            <w:rtl/>
          </w:rPr>
          <w:t>م</w:t>
        </w:r>
        <w:r w:rsidRPr="002D1BD3">
          <w:rPr>
            <w:rStyle w:val="Hyperlink"/>
            <w:rtl/>
          </w:rPr>
          <w:t>، النجفي الجواهري، الشيخ محمد حسن، ج14، ص53.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B4D"/>
    <w:rsid w:val="000739A7"/>
    <w:rsid w:val="0008308E"/>
    <w:rsid w:val="000E4C02"/>
    <w:rsid w:val="00152670"/>
    <w:rsid w:val="00164651"/>
    <w:rsid w:val="00195B4D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AB466C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2D9E446D-D1E6-4309-998D-252B133F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95B4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95B4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95B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4/4/915/&#1575;&#1604;&#1594;&#1583;&#1575;&#1607;" TargetMode="External"/><Relationship Id="rId2" Type="http://schemas.openxmlformats.org/officeDocument/2006/relationships/hyperlink" Target="http://lib.eshia.ir/11008/78/236/&#1606;&#1589;&#1740;&#1581;&#1578;&#1607;&#1605;&#1575;" TargetMode="External"/><Relationship Id="rId1" Type="http://schemas.openxmlformats.org/officeDocument/2006/relationships/hyperlink" Target="http://lib.eshia.ir/15139/1/322/&#1604;&#1604;&#1608;&#1575;&#1604;&#1583;&#1740;&#1606;" TargetMode="External"/><Relationship Id="rId5" Type="http://schemas.openxmlformats.org/officeDocument/2006/relationships/hyperlink" Target="http://lib.eshia.ir/10088/14/53/&#1575;&#1604;&#1594;&#1583;&#1575;&#1607;" TargetMode="External"/><Relationship Id="rId4" Type="http://schemas.openxmlformats.org/officeDocument/2006/relationships/hyperlink" Target="http://lib.eshia.ir/11021/1/485/&#1575;&#1604;&#1602;&#1606;&#1608;&#1578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RasaEc</dc:creator>
  <cp:keywords/>
  <dc:description/>
  <cp:lastModifiedBy>RasaEc</cp:lastModifiedBy>
  <cp:revision>1</cp:revision>
  <dcterms:created xsi:type="dcterms:W3CDTF">2021-12-15T16:59:00Z</dcterms:created>
  <dcterms:modified xsi:type="dcterms:W3CDTF">2021-12-15T17:00:00Z</dcterms:modified>
</cp:coreProperties>
</file>