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78846" w14:textId="77777777" w:rsidR="006C3E66" w:rsidRDefault="006C3E66" w:rsidP="006C3E66">
      <w:pPr>
        <w:pStyle w:val="Heading10"/>
        <w:rPr>
          <w:b w:val="0"/>
          <w:bCs w:val="0"/>
          <w:color w:val="000000"/>
          <w:rtl/>
        </w:rPr>
      </w:pPr>
      <w:bookmarkStart w:id="0" w:name="_GoBack"/>
      <w:bookmarkEnd w:id="0"/>
      <w:r>
        <w:rPr>
          <w:rFonts w:hint="cs"/>
          <w:b w:val="0"/>
          <w:bCs w:val="0"/>
          <w:color w:val="000000"/>
          <w:rtl/>
        </w:rPr>
        <w:t>جلسه 28</w:t>
      </w:r>
    </w:p>
    <w:p w14:paraId="7063E8B4" w14:textId="77777777" w:rsidR="006C3E66" w:rsidRDefault="006C3E66" w:rsidP="006C3E66">
      <w:pPr>
        <w:pStyle w:val="Heading10"/>
        <w:rPr>
          <w:b w:val="0"/>
          <w:bCs w:val="0"/>
          <w:color w:val="000000"/>
          <w:rtl/>
        </w:rPr>
      </w:pPr>
      <w:r>
        <w:rPr>
          <w:rFonts w:hint="cs"/>
          <w:b w:val="0"/>
          <w:bCs w:val="0"/>
          <w:color w:val="000000"/>
          <w:rtl/>
        </w:rPr>
        <w:t>بسم الله الرحمن الرحیم</w:t>
      </w:r>
    </w:p>
    <w:p w14:paraId="43E32439" w14:textId="77777777" w:rsidR="006C3E66" w:rsidRDefault="006C3E66" w:rsidP="006C3E66">
      <w:pPr>
        <w:pStyle w:val="Heading10"/>
        <w:rPr>
          <w:b w:val="0"/>
          <w:bCs w:val="0"/>
          <w:color w:val="000000"/>
          <w:rtl/>
        </w:rPr>
      </w:pPr>
      <w:r>
        <w:rPr>
          <w:rFonts w:hint="cs"/>
          <w:b w:val="0"/>
          <w:bCs w:val="0"/>
          <w:color w:val="000000"/>
          <w:rtl/>
        </w:rPr>
        <w:t>الحمد لله رب العالمین</w:t>
      </w:r>
    </w:p>
    <w:p w14:paraId="7BF168A8" w14:textId="77777777" w:rsidR="006C3E66" w:rsidRDefault="006C3E66" w:rsidP="006C3E66">
      <w:pPr>
        <w:pStyle w:val="Heading10"/>
        <w:rPr>
          <w:b w:val="0"/>
          <w:bCs w:val="0"/>
          <w:color w:val="000000"/>
          <w:rtl/>
        </w:rPr>
      </w:pPr>
      <w:r>
        <w:rPr>
          <w:rFonts w:hint="cs"/>
          <w:b w:val="0"/>
          <w:bCs w:val="0"/>
          <w:color w:val="000000"/>
          <w:rtl/>
        </w:rPr>
        <w:t>قصد انفراد در نمازی که جماعت آن مستحب است، جائز است و درک رکوع رکعت اول شرط نیست و ادله مطلق از چنین شرط است.</w:t>
      </w:r>
    </w:p>
    <w:p w14:paraId="7748FFF2" w14:textId="77777777" w:rsidR="006C3E66" w:rsidRDefault="006C3E66" w:rsidP="006C3E66">
      <w:pPr>
        <w:pStyle w:val="Heading10"/>
        <w:rPr>
          <w:b w:val="0"/>
          <w:bCs w:val="0"/>
          <w:color w:val="000000"/>
          <w:rtl/>
        </w:rPr>
      </w:pPr>
      <w:r>
        <w:rPr>
          <w:rFonts w:hint="cs"/>
          <w:b w:val="0"/>
          <w:bCs w:val="0"/>
          <w:color w:val="000000"/>
          <w:rtl/>
        </w:rPr>
        <w:t>ادله جواز قصد انفراد به جماعت در هرجای نماز:</w:t>
      </w:r>
    </w:p>
    <w:p w14:paraId="468FDE20" w14:textId="77777777" w:rsidR="006C3E66" w:rsidRPr="00F73148" w:rsidRDefault="006C3E66" w:rsidP="006C3E66">
      <w:pPr>
        <w:pStyle w:val="Heading10"/>
        <w:rPr>
          <w:b w:val="0"/>
          <w:bCs w:val="0"/>
          <w:color w:val="008000"/>
          <w:rtl/>
        </w:rPr>
      </w:pPr>
      <w:r w:rsidRPr="00F73148">
        <w:rPr>
          <w:b w:val="0"/>
          <w:bCs w:val="0"/>
          <w:color w:val="008000"/>
          <w:rtl/>
        </w:rPr>
        <w:t>[ ٩٥١٤ ] ١ ـ محمد بن علي بن الحسين بإسناده عن عبد الرحمن بن الحجاج ، عن أبي الحسن عليه‌السلام ، في رجل صلى في جماعة يوم الجمعة فلما ركع الإمام ألجأه الناس إلى جدار أو اسطوانة فلم يقدر على أن يركع ، ولا يسجد حتى رفع القوم رؤوسهم ، أيركع ثم يسجد ويلحق بالصف وقد قام القوم ، أم كيف يصنع؟ قال : يركع ويسجد ثم يقوم في الصف لا بأس بذلك.</w:t>
      </w:r>
      <w:r>
        <w:rPr>
          <w:rStyle w:val="FootnoteReference"/>
          <w:b w:val="0"/>
          <w:bCs w:val="0"/>
          <w:color w:val="008000"/>
          <w:rtl/>
        </w:rPr>
        <w:footnoteReference w:id="1"/>
      </w:r>
    </w:p>
    <w:p w14:paraId="18494B2B" w14:textId="77777777" w:rsidR="006C3E66" w:rsidRDefault="006C3E66" w:rsidP="006C3E66">
      <w:pPr>
        <w:pStyle w:val="Heading10"/>
        <w:rPr>
          <w:b w:val="0"/>
          <w:bCs w:val="0"/>
          <w:color w:val="000000"/>
          <w:rtl/>
        </w:rPr>
      </w:pPr>
      <w:r>
        <w:rPr>
          <w:rFonts w:hint="cs"/>
          <w:b w:val="0"/>
          <w:bCs w:val="0"/>
          <w:color w:val="000000"/>
          <w:rtl/>
        </w:rPr>
        <w:t>وجه استدلال به این روایت اطلاق روایت می باشد زیرا امام حکم به صحت کرده اند اگرچه  در رکعت اول نتوانسته به رکوع جماعت برسد، اگر رکوع رکعت اول شرط صحت بود لازم بود امام علیه السلام بیان می کردند لذا از این روایت اطلاق استفاده می شود.</w:t>
      </w:r>
    </w:p>
    <w:p w14:paraId="4ED5666B" w14:textId="77777777" w:rsidR="006C3E66" w:rsidRDefault="006C3E66" w:rsidP="006C3E66">
      <w:pPr>
        <w:pStyle w:val="Heading10"/>
        <w:rPr>
          <w:b w:val="0"/>
          <w:bCs w:val="0"/>
          <w:color w:val="000000"/>
          <w:rtl/>
        </w:rPr>
      </w:pPr>
      <w:r>
        <w:rPr>
          <w:rFonts w:hint="cs"/>
          <w:b w:val="0"/>
          <w:bCs w:val="0"/>
          <w:color w:val="000000"/>
          <w:rtl/>
        </w:rPr>
        <w:t>اشکال: این روایت در مورد نماز جمعه است و در نماز جمعه جماعت واجب است و قصد انفراد،در نماز جمعه  صحیح نمی باشد.</w:t>
      </w:r>
    </w:p>
    <w:p w14:paraId="6BC700BE" w14:textId="77777777" w:rsidR="006C3E66" w:rsidRDefault="006C3E66" w:rsidP="006C3E66">
      <w:pPr>
        <w:pStyle w:val="Heading10"/>
        <w:rPr>
          <w:b w:val="0"/>
          <w:bCs w:val="0"/>
          <w:color w:val="000000"/>
          <w:rtl/>
        </w:rPr>
      </w:pPr>
      <w:r>
        <w:rPr>
          <w:rFonts w:hint="cs"/>
          <w:b w:val="0"/>
          <w:bCs w:val="0"/>
          <w:color w:val="000000"/>
          <w:rtl/>
        </w:rPr>
        <w:t>جوب اشکال: تعدی از نص از نماز جمعه بر نماز جماعت کنیم، البته صاحب جواهر نمی پذیرد.</w:t>
      </w:r>
    </w:p>
    <w:p w14:paraId="4C746C1D" w14:textId="77777777" w:rsidR="006C3E66" w:rsidRDefault="006C3E66" w:rsidP="006C3E66">
      <w:pPr>
        <w:pStyle w:val="Heading10"/>
        <w:rPr>
          <w:b w:val="0"/>
          <w:bCs w:val="0"/>
          <w:color w:val="000000"/>
          <w:rtl/>
        </w:rPr>
      </w:pPr>
      <w:r>
        <w:rPr>
          <w:rFonts w:hint="cs"/>
          <w:b w:val="0"/>
          <w:bCs w:val="0"/>
          <w:color w:val="000000"/>
          <w:rtl/>
        </w:rPr>
        <w:t>دلیل دوم: اجماع داریم چه جماعت را ادراک کند یا نکند.</w:t>
      </w:r>
    </w:p>
    <w:p w14:paraId="29646E60" w14:textId="77777777" w:rsidR="006C3E66" w:rsidRDefault="006C3E66" w:rsidP="006C3E66">
      <w:pPr>
        <w:pStyle w:val="Heading10"/>
        <w:rPr>
          <w:b w:val="0"/>
          <w:bCs w:val="0"/>
          <w:color w:val="000000"/>
          <w:rtl/>
        </w:rPr>
      </w:pPr>
      <w:r>
        <w:rPr>
          <w:rFonts w:hint="cs"/>
          <w:b w:val="0"/>
          <w:bCs w:val="0"/>
          <w:color w:val="000000"/>
          <w:rtl/>
        </w:rPr>
        <w:t>دلیل سوم: اطلاق فتاوی در این مطلب داریم حتی قبل از رکوع رفتن امام می تواند قصد انفراد کند، البته  نصوصی  که دلالت بر عدم ادراک جماعت در جایی که رکوع را در نکرده، داریم.</w:t>
      </w:r>
    </w:p>
    <w:p w14:paraId="0CEB2A8D" w14:textId="77777777" w:rsidR="006C3E66" w:rsidRPr="00AF5471" w:rsidRDefault="006C3E66" w:rsidP="006C3E66">
      <w:pPr>
        <w:pStyle w:val="Heading10"/>
        <w:rPr>
          <w:b w:val="0"/>
          <w:bCs w:val="0"/>
          <w:color w:val="008000"/>
          <w:rtl/>
        </w:rPr>
      </w:pPr>
      <w:r w:rsidRPr="00AF5471">
        <w:rPr>
          <w:b w:val="0"/>
          <w:bCs w:val="0"/>
          <w:color w:val="008000"/>
          <w:rtl/>
        </w:rPr>
        <w:t>عَلِيُّ بْنُ إِبْرَاهِيمَ عَنْ أَبِيهِ عَنِ ابْنِ أَبِي عُمَيْرٍ عَنْ حَمَّادِ بْنِ عُثْمَانَ عَنِ الْحَلَبِيِّ عَنْ أَبِي عَبْدِ اللَّهِ ع قَالَ: إِذَا أَدْرَكْتَ الْإِمَامَ قَدْ رَكَعَ فَكَبَّرْتَ وَ رَكَعْتَ قَبْلَ أَنْ يَرْفَعَ رَأْسَهُ فَقَدْ أَدْرَكْتَ الرَّكْعَةَ فَإِنْ رَفَعَ الْإِمَامُ رَأْسَهُ قَبْلَ أَنْ تَرْكَعَ فَقَدْ فَاتَتْكَ الرَّكْعَةُ.</w:t>
      </w:r>
      <w:r>
        <w:rPr>
          <w:rStyle w:val="FootnoteReference"/>
          <w:b w:val="0"/>
          <w:bCs w:val="0"/>
          <w:color w:val="008000"/>
          <w:rtl/>
        </w:rPr>
        <w:footnoteReference w:id="2"/>
      </w:r>
    </w:p>
    <w:p w14:paraId="34CC1640" w14:textId="77777777" w:rsidR="006C3E66" w:rsidRDefault="006C3E66" w:rsidP="006C3E66">
      <w:pPr>
        <w:pStyle w:val="Heading10"/>
        <w:rPr>
          <w:b w:val="0"/>
          <w:bCs w:val="0"/>
          <w:color w:val="000000"/>
          <w:rtl/>
        </w:rPr>
      </w:pPr>
      <w:r>
        <w:rPr>
          <w:rFonts w:hint="cs"/>
          <w:b w:val="0"/>
          <w:bCs w:val="0"/>
          <w:color w:val="000000"/>
          <w:rtl/>
        </w:rPr>
        <w:t>وجه تامل در این روایت: این نصوص مربوط به ابتدای ایتمام می باشند، و اما برای کسی که در نماز هستند و قصد انفراد دارد، جائز است.</w:t>
      </w:r>
    </w:p>
    <w:p w14:paraId="147E637A" w14:textId="77777777" w:rsidR="006C3E66" w:rsidRDefault="006C3E66" w:rsidP="006C3E66">
      <w:pPr>
        <w:pStyle w:val="Heading10"/>
        <w:rPr>
          <w:b w:val="0"/>
          <w:bCs w:val="0"/>
          <w:color w:val="000000"/>
          <w:rtl/>
        </w:rPr>
      </w:pPr>
      <w:r>
        <w:rPr>
          <w:rFonts w:hint="cs"/>
          <w:b w:val="0"/>
          <w:bCs w:val="0"/>
          <w:color w:val="000000"/>
          <w:rtl/>
        </w:rPr>
        <w:t xml:space="preserve">مرحوم علامه در منتهی، این روایت را نقل کرده است، کان معاذ یصلی فی مسجد و یطیل القرائه بانه مر به رجل فافتح السوره </w:t>
      </w:r>
    </w:p>
    <w:p w14:paraId="4FBB0B12" w14:textId="77777777" w:rsidR="006C3E66" w:rsidRPr="00EE7E8E" w:rsidRDefault="006C3E66" w:rsidP="006C3E66">
      <w:pPr>
        <w:pStyle w:val="Heading10"/>
        <w:rPr>
          <w:b w:val="0"/>
          <w:bCs w:val="0"/>
          <w:color w:val="008000"/>
          <w:rtl/>
        </w:rPr>
      </w:pPr>
      <w:r w:rsidRPr="00EE7E8E">
        <w:rPr>
          <w:b w:val="0"/>
          <w:bCs w:val="0"/>
          <w:color w:val="008000"/>
          <w:rtl/>
        </w:rPr>
        <w:lastRenderedPageBreak/>
        <w:t>وَ كَانَ مُعَاذٌ يَؤُمُّ فِي مَسْجِدٍ عَلَى عَهْدِ رَسُولِ اللَّهِ ص وَ يُطِيلُ الْقِرَاءَةَ وَ أَنَّهُ مَرَّ بِهِ رَجُلٌ فَافْتَتَحَ سُورَةً طَوِيلَةً فَقَرَأَ الرَّجُلُ لِنَفْسِهِ وَ صَلَّى ثُمَّ رَكِبَ رَاحِلَتَهُ فَبَلَغَ ذَلِكَ النَّبِيَّ ص فَبَعَثَ إِلَى مُعَاذٍ فَقَالَ يَا مُعَاذُ إِيَّاكَ أَنْ تَكُونَ فَتَّاناً[3] عَلَيْكَ بِالشَّمْسِ وَ ضُحَيهَا وَ ذَوَاتِهَا.</w:t>
      </w:r>
      <w:r>
        <w:rPr>
          <w:rStyle w:val="FootnoteReference"/>
          <w:b w:val="0"/>
          <w:bCs w:val="0"/>
          <w:color w:val="008000"/>
          <w:rtl/>
        </w:rPr>
        <w:footnoteReference w:id="3"/>
      </w:r>
    </w:p>
    <w:p w14:paraId="55A4A3E1" w14:textId="77777777" w:rsidR="006C3E66" w:rsidRDefault="006C3E66" w:rsidP="006C3E66">
      <w:pPr>
        <w:pStyle w:val="Heading10"/>
        <w:rPr>
          <w:b w:val="0"/>
          <w:bCs w:val="0"/>
          <w:color w:val="000000"/>
          <w:rtl/>
        </w:rPr>
      </w:pPr>
      <w:r>
        <w:rPr>
          <w:rFonts w:hint="cs"/>
          <w:b w:val="0"/>
          <w:bCs w:val="0"/>
          <w:color w:val="000000"/>
          <w:rtl/>
        </w:rPr>
        <w:t>اشکال به روایت: عمل مرد عرب تاثیری در مطلب ندارد وزیرا وجه صحتی برای عمل او نداریم چه بسا، حکمش را نمی داند لذا عمل او بر ما حجت نیست، زیرا تقریر پیامبر صلی الله علیه و آله ثابت نشده است.</w:t>
      </w:r>
    </w:p>
    <w:p w14:paraId="282FCF9F" w14:textId="77777777" w:rsidR="006C3E66" w:rsidRDefault="006C3E66" w:rsidP="006C3E66">
      <w:pPr>
        <w:pStyle w:val="Heading10"/>
        <w:rPr>
          <w:b w:val="0"/>
          <w:bCs w:val="0"/>
          <w:color w:val="000000"/>
          <w:rtl/>
        </w:rPr>
      </w:pPr>
      <w:r>
        <w:rPr>
          <w:rFonts w:hint="cs"/>
          <w:b w:val="0"/>
          <w:bCs w:val="0"/>
          <w:color w:val="000000"/>
          <w:rtl/>
        </w:rPr>
        <w:t>اما سکوت پیامبر صلی الله علیه و آله و سلم نشانه تقریر او می باشد، زیرا پیامبر صلی الله علیه و آله اعتراضی نکرده است، در عین حال دلیل نمی تواند باشد.</w:t>
      </w:r>
    </w:p>
    <w:p w14:paraId="4D3CDB48" w14:textId="77777777" w:rsidR="006C3E66" w:rsidRPr="00F73148" w:rsidRDefault="006C3E66" w:rsidP="006C3E66">
      <w:pPr>
        <w:rPr>
          <w:rtl/>
        </w:rPr>
      </w:pPr>
      <w:r w:rsidRPr="00F73148">
        <w:rPr>
          <w:rFonts w:hint="cs"/>
          <w:b w:val="0"/>
          <w:bCs w:val="0"/>
          <w:rtl/>
        </w:rPr>
        <w:t>نتیجه: اگر ماموم ادراک رکعت اول کرده باشد سپس قصد انفراد  قبل رکوع کند، جائز است، حتی ادراک رکوع کفایت می کند در</w:t>
      </w:r>
      <w:r w:rsidRPr="00F73148">
        <w:rPr>
          <w:rtl/>
        </w:rPr>
        <w:t xml:space="preserve"> جواز قصد انفراد از جماعت، چه ادراک قرائت کرده باشد </w:t>
      </w:r>
      <w:r w:rsidRPr="00F73148">
        <w:rPr>
          <w:rFonts w:hint="cs"/>
          <w:rtl/>
        </w:rPr>
        <w:t>ی</w:t>
      </w:r>
      <w:r w:rsidRPr="00F73148">
        <w:rPr>
          <w:rFonts w:hint="eastAsia"/>
          <w:rtl/>
        </w:rPr>
        <w:t>ا</w:t>
      </w:r>
      <w:r w:rsidRPr="00F73148">
        <w:rPr>
          <w:rtl/>
        </w:rPr>
        <w:t xml:space="preserve"> نکرده باشد.</w:t>
      </w:r>
    </w:p>
    <w:p w14:paraId="32B52ECD" w14:textId="77777777" w:rsidR="006C3E66" w:rsidRPr="006400F6" w:rsidRDefault="006C3E66" w:rsidP="006C3E66">
      <w:pPr>
        <w:pStyle w:val="Heading10"/>
        <w:rPr>
          <w:b w:val="0"/>
          <w:bCs w:val="0"/>
          <w:color w:val="000080"/>
          <w:rtl/>
        </w:rPr>
      </w:pPr>
      <w:r w:rsidRPr="006400F6">
        <w:rPr>
          <w:color w:val="000080"/>
          <w:rtl/>
        </w:rPr>
        <w:t xml:space="preserve"> </w:t>
      </w:r>
      <w:r w:rsidRPr="006400F6">
        <w:rPr>
          <w:b w:val="0"/>
          <w:bCs w:val="0"/>
          <w:color w:val="000080"/>
          <w:rtl/>
        </w:rPr>
        <w:t>ثم إن الظاهر جواز الانفراد مطلقا حتى في الركعة الأولى قبل الركوع لو دخل معه من أول الركعة أو في أثناء القراءة مثلا وما تقدم في محله من اعتبار ادراك الركوع في ادراك الركعة فالمراد به ابتداء الايتمام بمعنى انه لو لم يلحق بالامام إلى أن يرفع الامام رأسه فقد فاتته الركعة لا ان ادراك الركوع شرط في انعقاد الجماعة كما صرح به في الجواهر وغيره ويشهد له مضافا إلى عمومات الأدلة الدالة على جريان احكام الجامع عليه من حين لحوقه بالامام الأخبار الواردة في الجمعة أو مطلقا فيمن منعه الزحام أو سهى فلم يلحق بالركوع في الركعة الأولى أو مطلقا كصحيحة ابن الحجاج عن أبي الحسن عليه السلام في رجل صلى في جماعة يوم الجمعة فلما ركع الامام ألجأه الناس إلى جدار أو أسطوانة فلم يقدر على أن يركع ثم يقوم في الصف ولا يسجد حتى رفع القوم رؤسهم أيركع ثم يسجد ويلحق بالصف وقد قام القوم أم كيف يصنع قال يركع ويسجد لا بأس بذلك وما رواه عبد الرحمن عن أبي الحسن عليه السلام قال سألته عن الرجل يصلي مع امام يقتد به فركع الامام وسهى الرجل وهو خلفه لم يركع حتى رفع الامام رأسه وانحط للسجود أيركع ثم يلحق بالامام والقوم في سجودهم أم كيف يصنع قال يركع ثم ينحط ويتم صلاته</w:t>
      </w:r>
      <w:r w:rsidRPr="006400F6">
        <w:rPr>
          <w:rFonts w:hint="cs"/>
          <w:b w:val="0"/>
          <w:bCs w:val="0"/>
          <w:color w:val="000080"/>
          <w:rtl/>
        </w:rPr>
        <w:t>...</w:t>
      </w:r>
      <w:r w:rsidRPr="006400F6">
        <w:rPr>
          <w:rStyle w:val="FootnoteReference"/>
          <w:b w:val="0"/>
          <w:bCs w:val="0"/>
          <w:color w:val="000080"/>
          <w:rtl/>
        </w:rPr>
        <w:footnoteReference w:id="4"/>
      </w:r>
    </w:p>
    <w:p w14:paraId="6BD1398C"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1F251" w14:textId="77777777" w:rsidR="009F72AE" w:rsidRDefault="009F72AE" w:rsidP="006C3E66">
      <w:pPr>
        <w:spacing w:after="0" w:line="240" w:lineRule="auto"/>
      </w:pPr>
      <w:r>
        <w:separator/>
      </w:r>
    </w:p>
  </w:endnote>
  <w:endnote w:type="continuationSeparator" w:id="0">
    <w:p w14:paraId="42B5DED6" w14:textId="77777777" w:rsidR="009F72AE" w:rsidRDefault="009F72AE" w:rsidP="006C3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68149" w14:textId="77777777" w:rsidR="009F72AE" w:rsidRDefault="009F72AE" w:rsidP="006C3E66">
      <w:pPr>
        <w:spacing w:after="0" w:line="240" w:lineRule="auto"/>
      </w:pPr>
      <w:r>
        <w:separator/>
      </w:r>
    </w:p>
  </w:footnote>
  <w:footnote w:type="continuationSeparator" w:id="0">
    <w:p w14:paraId="6D603AB6" w14:textId="77777777" w:rsidR="009F72AE" w:rsidRDefault="009F72AE" w:rsidP="006C3E66">
      <w:pPr>
        <w:spacing w:after="0" w:line="240" w:lineRule="auto"/>
      </w:pPr>
      <w:r>
        <w:continuationSeparator/>
      </w:r>
    </w:p>
  </w:footnote>
  <w:footnote w:id="1">
    <w:p w14:paraId="5499B036" w14:textId="77777777" w:rsidR="006C3E66" w:rsidRPr="00F73148" w:rsidRDefault="006C3E66" w:rsidP="006C3E66">
      <w:pPr>
        <w:pStyle w:val="FootnoteText"/>
        <w:rPr>
          <w:rtl/>
        </w:rPr>
      </w:pPr>
      <w:r w:rsidRPr="00F73148">
        <w:footnoteRef/>
      </w:r>
      <w:r w:rsidRPr="00F73148">
        <w:rPr>
          <w:rtl/>
        </w:rPr>
        <w:t xml:space="preserve"> </w:t>
      </w:r>
      <w:hyperlink r:id="rId1" w:history="1">
        <w:r w:rsidRPr="00F73148">
          <w:rPr>
            <w:rStyle w:val="Hyperlink"/>
            <w:rtl/>
          </w:rPr>
          <w:t>وسائل الشيعة، الشيخ الحر العاملي، ج7، ص335، أبواب صلاه الجماعه، باب17، ح1، ط آل البيت.</w:t>
        </w:r>
      </w:hyperlink>
    </w:p>
  </w:footnote>
  <w:footnote w:id="2">
    <w:p w14:paraId="2709E74D" w14:textId="77777777" w:rsidR="006C3E66" w:rsidRPr="00AF5471" w:rsidRDefault="006C3E66" w:rsidP="006C3E66">
      <w:pPr>
        <w:pStyle w:val="FootnoteText"/>
        <w:rPr>
          <w:rtl/>
        </w:rPr>
      </w:pPr>
      <w:r w:rsidRPr="00AF5471">
        <w:footnoteRef/>
      </w:r>
      <w:r w:rsidRPr="00AF5471">
        <w:rPr>
          <w:rtl/>
        </w:rPr>
        <w:t xml:space="preserve"> </w:t>
      </w:r>
      <w:hyperlink r:id="rId2" w:history="1">
        <w:r w:rsidRPr="00AF5471">
          <w:rPr>
            <w:rStyle w:val="Hyperlink"/>
            <w:rtl/>
          </w:rPr>
          <w:t xml:space="preserve">الكافي- </w:t>
        </w:r>
        <w:r w:rsidRPr="00AF5471">
          <w:rPr>
            <w:rStyle w:val="Hyperlink"/>
            <w:rtl/>
          </w:rPr>
          <w:t>ط الاسلامية، الشيخ الكليني، ج3، ص382.</w:t>
        </w:r>
      </w:hyperlink>
    </w:p>
  </w:footnote>
  <w:footnote w:id="3">
    <w:p w14:paraId="41FB4D17" w14:textId="77777777" w:rsidR="006C3E66" w:rsidRPr="00EE7E8E" w:rsidRDefault="006C3E66" w:rsidP="006C3E66">
      <w:pPr>
        <w:pStyle w:val="FootnoteText"/>
        <w:rPr>
          <w:rtl/>
        </w:rPr>
      </w:pPr>
      <w:r w:rsidRPr="00EE7E8E">
        <w:footnoteRef/>
      </w:r>
      <w:r w:rsidRPr="00EE7E8E">
        <w:rPr>
          <w:rtl/>
        </w:rPr>
        <w:t xml:space="preserve"> </w:t>
      </w:r>
      <w:hyperlink r:id="rId3" w:history="1">
        <w:r w:rsidRPr="00EE7E8E">
          <w:rPr>
            <w:rStyle w:val="Hyperlink"/>
            <w:rtl/>
          </w:rPr>
          <w:t xml:space="preserve">من </w:t>
        </w:r>
        <w:r w:rsidRPr="00EE7E8E">
          <w:rPr>
            <w:rStyle w:val="Hyperlink"/>
            <w:rtl/>
          </w:rPr>
          <w:t>لا يحضره الفقيه‏، الشيخ الصدوق‏، ج1، ص390.</w:t>
        </w:r>
      </w:hyperlink>
    </w:p>
  </w:footnote>
  <w:footnote w:id="4">
    <w:p w14:paraId="60C93635" w14:textId="77777777" w:rsidR="006C3E66" w:rsidRPr="006400F6" w:rsidRDefault="006C3E66" w:rsidP="006C3E66">
      <w:pPr>
        <w:pStyle w:val="FootnoteText"/>
      </w:pPr>
      <w:r w:rsidRPr="006400F6">
        <w:footnoteRef/>
      </w:r>
      <w:r w:rsidRPr="006400F6">
        <w:rPr>
          <w:rtl/>
        </w:rPr>
        <w:t xml:space="preserve"> </w:t>
      </w:r>
      <w:hyperlink r:id="rId4" w:history="1">
        <w:r w:rsidRPr="006400F6">
          <w:rPr>
            <w:rStyle w:val="Hyperlink"/>
            <w:rFonts w:hint="eastAsia"/>
            <w:rtl/>
          </w:rPr>
          <w:t>مصباح</w:t>
        </w:r>
        <w:r w:rsidRPr="006400F6">
          <w:rPr>
            <w:rStyle w:val="Hyperlink"/>
            <w:rtl/>
          </w:rPr>
          <w:t xml:space="preserve"> </w:t>
        </w:r>
        <w:r w:rsidRPr="006400F6">
          <w:rPr>
            <w:rStyle w:val="Hyperlink"/>
            <w:rtl/>
          </w:rPr>
          <w:t>الفقيه - ط.ق، الهمداني، آقا رضا، ج2، ص694.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E66"/>
    <w:rsid w:val="000739A7"/>
    <w:rsid w:val="0008308E"/>
    <w:rsid w:val="000E4C02"/>
    <w:rsid w:val="00152670"/>
    <w:rsid w:val="00164651"/>
    <w:rsid w:val="0028337A"/>
    <w:rsid w:val="003911FE"/>
    <w:rsid w:val="005A4451"/>
    <w:rsid w:val="005A6F16"/>
    <w:rsid w:val="005C369A"/>
    <w:rsid w:val="00621D10"/>
    <w:rsid w:val="006C3E66"/>
    <w:rsid w:val="008027AD"/>
    <w:rsid w:val="00807BE3"/>
    <w:rsid w:val="0089488C"/>
    <w:rsid w:val="0091764E"/>
    <w:rsid w:val="009F72AE"/>
    <w:rsid w:val="00A84BAB"/>
    <w:rsid w:val="00B54D2E"/>
    <w:rsid w:val="00BB7F09"/>
    <w:rsid w:val="00C12DD7"/>
    <w:rsid w:val="00C26F21"/>
    <w:rsid w:val="00C518B3"/>
    <w:rsid w:val="00D9044F"/>
    <w:rsid w:val="00DB1526"/>
    <w:rsid w:val="00EC0531"/>
    <w:rsid w:val="00FD2C18"/>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AC2CD6-B79B-4DC7-99E1-2EF2208FF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3E66"/>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6C3E66"/>
    <w:rPr>
      <w:vertAlign w:val="superscript"/>
    </w:rPr>
  </w:style>
  <w:style w:type="character" w:styleId="Hyperlink">
    <w:name w:val="Hyperlink"/>
    <w:basedOn w:val="DefaultParagraphFont"/>
    <w:uiPriority w:val="99"/>
    <w:unhideWhenUsed/>
    <w:rsid w:val="006C3E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1/390/&#1605;&#1593;&#1575;&#1584;" TargetMode="External"/><Relationship Id="rId2" Type="http://schemas.openxmlformats.org/officeDocument/2006/relationships/hyperlink" Target="http://lib.eshia.ir/11005/3/382/&#1705;&#1576;&#1585;&#1578;" TargetMode="External"/><Relationship Id="rId1" Type="http://schemas.openxmlformats.org/officeDocument/2006/relationships/hyperlink" Target="http://lib.eshia.ir/11025/7/335/&#1575;&#1587;&#1591;&#1608;&#1575;&#1606;&#1607;" TargetMode="External"/><Relationship Id="rId4" Type="http://schemas.openxmlformats.org/officeDocument/2006/relationships/hyperlink" Target="http://lib.eshia.ir/10192/2/694/&#1740;&#1585;&#1705;&#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714</Words>
  <Characters>2999</Characters>
  <Application>Microsoft Office Word</Application>
  <DocSecurity>0</DocSecurity>
  <Lines>50</Lines>
  <Paragraphs>24</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2</cp:revision>
  <dcterms:created xsi:type="dcterms:W3CDTF">2021-12-12T18:58:00Z</dcterms:created>
  <dcterms:modified xsi:type="dcterms:W3CDTF">2021-12-12T19:09:00Z</dcterms:modified>
</cp:coreProperties>
</file>