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معماری  بیزانس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(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روم شرقی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)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استاد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آقای ابطحی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گرد آورندگان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:</w:t>
      </w:r>
      <w:r>
        <w:rPr>
          <w:rFonts w:ascii="Calibri" w:hAnsi="Calibri" w:cs="Calibri" w:eastAsia="Calibri"/>
          <w:color w:val="4D4D4D"/>
          <w:spacing w:val="0"/>
          <w:position w:val="0"/>
          <w:sz w:val="6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مهدی فرجاد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یحیی جمالی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علی نقوی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-------------------------------------------------------------------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پیشینه تاریخی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: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دیوکلسین، قلمرو وسیع امپراتوری روم را به دو بخش شرقی و غربی بین خود و فرماندهان همطرازش تقسیم نمود، و عملاً اضمحلال امپراتوری قدرتمند روم را نادانسته پی ریزی نمود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پس از آن کنستانتین شهر باستانی بیزانس را دوباره ساخت و کنستانتینوپل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قسطنطنیه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)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نام گرفت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این شهر به طور شگفت انگیزی در سرنوشت شهر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روم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)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مرکز امپراتوری مؤثر واقع شد و با تضعیف قدرت امپراتوری روم، کشور روم به دو بخش شرقی و غربی تقسیم شد، و بدین طریق امپراتوری روم شرقی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بیزانس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)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شکل گرفت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 اوراسیا این دوره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دروه ثبات بود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 این دوره با فراموش شدن بتن با استفاده از گنبد های آجری فرم های جدید معماری ابداع شد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بیزانسی ها نیرو مسلط بر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مدیترانه بودند در  این دوره در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روم و سرزمین های شمالی   عقاید بر پایه عرفان در حال شکل گیری بود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دشت ها و کویر های ایران اگر چه هنوز زیر نظر ساسانیان بود ولی به دلیل ظهور اسلام ثبات چندانی نداشت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نواحی مرکزی سوریه دچار آشوب بود،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ارمنستان دوران رشد به منزله واسطه جدید بین شرق و غرب را از سر می گذراتد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(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تاریخ معماری نقش مهمی داشت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)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،در حالی که بیزانس به استفاده از آجر روی اورده بود و اروپای غربی به استفاده از سنگ های نتراشیده پرداخته بود  ارمنستان پاسدار سنت های یونانی مابانه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شد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بررسی کلیسای سان ویتاله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 ردیف کلیسای سان سرگیوس و سان باخوس شمرده می شود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کلیسای سان ویتاله واقع در راونا است  و در قرن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6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میلادی ساخته شد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ناحیه مرکزی یک هشت ضلعی متکی به جرز هایی است که بین آن ها پیش آمدگی هایی در دو طبقه ملاحظه می شود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سطح تزئیناتی غنی با پانل های مرمری و موزاییک به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سبک بیزانس دارد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رواق و گالری این کلیسا  طاق پوش نبوده اند و در نتیجه بر جرز ها بیشتر تاکید شده و جرز ها پشت بند داشته اند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برای تعادل جرم جرزها معماران تناوب موزون حفاظ  های نیم دایره ای و مستقیم را با ردیفی پیوسته از طاقچه های نیم دایره ای جایگزین کرده اند که عمق ان ها زیاد است و به فضا حس پر هوایی می دهد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یاصوفیه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از روز گشایش یکی از بزرگترین بناهای جهان غرب بوده است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 سال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360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میلادی توسط کنستانتینوس بنا شدو پس از آتش سوزی سال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404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باز سازی شد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پوستینیانوس به آن آسیب زد و مجددا بنایی ساخت که تا امروز باقی مانده است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پوشیده شده از طلا و مرمر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 سال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557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و فقط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20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سال بعد از احداث گنبد در اثر زمین لرزه گنبد خراب شد ولی دوباره دستور ساخت گنبد جدیدی صادر شد که شیب تند تری نسبت به قبل دارد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سازه این گنبد ساده اما ابتکاری است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مربعی به ضلع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30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متر  مرکز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آنرا شکل می دهد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قاعده گنبد یک ردیف پنجره دارد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که نور را مستقیما به داخل انتقال می دهد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نخستین گنبد ایاصوفیه از جنس موزاییک زرین بود و گنبد دوم نقش عظیمی از صلیب داشت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دو نوع سر ستون در ایاصوفیه کار شده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: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1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ترکیبی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2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یونیک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معمولا در بناهای بیزانسی سر ستون های یونی در فضاهای جانبی در موقعیت های نازلتر کار شده اند اما در ایاصوفیه اینگونه نیست و از معیار های حاکم در دوره امپراطوری پیروی نمی کند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 دوره بیزانس کلیسا ها بخشی از یک صومعه بودند ولی واحد هایی نسبتا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مستقل بودند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تئوتوکوس تولیبوس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تا سال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800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میلادی کلیساهای بیزانس به تدریج فرم و مشخصه های خود را که گنبدی متکی بر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4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ستون در یک پلان مربع بود را پیدا کردند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از اولین نمونه های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پلان کلیساهای گنبدی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،کلیسای کویمسیس در نیکایا است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کلیسای تئوتوکوس تولیبوس به کلیسای کویمسیس شباهت دارد و گذار از سبک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یوستینیانوس به بیزانسی را که در قرن های بعدی به صورت گنبد متکی بر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4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ستون فرم غالب کلیسا شد به انجام می رساند</w:t>
      </w: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ژرمن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 –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دو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 –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پره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این کلیسا توسط معماران ارمنی در پاریس ساخته شد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این کلیسا که یکی از زیباترین کلیساهای کوچک در اروپا آن زمان بود از جعبه ای تشکیل می شد که در داخل به شبکه ای متشکل از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9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مربع تقسیم شده بود و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4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جرز در وسط و ستون های مقید در دیوار های پیرامونی داشت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بر خلاف کلیسا های بیزانسی که ماهیتا ترکیبی بودند؛ کلیساهای ارمنی به دنبال ایجاد پیوندی محکم بین فضاهای داخلی و خارجی بودند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این کلیسا بناهای خود را به صورت فرم های ساده مکعب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استوانه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–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مخروط و هرم عرضه می کند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گنبد کلیسا از بیرون مخروطی است اما از داخل به شکل نیم کره است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احیای بیزانس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تا سال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1000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میلادی امپراطوری بیزانس در پی موفقیت های نظامی و تجدید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ساختار اداری تحت فرمان باسیل دوم رونق دوباره گرفت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ساخت کلیسا نیز از نو رونق گرفت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یکی از عوامل تاثیر گذاری بر معماری بیزانس از جانب ارمنستان بود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 دوران خلفای عرب فعالیت های ساخت کلیسا در ارمنستان متوقف شد اما پس از استقلال دوباره شاهد بیداری فرهنگ معماری خود بود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1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FF0000"/>
          <w:spacing w:val="0"/>
          <w:position w:val="0"/>
          <w:sz w:val="32"/>
          <w:shd w:fill="auto" w:val="clear"/>
        </w:rPr>
        <w:t xml:space="preserve">شکوهمندترین دستاورد های دوره بیزانس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 :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ایاصوفیه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2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FF0000"/>
          <w:spacing w:val="0"/>
          <w:position w:val="0"/>
          <w:sz w:val="32"/>
          <w:shd w:fill="auto" w:val="clear"/>
        </w:rPr>
        <w:t xml:space="preserve">در دوره بیزانس استفاده از چه مصالحی رواج پیدا کرد؟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آجر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3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نحوه تزیینات سطوح در کلیسای سان ویتاله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 :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تزیینات غنی با پانل های مرمرین و موزاییک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4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کلیسای سان ویتاله از لحاظ معماری در ردیف کدام کلیسا ها قرار می گیرد ؟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سان سرگیوس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–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سان باخوس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5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ویژگی های گنبد کلیسای ایاصوفیه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مربعی به ضلع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30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مرکز آن را تشکیل می دهد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قائده  گنبد یک ردیف پنجره دارد که نور را مستقیما به داخل انتقال می دهد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نخستین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گنبد ایاصوفیه از جنس موزاییک زرین بود و گنبد دوم نقش عظیمی از صلیب داشت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6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سر ستون های کار شده در ایاصوفیه از چه نوعی هستند؟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 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ترکیبی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یونی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7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سر ستون های ترکیبی به چه نوع سر ستون هایی می گویند؟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سر ستون هایی که از تلفیق سر ستون های کرنتی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و یونی به وجود آمده اند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8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FF0000"/>
          <w:spacing w:val="0"/>
          <w:position w:val="0"/>
          <w:sz w:val="32"/>
          <w:shd w:fill="auto" w:val="clear"/>
        </w:rPr>
        <w:t xml:space="preserve">فرم مشخصه کلیسای بیزانس چه بود؟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گنبد تکی متکی بر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4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 ستون در پلانی مربعی شکل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9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تفاوت بین کلیسای بیزانسی و ارمنی چه بود؟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بر خلاف کلیسای بیزانسی که ماهیتا ترکیبی بودند کلیسای ارمنی به دنبال ایجاد پیوند محکم بین فضاهای داخلی و خارجی بودند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10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علت بکار گیری گنبد در بیزانس چه بود؟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نه تنها بخش مهمی از ترکیب بندی بود بلکه در سقف هم تصویر حضرت مسیح را نقاشی می کردند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11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FF0000"/>
          <w:spacing w:val="0"/>
          <w:position w:val="0"/>
          <w:sz w:val="32"/>
          <w:shd w:fill="auto" w:val="clear"/>
        </w:rPr>
        <w:t xml:space="preserve">اصلی ترین پلان ها را در دوره بیزانس نام ببرید؟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محوری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–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مرکزی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–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ترکیبی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12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2"/>
          <w:shd w:fill="auto" w:val="clear"/>
        </w:rPr>
        <w:t xml:space="preserve">-</w:t>
      </w:r>
      <w:r>
        <w:rPr>
          <w:rFonts w:ascii="Arial" w:hAnsi="Arial" w:cs="Arial" w:eastAsia="Arial"/>
          <w:b/>
          <w:color w:val="FF0000"/>
          <w:spacing w:val="0"/>
          <w:position w:val="0"/>
          <w:sz w:val="32"/>
          <w:shd w:fill="auto" w:val="clear"/>
        </w:rPr>
        <w:t xml:space="preserve">در شکل گیری فرهنگ بیزانس کدام عوامل بیشترین نقش را داشتند؟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ضرورت اداری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تاثیرات هلنیستی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–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فرآیند تاثیرات امپراطوری ساسانی و ایران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