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معماری رومانسک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نام اعضا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محمد میلاد مرادیون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سعید عظیمی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محمد آقا زیارتی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________________________________________________________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رمانسک واژه ایست که ریشه در زبان فرانسه دارد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اولین بار ویلیام گان این اصطلاح را در سال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1819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باب کرد این واژه بعد از دهه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1830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عمدتا به تحولات معماری اروپای غربی در بین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  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قرن های یازدهم و دوازدهم اطلاق میگردید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گویا قوس های سنگینی که با مصالح بنایی ساخته میشد مختصر شباهتی به معماری روم باستان داشته است، لذا بر همین اساس آن را معماری رمانسک نامیده اند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البته لازم به ذکر است که این اصطلاح مورد قبول عام نبود به طوری که این شیوه در کشورهای مختلف با نام های خاص دیگری شناخته میشد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ولی به نظر میرسد کاربرد این واژه در قرن بیستم چنان عمومیت یافته که در تاریخ هنر عمده ی تحولات معماری و هنر قرن های یازدهم و دوازدهم با واژه ی رمانسک قرین شده است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معماری و تحولات هنری این دوره رابطه ای تنگاتنگ با دوره ی پیش رمانسک دارد لذا اکثر مورخین براین عقیده اند که اصطلاح رمانسک عمدتا برای سبکی ابداع شد که نه دیگر رومی بود و نه هنوز گوتیک محسوب میشد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معماری رومانسک با کیفیت توده ای آن، دیوارهای ضخیمش، طاقهای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گردش، پایه ها محکم، تاقهای فنری برجهای بزرگ و دالانهای تزئین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شده اش شناخته شده است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هر ساختمانی شکل واضحی را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نشان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میدهد و به ندرت دارای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نقشه های معمولی متقارن هستند بنابراین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نمای کلیّ آنها نسبت به ساختمانهای گوتیک که دنبالروش است سادهتر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به نظر میرسد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اگر چه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    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قلعه های زیادی دراین دوره وجود داشت اما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آنها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قابل قیاس با کلیساهای غیرقابل شمارش که بهترین آنها کلیساهای صومعه بود نیستند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ظهور و تحول کلیساهای جامع از سرفصل های مهم و بزرگ تاریخ معماری غرب است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همین اساس نخستین انگیزه ی معماری رمانسک از ساخت صومعه و کلیسا نشئت میگیرد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لذا معماری عصر رمانسک را باید مسابقه ی ساخت کلیسا و صومعه در نواحی مختلف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کشور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های اروپایی دانست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(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 شمال اسپانیا تا ناحیه ی رودخانه ی راین و از مرز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انگلیس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و اسکاتلند تا قسمت مرکزی ایتالیا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)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رومانسک به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2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دوره تقسیم میشود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رومانسک اولیه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رومانسک متعالی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رومانسک اولیه در واقع شروع ساخت بناهای مذهبی در اروپاست و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ساختمان شاخص آن کلیساست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و همین طور ساختمانهایی که باکلیسا رابطه دارند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مثل برج ناقوس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اولین بار عنصر برج ناقوس به صورت یک المان شاخص در کلیسا مطرح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می شود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و کلیسا را به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طرف افزایش ارتفاع می برد یعنی کم کم ارتفاع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کلیساها افزایش یافته و باعث عظمت کلیسا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         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می شود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 مهمترین مجموعه های این دوره مجموعه پیزا میباشد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رومانسک متعالی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ازفرانسه وازشهر نرماندی آغاز می شود و با کلیسایی به نام سن اتین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                                     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کلیسای سن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اتین از بسیاری نظرها با کلیساهای رومانسک اولیه فرق دارد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واقع رومانسک متعالی حد وسطی است بین رومانسک اولیه وگوتیک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کلیساهای معروف این دوره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کلیسای سن سرنن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سن پی پیر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سنت اتی ین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مجموعه بناهای پیزا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سانت آمبروجو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اشپایر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دارم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1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 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سبب نام گذاری رومانسک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چیست؟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قوس های نیم دایره و دیوارهای سنگینی که با مصالح بنایی ساخته میشد، مختصر شباهتی به معماری روم باستان داشته است بر همین اساس آن را معماری رومانسک نامیده اند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 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رومانسک در چه مناطقی بوجود آمد؟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 شمال اسپانیا تا ناحیه ی رودخانه ی راین و از مرز انگلیس و اسکاتلند تا قسمت مرکزی ایتالیا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مهم ترین سرفصل تاریخ معماری رومانسک چه بود؟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ظهور و تحول کلیساهای جامع از سرفصل های مهم و بزرگ تاریخ معماری غرب است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لذا معماری عصر رومانسک را باید مسابقه ی ساخت کلیسا و صومعه در نواحی مختلف کشور های اروپایی دانست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مسئله ی بنیادین معماران دوره رومانسک در طراحی کلیساها چه بود؟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ساختن بناهایی بود که فضای کافی برای گردهمایی ها و حرکت بازدیدکنندگان داشته و از اسکلت محکم ضد آتش برخوردار باشند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5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خصوصیات معماری رومانسک را بنویسید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در این دوره شکل ظاهری کلیساها که همان فرم باسیلیکایی صدر مسیحیت بود، حفظ شد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ولی کلیت آن با رویکرد عناصر،مفاهیم، و عملکردهای جدید تغییرات قابل ملاحضه ای یافت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در فضای داخلی نیز تاق آهنگ عظمت و شکوه خاصی به کلیسا میبخشید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از دیگر ابداعات معماران رومانسک تلفیق تاق آهنگ با قوس های تزئینی بود که بیشتر هدف زیبایی شناختی داشتند تا سازه ای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غلام گردش را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تعریف کنید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غلام گردش در واقع راهروهایی هستند که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محل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هایی برای قرار دادن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نیمکت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دارند و دوطرف راهرو ستوندار بوده و دیوارهای قطور دارند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7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 </w:t>
      </w: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قسمت های مشخص شده ی عکس را بنویسید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7104" w:dyaOrig="3793">
          <v:rect xmlns:o="urn:schemas-microsoft-com:office:office" xmlns:v="urn:schemas-microsoft-com:vml" id="rectole0000000000" style="width:355.200000pt;height:189.6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پیش شبستان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2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شبستان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3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راهروی جانبی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پیل پایه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0"/>
          <w:shd w:fill="000000" w:val="clear"/>
        </w:rPr>
        <w:t xml:space="preserve"> 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5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بازوی عرضی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6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تقاطع گاه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7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جایگاه همسرایان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8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غلام گردش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9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نمازخانه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چهار مورد از کلیساهای دوره رومانسک را نام ببرید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کلیسای سن سرنن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سن پی پیر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سنت اتی ین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مجموعه بناهای پیزا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سانت آمبروجو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اشپایر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دارم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9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چرا فضاهای داخلی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اکثر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کلیساهای این دوره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 (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از جمله شبستان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)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بسیار تاریک است؟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علت اصلی این تاریکی اجرای سازه تاق آهنگ در پوشش شبستان است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زیرا به دلیل نوع سازه دیوارها باربر هستند و نمیتوان از فضای بازشو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پنجره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)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32"/>
          <w:shd w:fill="auto" w:val="clear"/>
        </w:rPr>
        <w:t xml:space="preserve">در اطراف تاق استفاده نمود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تعریف برج ناقوس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برجی است که دارای یک یا بیش از یک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ناقوس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باشد این برج‌ها در سنت اروپایی به طور معمول بخشی از کلیسا است و زنگ کلیسا در آن نصب شده است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ناقوس‌ها برای نشان دادن زمان یا خبر دادن از وقایع ویژه‌ای چون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دفاع شهری و اعلام خطر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عروسی و عزا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به صدا در می‌آمدند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خصوصیات کلیسای مجموعه پیزا را بنویسید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سقف چوبی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سازه ی قابی شکل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ستون هایی به سبک کرنتی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وجود بازوی عرضی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بالاکانه های چند قوسیِ نما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12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بلندترین سازه ی رمانسک کدام کلیسا میباشد؟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کلیسای اشپایر</w:t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88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br/>
      </w: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88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                                                                                                   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