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F63F7" w:rsidRDefault="001F63F7" w:rsidP="001F63F7">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w:instrText>
      </w:r>
      <w:r>
        <w:rPr>
          <w:rStyle w:val="Hyperlink"/>
          <w:noProof/>
          <w:rtl/>
        </w:rPr>
        <w:instrText>1-9</w:instrText>
      </w:r>
      <w:r>
        <w:rPr>
          <w:rStyle w:val="Hyperlink"/>
          <w:noProof/>
        </w:rPr>
        <w:instrText>" \h \z \u</w:instrText>
      </w:r>
      <w:r>
        <w:rPr>
          <w:rStyle w:val="Hyperlink"/>
          <w:noProof/>
          <w:rtl/>
        </w:rPr>
        <w:instrText xml:space="preserve"> </w:instrText>
      </w:r>
      <w:r>
        <w:rPr>
          <w:rStyle w:val="Hyperlink"/>
          <w:noProof/>
          <w:rtl/>
        </w:rPr>
        <w:fldChar w:fldCharType="separate"/>
      </w:r>
      <w:hyperlink w:anchor="_Toc28971452" w:history="1">
        <w:r w:rsidRPr="007E6F3E">
          <w:rPr>
            <w:rStyle w:val="Hyperlink"/>
            <w:noProof/>
            <w:rtl/>
          </w:rPr>
          <w:t>کلام محقق عراق</w:t>
        </w:r>
        <w:r w:rsidRPr="007E6F3E">
          <w:rPr>
            <w:rStyle w:val="Hyperlink"/>
            <w:rFonts w:hint="cs"/>
            <w:noProof/>
            <w:rtl/>
          </w:rPr>
          <w:t>ی</w:t>
        </w:r>
        <w:r w:rsidRPr="007E6F3E">
          <w:rPr>
            <w:rStyle w:val="Hyperlink"/>
            <w:noProof/>
            <w:rtl/>
          </w:rPr>
          <w:t xml:space="preserve"> در تعارض احوال لفظ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28971452 </w:instrText>
        </w:r>
        <w:r>
          <w:rPr>
            <w:noProof/>
            <w:webHidden/>
          </w:rPr>
          <w:instrText>\h</w:instrText>
        </w:r>
        <w:r>
          <w:rPr>
            <w:noProof/>
            <w:webHidden/>
            <w:rtl/>
          </w:rPr>
          <w:instrText xml:space="preserve"> </w:instrText>
        </w:r>
        <w:r>
          <w:rPr>
            <w:noProof/>
            <w:webHidden/>
            <w:rtl/>
          </w:rPr>
        </w:r>
        <w:r>
          <w:rPr>
            <w:noProof/>
            <w:webHidden/>
            <w:rtl/>
          </w:rPr>
          <w:fldChar w:fldCharType="separate"/>
        </w:r>
        <w:r w:rsidR="00747F52">
          <w:rPr>
            <w:noProof/>
            <w:webHidden/>
            <w:rtl/>
          </w:rPr>
          <w:t>1</w:t>
        </w:r>
        <w:r>
          <w:rPr>
            <w:noProof/>
            <w:webHidden/>
            <w:rtl/>
          </w:rPr>
          <w:fldChar w:fldCharType="end"/>
        </w:r>
      </w:hyperlink>
    </w:p>
    <w:p w:rsidR="001F63F7" w:rsidRDefault="001F63F7" w:rsidP="001F63F7">
      <w:pPr>
        <w:pStyle w:val="TOC2"/>
        <w:tabs>
          <w:tab w:val="right" w:leader="dot" w:pos="10194"/>
        </w:tabs>
        <w:rPr>
          <w:rFonts w:asciiTheme="minorHAnsi" w:eastAsiaTheme="minorEastAsia" w:hAnsiTheme="minorHAnsi" w:cstheme="minorBidi"/>
          <w:bCs w:val="0"/>
          <w:noProof/>
          <w:color w:val="auto"/>
          <w:szCs w:val="22"/>
          <w:rtl/>
          <w:lang w:bidi="ar-SA"/>
        </w:rPr>
      </w:pPr>
      <w:hyperlink w:anchor="_Toc28971453" w:history="1">
        <w:r w:rsidRPr="007E6F3E">
          <w:rPr>
            <w:rStyle w:val="Hyperlink"/>
            <w:noProof/>
            <w:rtl/>
          </w:rPr>
          <w:t>اصل عدم اشتراک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28971453 </w:instrText>
        </w:r>
        <w:r>
          <w:rPr>
            <w:noProof/>
            <w:webHidden/>
          </w:rPr>
          <w:instrText>\h</w:instrText>
        </w:r>
        <w:r>
          <w:rPr>
            <w:noProof/>
            <w:webHidden/>
            <w:rtl/>
          </w:rPr>
          <w:instrText xml:space="preserve"> </w:instrText>
        </w:r>
        <w:r>
          <w:rPr>
            <w:noProof/>
            <w:webHidden/>
            <w:rtl/>
          </w:rPr>
        </w:r>
        <w:r>
          <w:rPr>
            <w:noProof/>
            <w:webHidden/>
            <w:rtl/>
          </w:rPr>
          <w:fldChar w:fldCharType="separate"/>
        </w:r>
        <w:r w:rsidR="00747F52">
          <w:rPr>
            <w:noProof/>
            <w:webHidden/>
            <w:rtl/>
          </w:rPr>
          <w:t>2</w:t>
        </w:r>
        <w:r>
          <w:rPr>
            <w:noProof/>
            <w:webHidden/>
            <w:rtl/>
          </w:rPr>
          <w:fldChar w:fldCharType="end"/>
        </w:r>
      </w:hyperlink>
    </w:p>
    <w:p w:rsidR="001F63F7" w:rsidRDefault="001F63F7" w:rsidP="001F63F7">
      <w:pPr>
        <w:pStyle w:val="TOC2"/>
        <w:tabs>
          <w:tab w:val="right" w:leader="dot" w:pos="10194"/>
        </w:tabs>
        <w:rPr>
          <w:rFonts w:asciiTheme="minorHAnsi" w:eastAsiaTheme="minorEastAsia" w:hAnsiTheme="minorHAnsi" w:cstheme="minorBidi"/>
          <w:bCs w:val="0"/>
          <w:noProof/>
          <w:color w:val="auto"/>
          <w:szCs w:val="22"/>
          <w:rtl/>
          <w:lang w:bidi="ar-SA"/>
        </w:rPr>
      </w:pPr>
      <w:hyperlink w:anchor="_Toc28971454" w:history="1">
        <w:r w:rsidRPr="007E6F3E">
          <w:rPr>
            <w:rStyle w:val="Hyperlink"/>
            <w:noProof/>
            <w:rtl/>
          </w:rPr>
          <w:t>اصل عدم تق</w:t>
        </w:r>
        <w:r w:rsidRPr="007E6F3E">
          <w:rPr>
            <w:rStyle w:val="Hyperlink"/>
            <w:rFonts w:hint="cs"/>
            <w:noProof/>
            <w:rtl/>
          </w:rPr>
          <w:t>یی</w:t>
        </w:r>
        <w:r w:rsidRPr="007E6F3E">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28971454 </w:instrText>
        </w:r>
        <w:r>
          <w:rPr>
            <w:noProof/>
            <w:webHidden/>
          </w:rPr>
          <w:instrText>\h</w:instrText>
        </w:r>
        <w:r>
          <w:rPr>
            <w:noProof/>
            <w:webHidden/>
            <w:rtl/>
          </w:rPr>
          <w:instrText xml:space="preserve"> </w:instrText>
        </w:r>
        <w:r>
          <w:rPr>
            <w:noProof/>
            <w:webHidden/>
            <w:rtl/>
          </w:rPr>
        </w:r>
        <w:r>
          <w:rPr>
            <w:noProof/>
            <w:webHidden/>
            <w:rtl/>
          </w:rPr>
          <w:fldChar w:fldCharType="separate"/>
        </w:r>
        <w:r w:rsidR="00747F52">
          <w:rPr>
            <w:noProof/>
            <w:webHidden/>
            <w:rtl/>
          </w:rPr>
          <w:t>3</w:t>
        </w:r>
        <w:r>
          <w:rPr>
            <w:noProof/>
            <w:webHidden/>
            <w:rtl/>
          </w:rPr>
          <w:fldChar w:fldCharType="end"/>
        </w:r>
      </w:hyperlink>
    </w:p>
    <w:p w:rsidR="001F63F7" w:rsidRDefault="001F63F7" w:rsidP="001F63F7">
      <w:pPr>
        <w:pStyle w:val="TOC2"/>
        <w:tabs>
          <w:tab w:val="right" w:leader="dot" w:pos="10194"/>
        </w:tabs>
        <w:rPr>
          <w:rFonts w:asciiTheme="minorHAnsi" w:eastAsiaTheme="minorEastAsia" w:hAnsiTheme="minorHAnsi" w:cstheme="minorBidi"/>
          <w:bCs w:val="0"/>
          <w:noProof/>
          <w:color w:val="auto"/>
          <w:szCs w:val="22"/>
          <w:rtl/>
          <w:lang w:bidi="ar-SA"/>
        </w:rPr>
      </w:pPr>
      <w:hyperlink w:anchor="_Toc28971455" w:history="1">
        <w:r w:rsidRPr="007E6F3E">
          <w:rPr>
            <w:rStyle w:val="Hyperlink"/>
            <w:noProof/>
            <w:rtl/>
          </w:rPr>
          <w:t>اصل حق</w:t>
        </w:r>
        <w:r w:rsidRPr="007E6F3E">
          <w:rPr>
            <w:rStyle w:val="Hyperlink"/>
            <w:rFonts w:hint="cs"/>
            <w:noProof/>
            <w:rtl/>
          </w:rPr>
          <w:t>ی</w:t>
        </w:r>
        <w:r w:rsidRPr="007E6F3E">
          <w:rPr>
            <w:rStyle w:val="Hyperlink"/>
            <w:rFonts w:hint="eastAsia"/>
            <w:noProof/>
            <w:rtl/>
          </w:rPr>
          <w:t>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28971455 </w:instrText>
        </w:r>
        <w:r>
          <w:rPr>
            <w:noProof/>
            <w:webHidden/>
          </w:rPr>
          <w:instrText>\h</w:instrText>
        </w:r>
        <w:r>
          <w:rPr>
            <w:noProof/>
            <w:webHidden/>
            <w:rtl/>
          </w:rPr>
          <w:instrText xml:space="preserve"> </w:instrText>
        </w:r>
        <w:r>
          <w:rPr>
            <w:noProof/>
            <w:webHidden/>
            <w:rtl/>
          </w:rPr>
        </w:r>
        <w:r>
          <w:rPr>
            <w:noProof/>
            <w:webHidden/>
            <w:rtl/>
          </w:rPr>
          <w:fldChar w:fldCharType="separate"/>
        </w:r>
        <w:r w:rsidR="00747F52">
          <w:rPr>
            <w:noProof/>
            <w:webHidden/>
            <w:rtl/>
          </w:rPr>
          <w:t>3</w:t>
        </w:r>
        <w:r>
          <w:rPr>
            <w:noProof/>
            <w:webHidden/>
            <w:rtl/>
          </w:rPr>
          <w:fldChar w:fldCharType="end"/>
        </w:r>
      </w:hyperlink>
    </w:p>
    <w:p w:rsidR="001F63F7" w:rsidRDefault="001F63F7" w:rsidP="001F63F7">
      <w:pPr>
        <w:pStyle w:val="TOC2"/>
        <w:tabs>
          <w:tab w:val="right" w:leader="dot" w:pos="10194"/>
        </w:tabs>
        <w:rPr>
          <w:rFonts w:asciiTheme="minorHAnsi" w:eastAsiaTheme="minorEastAsia" w:hAnsiTheme="minorHAnsi" w:cstheme="minorBidi"/>
          <w:bCs w:val="0"/>
          <w:noProof/>
          <w:color w:val="auto"/>
          <w:szCs w:val="22"/>
          <w:rtl/>
          <w:lang w:bidi="ar-SA"/>
        </w:rPr>
      </w:pPr>
      <w:hyperlink w:anchor="_Toc28971456" w:history="1">
        <w:r w:rsidRPr="007E6F3E">
          <w:rPr>
            <w:rStyle w:val="Hyperlink"/>
            <w:noProof/>
            <w:rtl/>
          </w:rPr>
          <w:t>اصل عدم نقل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28971456 </w:instrText>
        </w:r>
        <w:r>
          <w:rPr>
            <w:noProof/>
            <w:webHidden/>
          </w:rPr>
          <w:instrText>\h</w:instrText>
        </w:r>
        <w:r>
          <w:rPr>
            <w:noProof/>
            <w:webHidden/>
            <w:rtl/>
          </w:rPr>
          <w:instrText xml:space="preserve"> </w:instrText>
        </w:r>
        <w:r>
          <w:rPr>
            <w:noProof/>
            <w:webHidden/>
            <w:rtl/>
          </w:rPr>
        </w:r>
        <w:r>
          <w:rPr>
            <w:noProof/>
            <w:webHidden/>
            <w:rtl/>
          </w:rPr>
          <w:fldChar w:fldCharType="separate"/>
        </w:r>
        <w:r w:rsidR="00747F52">
          <w:rPr>
            <w:noProof/>
            <w:webHidden/>
            <w:rtl/>
          </w:rPr>
          <w:t>4</w:t>
        </w:r>
        <w:r>
          <w:rPr>
            <w:noProof/>
            <w:webHidden/>
            <w:rtl/>
          </w:rPr>
          <w:fldChar w:fldCharType="end"/>
        </w:r>
      </w:hyperlink>
    </w:p>
    <w:p w:rsidR="00C91EB6" w:rsidRPr="00C91EB6" w:rsidRDefault="001F63F7" w:rsidP="00C91EB6">
      <w:r>
        <w:rPr>
          <w:rStyle w:val="Hyperlink"/>
          <w:rFonts w:cs="B Titr"/>
          <w:noProof/>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E6A41">
        <w:rPr>
          <w:rtl/>
        </w:rPr>
        <w:t>کلام محقق عراق</w:t>
      </w:r>
      <w:r w:rsidR="00CE6A41">
        <w:rPr>
          <w:rFonts w:hint="cs"/>
          <w:rtl/>
        </w:rPr>
        <w:t>ی</w:t>
      </w:r>
      <w:r w:rsidR="00025B70">
        <w:rPr>
          <w:rFonts w:hint="cs"/>
          <w:rtl/>
        </w:rPr>
        <w:t xml:space="preserve"> </w:t>
      </w:r>
      <w:r w:rsidR="00386C11" w:rsidRPr="00A6366F">
        <w:rPr>
          <w:rFonts w:hint="cs"/>
          <w:rtl/>
        </w:rPr>
        <w:t>/</w:t>
      </w:r>
      <w:bookmarkStart w:id="1" w:name="BokSabj_d"/>
      <w:bookmarkEnd w:id="1"/>
      <w:r w:rsidR="00CE6A41">
        <w:rPr>
          <w:rtl/>
        </w:rPr>
        <w:t>احوال لفظ</w:t>
      </w:r>
      <w:r w:rsidR="00386C11" w:rsidRPr="00A6366F">
        <w:rPr>
          <w:rFonts w:hint="cs"/>
          <w:rtl/>
        </w:rPr>
        <w:t xml:space="preserve"> /</w:t>
      </w:r>
      <w:bookmarkStart w:id="2" w:name="Bokkolli"/>
      <w:bookmarkEnd w:id="2"/>
      <w:r w:rsidR="00CE6A41">
        <w:rPr>
          <w:rtl/>
        </w:rPr>
        <w:t>مقدمه علم اصول</w:t>
      </w:r>
      <w:r w:rsidR="001B6799" w:rsidRPr="00A6366F">
        <w:rPr>
          <w:rFonts w:hint="cs"/>
          <w:rtl/>
        </w:rPr>
        <w:t xml:space="preserve"> </w:t>
      </w:r>
    </w:p>
    <w:p w:rsidR="00062B87" w:rsidRPr="009C66D5" w:rsidRDefault="00062B87" w:rsidP="00062B87">
      <w:pPr>
        <w:jc w:val="both"/>
        <w:rPr>
          <w:rStyle w:val="Emphasis"/>
          <w:b/>
          <w:bCs w:val="0"/>
          <w:rtl/>
        </w:rPr>
      </w:pPr>
      <w:r w:rsidRPr="009C66D5">
        <w:rPr>
          <w:rStyle w:val="Emphasis"/>
          <w:rFonts w:hint="cs"/>
          <w:b/>
          <w:bCs w:val="0"/>
          <w:rtl/>
        </w:rPr>
        <w:t>خلاصه مباحث گذشته:</w:t>
      </w:r>
    </w:p>
    <w:p w:rsidR="00062B87" w:rsidRDefault="00062B87" w:rsidP="00062B87">
      <w:pPr>
        <w:pBdr>
          <w:bottom w:val="double" w:sz="6" w:space="1" w:color="auto"/>
        </w:pBdr>
        <w:jc w:val="both"/>
        <w:rPr>
          <w:rtl/>
        </w:rPr>
      </w:pPr>
      <w:r>
        <w:rPr>
          <w:rFonts w:hint="cs"/>
          <w:rtl/>
        </w:rPr>
        <w:t>بعد از اینکه از بحث علائم حقیقت فارغ شدیم؛ نوبت به این سؤال می رسد که آیا علاوه بر علائم سابق اصل و علامت دیگری برای تشخیص معنا وجود دارد یا خی</w:t>
      </w:r>
      <w:bookmarkStart w:id="3" w:name="_GoBack"/>
      <w:bookmarkEnd w:id="3"/>
      <w:r>
        <w:rPr>
          <w:rFonts w:hint="cs"/>
          <w:rtl/>
        </w:rPr>
        <w:t>ر؟؛ یعنی در مواردی که معنای موضوع له با علائم سابق روشن نشد، برای تعیین حجت در معنا به این امور مراجعه بشود. از جمله علائمی که علاوه بر علائم سابق مطرح شده بود، اصل حقیقت سید مرتضی بود که اگر پذیرفته شود، مهمترین علامت خواهد بود؛ اما از آنجا که این اصل پذیرفته نشد، بحث از تعارض احوال، مطرح شد که به سبب آن حجت و اماره بر معنا اقامه می شود.</w:t>
      </w:r>
    </w:p>
    <w:p w:rsidR="00062B87" w:rsidRDefault="00062B87" w:rsidP="00062B87">
      <w:pPr>
        <w:pBdr>
          <w:bottom w:val="double" w:sz="6" w:space="1" w:color="auto"/>
        </w:pBdr>
        <w:jc w:val="both"/>
        <w:rPr>
          <w:rtl/>
        </w:rPr>
      </w:pPr>
      <w:r>
        <w:rPr>
          <w:rFonts w:hint="cs"/>
          <w:rtl/>
        </w:rPr>
        <w:t xml:space="preserve">البته این بحث در کلام مرحوم آخوند مجمل ذکر شده است؛ ولی محقق عراقی به صورت تفصیلی وارد بحث شده است </w:t>
      </w:r>
    </w:p>
    <w:p w:rsidR="00062B87" w:rsidRPr="003A6148" w:rsidRDefault="00062B87" w:rsidP="00062B87">
      <w:pPr>
        <w:pBdr>
          <w:bottom w:val="double" w:sz="6" w:space="1" w:color="auto"/>
        </w:pBdr>
        <w:jc w:val="both"/>
      </w:pPr>
    </w:p>
    <w:p w:rsidR="00062B87" w:rsidRDefault="00062B87" w:rsidP="00062B87">
      <w:pPr>
        <w:jc w:val="both"/>
      </w:pPr>
    </w:p>
    <w:p w:rsidR="00062B87" w:rsidRDefault="00062B87" w:rsidP="00062B87">
      <w:pPr>
        <w:pStyle w:val="Heading1"/>
        <w:jc w:val="both"/>
        <w:rPr>
          <w:rtl/>
        </w:rPr>
      </w:pPr>
      <w:bookmarkStart w:id="4" w:name="_Toc28548458"/>
      <w:bookmarkStart w:id="5" w:name="_Toc28624839"/>
      <w:bookmarkStart w:id="6" w:name="_Toc28971452"/>
      <w:r>
        <w:rPr>
          <w:rFonts w:hint="cs"/>
          <w:rtl/>
        </w:rPr>
        <w:t>کلام محقق عراقی در تعارض احوال لفظ</w:t>
      </w:r>
      <w:bookmarkEnd w:id="4"/>
      <w:bookmarkEnd w:id="5"/>
      <w:bookmarkEnd w:id="6"/>
    </w:p>
    <w:p w:rsidR="00062B87" w:rsidRDefault="00062B87" w:rsidP="00062B87">
      <w:pPr>
        <w:jc w:val="both"/>
        <w:rPr>
          <w:rtl/>
        </w:rPr>
      </w:pPr>
      <w:r>
        <w:rPr>
          <w:rFonts w:hint="cs"/>
          <w:rtl/>
        </w:rPr>
        <w:t>ایشان در مقالات الاصول وارد بحث تعارض احوال لفظ شده و فرموده اند: تعارض احوال لفظ چند حالت دارد.</w:t>
      </w:r>
    </w:p>
    <w:p w:rsidR="00062B87" w:rsidRDefault="00062B87" w:rsidP="00062B87">
      <w:pPr>
        <w:jc w:val="both"/>
        <w:rPr>
          <w:rtl/>
        </w:rPr>
      </w:pPr>
      <w:r>
        <w:rPr>
          <w:rFonts w:hint="cs"/>
          <w:rtl/>
        </w:rPr>
        <w:t>1- شک در تعدد و عدم تعدد وضع است که مرجع آن شک در اشتراک و عدم اشتراک است.</w:t>
      </w:r>
    </w:p>
    <w:p w:rsidR="00062B87" w:rsidRDefault="00062B87" w:rsidP="00062B87">
      <w:pPr>
        <w:jc w:val="both"/>
        <w:rPr>
          <w:rtl/>
        </w:rPr>
      </w:pPr>
      <w:r>
        <w:rPr>
          <w:rFonts w:hint="cs"/>
          <w:rtl/>
        </w:rPr>
        <w:t>2- شک در دخالت و عدم دخالت خصوصیت زائد در حکم که مرجع آن احتمال تقیید و اطلاق است.</w:t>
      </w:r>
    </w:p>
    <w:p w:rsidR="00062B87" w:rsidRDefault="00062B87" w:rsidP="00062B87">
      <w:pPr>
        <w:jc w:val="both"/>
        <w:rPr>
          <w:rtl/>
        </w:rPr>
      </w:pPr>
      <w:r>
        <w:rPr>
          <w:rFonts w:hint="cs"/>
          <w:rtl/>
        </w:rPr>
        <w:t>3- شک در این است که معنای استعمالی، مطابق با موضوع له است یا خیر که مرجع آن به حقیقت و مجاز است.</w:t>
      </w:r>
    </w:p>
    <w:p w:rsidR="00062B87" w:rsidRDefault="00062B87" w:rsidP="00062B87">
      <w:pPr>
        <w:jc w:val="both"/>
        <w:rPr>
          <w:rtl/>
        </w:rPr>
      </w:pPr>
      <w:r>
        <w:rPr>
          <w:rFonts w:hint="cs"/>
          <w:rtl/>
        </w:rPr>
        <w:t>4- دوران بین این است که معنای سابق مهجور است یا مهجور نشده که مرجع آن دوران بین نقل و عدم نقل خواهد بود.</w:t>
      </w:r>
    </w:p>
    <w:p w:rsidR="00062B87" w:rsidRDefault="00062B87" w:rsidP="00062B87">
      <w:pPr>
        <w:jc w:val="both"/>
        <w:rPr>
          <w:rtl/>
        </w:rPr>
      </w:pPr>
      <w:r>
        <w:rPr>
          <w:rFonts w:hint="cs"/>
          <w:rtl/>
        </w:rPr>
        <w:t>5-  دوران بین تقدیر و عدم تقدیر است که دوران بین اضمار و عدم اضمار خواهد بود.</w:t>
      </w:r>
    </w:p>
    <w:p w:rsidR="00062B87" w:rsidRDefault="00062B87" w:rsidP="00062B87">
      <w:pPr>
        <w:jc w:val="both"/>
        <w:rPr>
          <w:rtl/>
        </w:rPr>
      </w:pPr>
      <w:r>
        <w:rPr>
          <w:rFonts w:hint="cs"/>
          <w:rtl/>
        </w:rPr>
        <w:t>6- گاهی شک در وحدت معنا با مرجع ضمیر است که مرجع آن به استخدام و عدم استخدام است</w:t>
      </w:r>
    </w:p>
    <w:p w:rsidR="00062B87" w:rsidRDefault="00062B87" w:rsidP="00062B87">
      <w:pPr>
        <w:jc w:val="both"/>
        <w:rPr>
          <w:rtl/>
        </w:rPr>
      </w:pPr>
      <w:r>
        <w:rPr>
          <w:rFonts w:hint="cs"/>
          <w:rtl/>
        </w:rPr>
        <w:lastRenderedPageBreak/>
        <w:t>اگر اماره ای مانند قول لغوی، تبادر و ... بر هر یک از این امور اقامه شود، متبع است</w:t>
      </w:r>
      <w:r>
        <w:rPr>
          <w:rStyle w:val="FootnoteReference"/>
          <w:rtl/>
        </w:rPr>
        <w:footnoteReference w:id="1"/>
      </w:r>
      <w:r>
        <w:rPr>
          <w:rFonts w:hint="cs"/>
          <w:rtl/>
        </w:rPr>
        <w:t xml:space="preserve">و در غیر این صورت به سراغ اصل معین خواهیم رفت. </w:t>
      </w:r>
      <w:r w:rsidRPr="005E7ABB">
        <w:rPr>
          <w:rFonts w:hint="cs"/>
          <w:rtl/>
        </w:rPr>
        <w:t>بحث</w:t>
      </w:r>
      <w:r w:rsidRPr="005E7ABB">
        <w:rPr>
          <w:rtl/>
        </w:rPr>
        <w:t xml:space="preserve"> </w:t>
      </w:r>
      <w:r w:rsidRPr="005E7ABB">
        <w:rPr>
          <w:rFonts w:hint="cs"/>
          <w:rtl/>
        </w:rPr>
        <w:t>از</w:t>
      </w:r>
      <w:r w:rsidRPr="005E7ABB">
        <w:rPr>
          <w:rtl/>
        </w:rPr>
        <w:t xml:space="preserve"> </w:t>
      </w:r>
      <w:r w:rsidRPr="005E7ABB">
        <w:rPr>
          <w:rFonts w:hint="cs"/>
          <w:rtl/>
        </w:rPr>
        <w:t>تعارض</w:t>
      </w:r>
      <w:r w:rsidRPr="005E7ABB">
        <w:rPr>
          <w:rtl/>
        </w:rPr>
        <w:t xml:space="preserve"> </w:t>
      </w:r>
      <w:r w:rsidRPr="005E7ABB">
        <w:rPr>
          <w:rFonts w:hint="cs"/>
          <w:rtl/>
        </w:rPr>
        <w:t>احوال</w:t>
      </w:r>
      <w:r w:rsidRPr="005E7ABB">
        <w:rPr>
          <w:rtl/>
        </w:rPr>
        <w:t xml:space="preserve"> </w:t>
      </w:r>
      <w:r w:rsidRPr="005E7ABB">
        <w:rPr>
          <w:rFonts w:hint="cs"/>
          <w:rtl/>
        </w:rPr>
        <w:t>در</w:t>
      </w:r>
      <w:r w:rsidRPr="005E7ABB">
        <w:rPr>
          <w:rtl/>
        </w:rPr>
        <w:t xml:space="preserve"> </w:t>
      </w:r>
      <w:r w:rsidRPr="005E7ABB">
        <w:rPr>
          <w:rFonts w:hint="cs"/>
          <w:rtl/>
        </w:rPr>
        <w:t>حقیقت</w:t>
      </w:r>
      <w:r w:rsidRPr="005E7ABB">
        <w:rPr>
          <w:rtl/>
        </w:rPr>
        <w:t xml:space="preserve"> </w:t>
      </w:r>
      <w:r w:rsidRPr="005E7ABB">
        <w:rPr>
          <w:rFonts w:hint="cs"/>
          <w:rtl/>
        </w:rPr>
        <w:t>ذیل</w:t>
      </w:r>
      <w:r w:rsidRPr="005E7ABB">
        <w:rPr>
          <w:rtl/>
        </w:rPr>
        <w:t xml:space="preserve"> </w:t>
      </w:r>
      <w:r w:rsidRPr="005E7ABB">
        <w:rPr>
          <w:rFonts w:hint="cs"/>
          <w:rtl/>
        </w:rPr>
        <w:t>بحث</w:t>
      </w:r>
      <w:r w:rsidRPr="005E7ABB">
        <w:rPr>
          <w:rtl/>
        </w:rPr>
        <w:t xml:space="preserve"> </w:t>
      </w:r>
      <w:r w:rsidRPr="005E7ABB">
        <w:rPr>
          <w:rFonts w:hint="cs"/>
          <w:rtl/>
        </w:rPr>
        <w:t>علائم</w:t>
      </w:r>
      <w:r w:rsidRPr="005E7ABB">
        <w:rPr>
          <w:rtl/>
        </w:rPr>
        <w:t xml:space="preserve"> </w:t>
      </w:r>
      <w:r w:rsidRPr="005E7ABB">
        <w:rPr>
          <w:rFonts w:hint="cs"/>
          <w:rtl/>
        </w:rPr>
        <w:t>تشخیص</w:t>
      </w:r>
      <w:r w:rsidRPr="005E7ABB">
        <w:rPr>
          <w:rtl/>
        </w:rPr>
        <w:t xml:space="preserve"> </w:t>
      </w:r>
      <w:r w:rsidRPr="005E7ABB">
        <w:rPr>
          <w:rFonts w:hint="cs"/>
          <w:rtl/>
        </w:rPr>
        <w:t>حقیقت</w:t>
      </w:r>
      <w:r w:rsidRPr="005E7ABB">
        <w:rPr>
          <w:rtl/>
        </w:rPr>
        <w:t xml:space="preserve"> </w:t>
      </w:r>
      <w:r w:rsidRPr="005E7ABB">
        <w:rPr>
          <w:rFonts w:hint="cs"/>
          <w:rtl/>
        </w:rPr>
        <w:t>و</w:t>
      </w:r>
      <w:r w:rsidRPr="005E7ABB">
        <w:rPr>
          <w:rtl/>
        </w:rPr>
        <w:t xml:space="preserve"> </w:t>
      </w:r>
      <w:r w:rsidRPr="005E7ABB">
        <w:rPr>
          <w:rFonts w:hint="cs"/>
          <w:rtl/>
        </w:rPr>
        <w:t>وضع</w:t>
      </w:r>
      <w:r w:rsidRPr="005E7ABB">
        <w:rPr>
          <w:rtl/>
        </w:rPr>
        <w:t xml:space="preserve"> </w:t>
      </w:r>
      <w:r w:rsidRPr="005E7ABB">
        <w:rPr>
          <w:rFonts w:hint="cs"/>
          <w:rtl/>
        </w:rPr>
        <w:t>است</w:t>
      </w:r>
      <w:r w:rsidRPr="005E7ABB">
        <w:rPr>
          <w:rtl/>
        </w:rPr>
        <w:t>.</w:t>
      </w:r>
    </w:p>
    <w:p w:rsidR="00062B87" w:rsidRDefault="00062B87" w:rsidP="00062B87">
      <w:pPr>
        <w:pStyle w:val="Heading2"/>
        <w:jc w:val="both"/>
        <w:rPr>
          <w:rtl/>
        </w:rPr>
      </w:pPr>
      <w:bookmarkStart w:id="7" w:name="_Toc28548459"/>
      <w:bookmarkStart w:id="8" w:name="_Toc28624840"/>
      <w:bookmarkStart w:id="9" w:name="_Toc28971453"/>
      <w:r>
        <w:rPr>
          <w:rFonts w:hint="cs"/>
          <w:rtl/>
        </w:rPr>
        <w:t>اصل عدم اشتراک</w:t>
      </w:r>
      <w:bookmarkEnd w:id="7"/>
      <w:bookmarkEnd w:id="8"/>
      <w:bookmarkEnd w:id="9"/>
    </w:p>
    <w:p w:rsidR="00062B87" w:rsidRDefault="00062B87" w:rsidP="00062B87">
      <w:pPr>
        <w:jc w:val="both"/>
        <w:rPr>
          <w:rtl/>
        </w:rPr>
      </w:pPr>
      <w:r>
        <w:rPr>
          <w:rFonts w:hint="cs"/>
          <w:rtl/>
        </w:rPr>
        <w:t>در صورت اول که دوران بین اشتراک و عدم اشتراک است _کلام مرحوم آخوند در این مطلب متهافت است در ابتدا ادعای اصل عدم اشتراک نمودند و در انتها آن را رد کردند و ما چنین اصلی را نپذیرفتیم</w:t>
      </w:r>
      <w:r>
        <w:rPr>
          <w:rFonts w:cs="Cambria" w:hint="cs"/>
          <w:rtl/>
        </w:rPr>
        <w:t xml:space="preserve">_ </w:t>
      </w:r>
      <w:r>
        <w:rPr>
          <w:rFonts w:hint="cs"/>
          <w:rtl/>
        </w:rPr>
        <w:t>مرحوم عراقی می فرمایند: در اصل عدم اشتراک عقلائی، باید تفصیل دهیم؛ زیرا اگر کسی اصل عدم اشتراک را بپذیرد؛ پس از آن برای حمل لفظ بر معنای اولی، به سراغ اصل حقیقت می رود، اما دو احتمال در اصل حقیقت وجود دارد که تنها طبق یکی از آنها اصل حقیقت قابل تمسک است.</w:t>
      </w:r>
    </w:p>
    <w:p w:rsidR="00062B87" w:rsidRDefault="00062B87" w:rsidP="00062B87">
      <w:pPr>
        <w:jc w:val="both"/>
        <w:rPr>
          <w:rtl/>
        </w:rPr>
      </w:pPr>
      <w:r w:rsidRPr="00E47BDB">
        <w:rPr>
          <w:rFonts w:hint="cs"/>
          <w:b/>
          <w:bCs/>
          <w:rtl/>
        </w:rPr>
        <w:t>احتمال اول:</w:t>
      </w:r>
      <w:r>
        <w:rPr>
          <w:rFonts w:hint="cs"/>
          <w:rtl/>
        </w:rPr>
        <w:t xml:space="preserve"> اصل حقیقت به ملاک ظهور است. بنابر این اصل عدم اشتراک وجهی ندارد، چرا که ظهوری در وحدت معنای وضعی و نفی اشتراک وجود ندارد پس اصل عدم اشتراک و تمسک به معنای حقیقی اولی، به ملاک ظهور، پذیرفته شده نیست.</w:t>
      </w:r>
    </w:p>
    <w:p w:rsidR="00062B87" w:rsidRDefault="00062B87" w:rsidP="00062B87">
      <w:pPr>
        <w:jc w:val="both"/>
        <w:rPr>
          <w:rtl/>
        </w:rPr>
      </w:pPr>
      <w:r w:rsidRPr="00E47BDB">
        <w:rPr>
          <w:rFonts w:hint="cs"/>
          <w:b/>
          <w:bCs/>
          <w:rtl/>
        </w:rPr>
        <w:t>احتمال دوم:</w:t>
      </w:r>
      <w:r>
        <w:rPr>
          <w:rFonts w:hint="cs"/>
          <w:rtl/>
        </w:rPr>
        <w:t xml:space="preserve"> اصل حقیقت به ملاک تعبد باشد، در این صورت باید محل جریان اصل عقلائی روشن شود؛ چرا که دو احتمال در مبنای عقلا وجود دارد.</w:t>
      </w:r>
    </w:p>
    <w:p w:rsidR="00062B87" w:rsidRDefault="00062B87" w:rsidP="00062B87">
      <w:pPr>
        <w:jc w:val="both"/>
        <w:rPr>
          <w:rtl/>
        </w:rPr>
      </w:pPr>
      <w:r>
        <w:rPr>
          <w:rFonts w:hint="cs"/>
          <w:rtl/>
        </w:rPr>
        <w:t>الف) ممکن است گفته شود اجرای اصل حقیقت تعبدی دو رکن دارد: 1- احراز وضع لفظ بر معنا(علم به معنای حقیقی) 2- احراز و علم وجدانی بر عدم اشتراک و عدم تعدد معنا. پس در فرض شک در اشتراک، نمی توان اصل حقیقت را جاری کرد.</w:t>
      </w:r>
    </w:p>
    <w:p w:rsidR="00062B87" w:rsidRDefault="00062B87" w:rsidP="00062B87">
      <w:pPr>
        <w:jc w:val="both"/>
        <w:rPr>
          <w:rtl/>
        </w:rPr>
      </w:pPr>
      <w:r>
        <w:rPr>
          <w:rFonts w:hint="cs"/>
          <w:rtl/>
        </w:rPr>
        <w:t>ب) ممکن است گفته شود اصل حقیقت تعبدی، تنها متقوم به احراز وضع است نه به نفی اشتراک؛ پس در این صورت می توان اصل حقیقت، جاری نمود و نفی اشتراک کرد؛ زیرا در این صورت اصل حقیقت، نسبت به معنای معلوم الوضع جاری است و لفظ را بر همان معنا حمل می کند؛ ولی نسبت به معنای مشکوک، چون وضع آن معلوم نیست و اصلی برای حمل لفظ بر آن وجود ندارد. پس در حقیقت تنها یکی از اطراف اصل محرِز داشته و تنها نسبت به آن معنا، اصل حقیقت جاری می شود و نتیجه آن نفی اشتراک خواهد بود.</w:t>
      </w:r>
    </w:p>
    <w:p w:rsidR="00062B87" w:rsidRDefault="00062B87" w:rsidP="00062B87">
      <w:pPr>
        <w:jc w:val="both"/>
        <w:rPr>
          <w:rtl/>
        </w:rPr>
      </w:pPr>
      <w:r>
        <w:rPr>
          <w:rFonts w:hint="cs"/>
          <w:rtl/>
        </w:rPr>
        <w:t xml:space="preserve">بنابر این محقق عراقی اصل عدم اشتراک را که مرحوم آخوند و برخی معاصرین پذیرفته بودند، منکر شدند و ما نیز گفتیم که اصل عقلائی مستقل که نفی اشتراک کند، وجود ندارد؛ مگر این که همان گونه که مرحوم صدر فرمودند، با تبادر و صحت حمل </w:t>
      </w:r>
      <w:r>
        <w:rPr>
          <w:rFonts w:hint="cs"/>
          <w:rtl/>
        </w:rPr>
        <w:lastRenderedPageBreak/>
        <w:t>و ... انحصار معنا را در احساس شخصی ثابت کنیم و به سبب اصل تطابق بین ظهور شخصی و نوعی، اثبات عدم اشتراک نوعی کنیم.</w:t>
      </w:r>
    </w:p>
    <w:p w:rsidR="00062B87" w:rsidRDefault="00062B87" w:rsidP="00062B87">
      <w:pPr>
        <w:jc w:val="both"/>
        <w:rPr>
          <w:rtl/>
        </w:rPr>
      </w:pPr>
      <w:r>
        <w:rPr>
          <w:rFonts w:hint="cs"/>
          <w:rtl/>
        </w:rPr>
        <w:t>نکته: گاهی اوقات عقلاء برای ثبات نظام، تعبدی دارند که مبتنی بر غلبه نیست مثلا عموم هر چند که غالبا تخصیص می خورد، اما ظهورش در عموم محفوظ است و عقلاء متعبد به آن هستند.</w:t>
      </w:r>
    </w:p>
    <w:p w:rsidR="00062B87" w:rsidRDefault="00062B87" w:rsidP="00062B87">
      <w:pPr>
        <w:pStyle w:val="Heading2"/>
        <w:jc w:val="both"/>
        <w:rPr>
          <w:rtl/>
        </w:rPr>
      </w:pPr>
      <w:bookmarkStart w:id="10" w:name="_Toc28548460"/>
      <w:bookmarkStart w:id="11" w:name="_Toc28624841"/>
      <w:bookmarkStart w:id="12" w:name="_Toc28971454"/>
      <w:r>
        <w:rPr>
          <w:rFonts w:hint="cs"/>
          <w:rtl/>
        </w:rPr>
        <w:t>اصل عدم تقیید</w:t>
      </w:r>
      <w:bookmarkEnd w:id="10"/>
      <w:bookmarkEnd w:id="11"/>
      <w:bookmarkEnd w:id="12"/>
    </w:p>
    <w:p w:rsidR="00062B87" w:rsidRDefault="00062B87" w:rsidP="00062B87">
      <w:pPr>
        <w:jc w:val="both"/>
        <w:rPr>
          <w:rtl/>
        </w:rPr>
      </w:pPr>
      <w:r>
        <w:rPr>
          <w:rFonts w:hint="cs"/>
          <w:rtl/>
        </w:rPr>
        <w:t>در دوران امر بین تقیید و عدم تقیید، اگر کلام مشتمل بر قید و یا ما یصلح للتقیید نباشد، در این صورت قطعا اصل اطلاق به ضمیمه مقدمات حکمت و یا اصل عموم و اصل عدم تقیید و تخصیص جاری خواهد بود.</w:t>
      </w:r>
    </w:p>
    <w:p w:rsidR="00062B87" w:rsidRDefault="00062B87" w:rsidP="00062B87">
      <w:pPr>
        <w:jc w:val="both"/>
        <w:rPr>
          <w:rtl/>
        </w:rPr>
      </w:pPr>
      <w:r>
        <w:rPr>
          <w:rFonts w:hint="cs"/>
          <w:rtl/>
        </w:rPr>
        <w:t>اما اگر کلام مشتمل بر ما یصلح للقرینیه باشد، دو صورت دارد:</w:t>
      </w:r>
    </w:p>
    <w:p w:rsidR="00062B87" w:rsidRDefault="00062B87" w:rsidP="00062B87">
      <w:pPr>
        <w:jc w:val="both"/>
        <w:rPr>
          <w:rtl/>
        </w:rPr>
      </w:pPr>
      <w:r>
        <w:rPr>
          <w:rFonts w:hint="cs"/>
          <w:rtl/>
        </w:rPr>
        <w:t>1- اگر اصل عدم تقیید را صرف تعبد عقلائی بدانید، اصل عدم تقیید جاری می شود.</w:t>
      </w:r>
    </w:p>
    <w:p w:rsidR="00062B87" w:rsidRDefault="00062B87" w:rsidP="00062B87">
      <w:pPr>
        <w:jc w:val="both"/>
        <w:rPr>
          <w:rtl/>
        </w:rPr>
      </w:pPr>
      <w:r>
        <w:rPr>
          <w:rFonts w:hint="cs"/>
          <w:rtl/>
        </w:rPr>
        <w:t>2- اگر اصل عدم تقیید را مبتنی بر ظهور بدا</w:t>
      </w:r>
      <w:r w:rsidRPr="00F53357">
        <w:rPr>
          <w:rFonts w:hint="cs"/>
          <w:rtl/>
        </w:rPr>
        <w:t>نید</w:t>
      </w:r>
      <w:r>
        <w:rPr>
          <w:rFonts w:hint="cs"/>
          <w:rtl/>
        </w:rPr>
        <w:t xml:space="preserve"> </w:t>
      </w:r>
      <w:r>
        <w:rPr>
          <w:rFonts w:cs="Cambria" w:hint="cs"/>
          <w:rtl/>
        </w:rPr>
        <w:t>_</w:t>
      </w:r>
      <w:r w:rsidRPr="00F53357">
        <w:rPr>
          <w:rFonts w:hint="cs"/>
          <w:rtl/>
        </w:rPr>
        <w:t>که حق نیز همین است</w:t>
      </w:r>
      <w:r>
        <w:rPr>
          <w:rFonts w:cs="Arial" w:hint="cs"/>
          <w:rtl/>
        </w:rPr>
        <w:t>_</w:t>
      </w:r>
      <w:r>
        <w:rPr>
          <w:rFonts w:hint="cs"/>
          <w:rtl/>
        </w:rPr>
        <w:t xml:space="preserve">  با وجود ما یصلح للقرینیه، اصل عدم تقیید جاری نمی شود.</w:t>
      </w:r>
      <w:r>
        <w:rPr>
          <w:rStyle w:val="FootnoteReference"/>
          <w:rtl/>
        </w:rPr>
        <w:footnoteReference w:id="2"/>
      </w:r>
    </w:p>
    <w:p w:rsidR="00062B87" w:rsidRDefault="00062B87" w:rsidP="00062B87">
      <w:pPr>
        <w:jc w:val="both"/>
        <w:rPr>
          <w:rtl/>
        </w:rPr>
      </w:pPr>
      <w:r>
        <w:rPr>
          <w:rFonts w:hint="cs"/>
          <w:rtl/>
        </w:rPr>
        <w:t>به نظر ما نیز از آنجا که اصل عدم تقیید، رجوع به اصل حقیقت دارد و اصل حقیقت نیز رجوع به اصل ظهور دارد؛ در صورت وجود مایصلح للقرینه، ظهور منعقد نمی شود و لذا اصل عدم تقیید جاری نیست. بله به نظر ما اصل ظهور و اصل حقیقت مبتنی بر تعبد عقلائی است یعنی اعتبار اصل حقیقت بر اساس اطمینان نیست. بر این اساس زمانی جریان دارد که احتمال خلاف ظاهر مستند به ما یصلح للقرینیة نباشد. به بیان دیگر موضوع اصل حقیقت صرف شک است اما در صورت وجود چیزی که صلاحیت قرینیت دارد تعبدی</w:t>
      </w:r>
      <w:r w:rsidRPr="0013503C">
        <w:rPr>
          <w:rtl/>
        </w:rPr>
        <w:t xml:space="preserve"> </w:t>
      </w:r>
      <w:r>
        <w:rPr>
          <w:rFonts w:hint="cs"/>
          <w:rtl/>
        </w:rPr>
        <w:t>به اصل حقیقت نداریم.</w:t>
      </w:r>
    </w:p>
    <w:p w:rsidR="00062B87" w:rsidRDefault="00062B87" w:rsidP="00062B87">
      <w:pPr>
        <w:pStyle w:val="Heading2"/>
        <w:jc w:val="both"/>
        <w:rPr>
          <w:rtl/>
        </w:rPr>
      </w:pPr>
      <w:bookmarkStart w:id="13" w:name="_Toc28548461"/>
      <w:bookmarkStart w:id="14" w:name="_Toc28624842"/>
      <w:bookmarkStart w:id="15" w:name="_Toc28971455"/>
      <w:r>
        <w:rPr>
          <w:rFonts w:hint="cs"/>
          <w:rtl/>
        </w:rPr>
        <w:t>اصل حقیقت</w:t>
      </w:r>
      <w:bookmarkEnd w:id="13"/>
      <w:bookmarkEnd w:id="14"/>
      <w:bookmarkEnd w:id="15"/>
    </w:p>
    <w:p w:rsidR="00062B87" w:rsidRDefault="00062B87" w:rsidP="00062B87">
      <w:pPr>
        <w:jc w:val="both"/>
        <w:rPr>
          <w:rtl/>
        </w:rPr>
      </w:pPr>
      <w:r>
        <w:rPr>
          <w:rFonts w:hint="cs"/>
          <w:rtl/>
        </w:rPr>
        <w:t>در فرضی که لفظ معنایی حقیقی و معنایی مجازی دارد؛ اما در مقام استعمال، علم به مجاز یا حقیقت بودن استعمال نداریم، اصل حقیقت جاری می شود و لذا نسبت به معنایی که نمی دانیم مجازی است یا معنای وضعی دوم لفظ است، اصل عدم وجود معنای دیگر یا همان اصل عدم اشتراک، جاری خواهد بود.</w:t>
      </w:r>
      <w:r w:rsidRPr="00E47BDB">
        <w:rPr>
          <w:rStyle w:val="FootnoteReference"/>
          <w:rtl/>
        </w:rPr>
        <w:t xml:space="preserve"> </w:t>
      </w:r>
      <w:r>
        <w:rPr>
          <w:rStyle w:val="FootnoteReference"/>
          <w:rtl/>
        </w:rPr>
        <w:footnoteReference w:id="3"/>
      </w:r>
    </w:p>
    <w:p w:rsidR="00062B87" w:rsidRDefault="00062B87" w:rsidP="00062B87">
      <w:pPr>
        <w:pStyle w:val="Heading2"/>
        <w:jc w:val="both"/>
        <w:rPr>
          <w:rtl/>
        </w:rPr>
      </w:pPr>
      <w:bookmarkStart w:id="16" w:name="_Toc28548462"/>
      <w:bookmarkStart w:id="17" w:name="_Toc28624843"/>
      <w:bookmarkStart w:id="18" w:name="_Toc28971456"/>
      <w:r>
        <w:rPr>
          <w:rFonts w:hint="cs"/>
          <w:rtl/>
        </w:rPr>
        <w:lastRenderedPageBreak/>
        <w:t>اصل عدم نقل</w:t>
      </w:r>
      <w:bookmarkEnd w:id="16"/>
      <w:bookmarkEnd w:id="17"/>
      <w:bookmarkEnd w:id="18"/>
    </w:p>
    <w:p w:rsidR="00062B87" w:rsidRDefault="00062B87" w:rsidP="00062B87">
      <w:pPr>
        <w:jc w:val="both"/>
        <w:rPr>
          <w:rtl/>
        </w:rPr>
      </w:pPr>
      <w:r>
        <w:rPr>
          <w:rFonts w:hint="cs"/>
          <w:rtl/>
        </w:rPr>
        <w:t xml:space="preserve">اگر شک در نقل شود، و منقول بودن لفظ مشکوک باشد؛ یعنی شک شود که معنای سابق مهجور شده است </w:t>
      </w:r>
      <w:r>
        <w:rPr>
          <w:rFonts w:cs="Cambria" w:hint="cs"/>
          <w:rtl/>
        </w:rPr>
        <w:t xml:space="preserve">_ </w:t>
      </w:r>
      <w:r>
        <w:rPr>
          <w:rFonts w:hint="cs"/>
          <w:rtl/>
        </w:rPr>
        <w:t>که همین مهجوریت تفاوت بین اشتراک و نقل است</w:t>
      </w:r>
      <w:r>
        <w:rPr>
          <w:rFonts w:cs="Cambria" w:hint="cs"/>
          <w:rtl/>
        </w:rPr>
        <w:t xml:space="preserve">_ </w:t>
      </w:r>
      <w:r>
        <w:rPr>
          <w:rFonts w:hint="cs"/>
          <w:rtl/>
        </w:rPr>
        <w:t>در دوران امر بین نقل و عدم نقل، اصل عقلائی بر عدم نقل است.</w:t>
      </w:r>
      <w:r w:rsidRPr="00F53357">
        <w:rPr>
          <w:rFonts w:hint="cs"/>
          <w:rtl/>
        </w:rPr>
        <w:t xml:space="preserve"> </w:t>
      </w:r>
      <w:r>
        <w:rPr>
          <w:rFonts w:hint="cs"/>
          <w:rtl/>
        </w:rPr>
        <w:t xml:space="preserve">البته محل جریان این اصل کلیت ندارد؛ چرا که نقل دو </w:t>
      </w:r>
      <w:r w:rsidRPr="00F53357">
        <w:rPr>
          <w:rFonts w:hint="cs"/>
          <w:rtl/>
        </w:rPr>
        <w:t>صورت دارد</w:t>
      </w:r>
      <w:r>
        <w:rPr>
          <w:rFonts w:hint="cs"/>
          <w:rtl/>
        </w:rPr>
        <w:t>:</w:t>
      </w:r>
    </w:p>
    <w:p w:rsidR="00062B87" w:rsidRDefault="00062B87" w:rsidP="00062B87">
      <w:pPr>
        <w:jc w:val="both"/>
        <w:rPr>
          <w:rtl/>
        </w:rPr>
      </w:pPr>
      <w:r>
        <w:rPr>
          <w:rFonts w:hint="cs"/>
          <w:rtl/>
        </w:rPr>
        <w:t>1-  معنای لغوی سابق را می دانیم و شک در مهجوریت معنای سابق و شک در وضع جدید و معنای جدیدی داریم</w:t>
      </w:r>
      <w:r>
        <w:rPr>
          <w:rStyle w:val="FootnoteReference"/>
          <w:rtl/>
        </w:rPr>
        <w:footnoteReference w:id="4"/>
      </w:r>
      <w:r>
        <w:rPr>
          <w:rFonts w:hint="cs"/>
          <w:rtl/>
        </w:rPr>
        <w:t xml:space="preserve"> مثلا صلاه سابقا به معنای دعا بوده و شک در وضع جدید و نقل و هجر معنای سابق به معنای جدید داریم. که به نظر ما محقق عراقی در این قسم دچار اشتباه شده اند.</w:t>
      </w:r>
    </w:p>
    <w:p w:rsidR="00062B87" w:rsidRPr="00232B9E" w:rsidRDefault="00062B87" w:rsidP="00062B87">
      <w:pPr>
        <w:jc w:val="both"/>
        <w:rPr>
          <w:rtl/>
        </w:rPr>
      </w:pPr>
      <w:r>
        <w:rPr>
          <w:rFonts w:hint="cs"/>
          <w:rtl/>
        </w:rPr>
        <w:t xml:space="preserve">2- معنای حاضر را می دانیم و شک در معنای سابق داریم؛ یعنی در اصل وجود نقل شک داریم که در این صورت اصل عدم نقل مورد اتفاق همه ی عقلا است و در آن بحثی نیست. و الا اگر اصل نقل محرز است جایی برای تمسک به این اصل وجود ندارد. </w:t>
      </w:r>
      <w:r w:rsidRPr="008140DF">
        <w:rPr>
          <w:rFonts w:cs="Arial" w:hint="eastAsia"/>
          <w:rtl/>
        </w:rPr>
        <w:t> </w:t>
      </w:r>
    </w:p>
    <w:p w:rsidR="00F53357" w:rsidRPr="00F53357" w:rsidRDefault="00F53357" w:rsidP="00062B87">
      <w:pPr>
        <w:rPr>
          <w:rFonts w:cs="Arial"/>
          <w:rtl/>
        </w:rPr>
      </w:pPr>
    </w:p>
    <w:sectPr w:rsidR="00F53357" w:rsidRPr="00F5335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5D1" w:rsidRDefault="005105D1" w:rsidP="008B750B">
      <w:pPr>
        <w:spacing w:line="240" w:lineRule="auto"/>
      </w:pPr>
      <w:r>
        <w:separator/>
      </w:r>
    </w:p>
  </w:endnote>
  <w:endnote w:type="continuationSeparator" w:id="0">
    <w:p w:rsidR="005105D1" w:rsidRDefault="005105D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6A4" w:rsidRDefault="001D26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1D26A4" w:rsidRPr="006D44C1" w:rsidTr="0020241A">
      <w:tc>
        <w:tcPr>
          <w:tcW w:w="3382" w:type="dxa"/>
          <w:tcBorders>
            <w:top w:val="nil"/>
            <w:left w:val="nil"/>
            <w:bottom w:val="nil"/>
            <w:right w:val="nil"/>
          </w:tcBorders>
        </w:tcPr>
        <w:p w:rsidR="001D26A4" w:rsidRDefault="001D26A4"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1D26A4" w:rsidRDefault="001D26A4" w:rsidP="006D44C1">
          <w:pPr>
            <w:pStyle w:val="Footer"/>
            <w:jc w:val="right"/>
            <w:rPr>
              <w:rtl/>
            </w:rPr>
          </w:pPr>
          <w:r>
            <w:rPr>
              <w:rFonts w:hint="cs"/>
              <w:rtl/>
            </w:rPr>
            <w:t xml:space="preserve">صفحه </w:t>
          </w:r>
          <w:r>
            <w:fldChar w:fldCharType="begin"/>
          </w:r>
          <w:r>
            <w:instrText>PAGE   \* MERGEFORMAT</w:instrText>
          </w:r>
          <w:r>
            <w:fldChar w:fldCharType="separate"/>
          </w:r>
          <w:r w:rsidR="00747F52" w:rsidRPr="00747F52">
            <w:rPr>
              <w:noProof/>
              <w:rtl/>
              <w:lang w:val="fa-IR"/>
            </w:rPr>
            <w:t>1</w:t>
          </w:r>
          <w:r>
            <w:rPr>
              <w:noProof/>
            </w:rPr>
            <w:fldChar w:fldCharType="end"/>
          </w:r>
        </w:p>
      </w:tc>
      <w:tc>
        <w:tcPr>
          <w:tcW w:w="4786" w:type="dxa"/>
          <w:tcBorders>
            <w:top w:val="nil"/>
            <w:left w:val="nil"/>
            <w:bottom w:val="nil"/>
            <w:right w:val="nil"/>
          </w:tcBorders>
          <w:vAlign w:val="center"/>
        </w:tcPr>
        <w:p w:rsidR="001D26A4" w:rsidRPr="006D44C1" w:rsidRDefault="001D26A4" w:rsidP="001B6799">
          <w:pPr>
            <w:pStyle w:val="Footer"/>
            <w:bidi w:val="0"/>
            <w:rPr>
              <w:color w:val="808080" w:themeColor="background1" w:themeShade="80"/>
              <w:rtl/>
            </w:rPr>
          </w:pPr>
          <w:bookmarkStart w:id="26" w:name="BokAdres"/>
          <w:bookmarkEnd w:id="26"/>
          <w:r>
            <w:rPr>
              <w:color w:val="808080" w:themeColor="background1" w:themeShade="80"/>
            </w:rPr>
            <w:t>U1mq1_13981008-060_hs2_mfeb.ir</w:t>
          </w:r>
        </w:p>
      </w:tc>
    </w:tr>
  </w:tbl>
  <w:p w:rsidR="001D26A4" w:rsidRDefault="001D26A4"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6A4" w:rsidRDefault="001D26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5D1" w:rsidRDefault="005105D1" w:rsidP="008B750B">
      <w:pPr>
        <w:spacing w:line="240" w:lineRule="auto"/>
      </w:pPr>
      <w:r>
        <w:separator/>
      </w:r>
    </w:p>
  </w:footnote>
  <w:footnote w:type="continuationSeparator" w:id="0">
    <w:p w:rsidR="005105D1" w:rsidRDefault="005105D1" w:rsidP="008B750B">
      <w:pPr>
        <w:spacing w:line="240" w:lineRule="auto"/>
      </w:pPr>
      <w:r>
        <w:continuationSeparator/>
      </w:r>
    </w:p>
  </w:footnote>
  <w:footnote w:id="1">
    <w:p w:rsidR="00062B87" w:rsidRPr="00650944" w:rsidRDefault="00062B87" w:rsidP="00062B87">
      <w:pPr>
        <w:pStyle w:val="FootnoteText"/>
      </w:pPr>
      <w:r w:rsidRPr="00650944">
        <w:footnoteRef/>
      </w:r>
      <w:r w:rsidRPr="00650944">
        <w:rPr>
          <w:rtl/>
        </w:rPr>
        <w:t xml:space="preserve"> </w:t>
      </w:r>
      <w:hyperlink r:id="rId1" w:history="1">
        <w:r w:rsidRPr="00650944">
          <w:rPr>
            <w:rStyle w:val="Hyperlink"/>
            <w:rtl/>
          </w:rPr>
          <w:t>مقالات الاصول، آقا ض</w:t>
        </w:r>
        <w:r w:rsidRPr="00650944">
          <w:rPr>
            <w:rStyle w:val="Hyperlink"/>
            <w:rFonts w:hint="cs"/>
            <w:rtl/>
          </w:rPr>
          <w:t>ی</w:t>
        </w:r>
        <w:r w:rsidRPr="00650944">
          <w:rPr>
            <w:rStyle w:val="Hyperlink"/>
            <w:rFonts w:hint="eastAsia"/>
            <w:rtl/>
          </w:rPr>
          <w:t>اء</w:t>
        </w:r>
        <w:r w:rsidRPr="00650944">
          <w:rPr>
            <w:rStyle w:val="Hyperlink"/>
            <w:rtl/>
          </w:rPr>
          <w:t xml:space="preserve"> الد</w:t>
        </w:r>
        <w:r w:rsidRPr="00650944">
          <w:rPr>
            <w:rStyle w:val="Hyperlink"/>
            <w:rFonts w:hint="cs"/>
            <w:rtl/>
          </w:rPr>
          <w:t>ی</w:t>
        </w:r>
        <w:r w:rsidRPr="00650944">
          <w:rPr>
            <w:rStyle w:val="Hyperlink"/>
            <w:rFonts w:hint="eastAsia"/>
            <w:rtl/>
          </w:rPr>
          <w:t>ن</w:t>
        </w:r>
        <w:r w:rsidRPr="00650944">
          <w:rPr>
            <w:rStyle w:val="Hyperlink"/>
            <w:rtl/>
          </w:rPr>
          <w:t xml:space="preserve"> العراق</w:t>
        </w:r>
        <w:r w:rsidRPr="00650944">
          <w:rPr>
            <w:rStyle w:val="Hyperlink"/>
            <w:rFonts w:hint="cs"/>
            <w:rtl/>
          </w:rPr>
          <w:t>ی</w:t>
        </w:r>
        <w:r w:rsidRPr="00650944">
          <w:rPr>
            <w:rStyle w:val="Hyperlink"/>
            <w:rFonts w:hint="eastAsia"/>
            <w:rtl/>
          </w:rPr>
          <w:t>،</w:t>
        </w:r>
        <w:r w:rsidRPr="00650944">
          <w:rPr>
            <w:rStyle w:val="Hyperlink"/>
            <w:rtl/>
          </w:rPr>
          <w:t xml:space="preserve"> ج1، ص125.</w:t>
        </w:r>
      </w:hyperlink>
    </w:p>
  </w:footnote>
  <w:footnote w:id="2">
    <w:p w:rsidR="00062B87" w:rsidRPr="00650944" w:rsidRDefault="00062B87" w:rsidP="00062B87">
      <w:pPr>
        <w:pStyle w:val="FootnoteText"/>
      </w:pPr>
      <w:r w:rsidRPr="00650944">
        <w:footnoteRef/>
      </w:r>
      <w:r>
        <w:rPr>
          <w:rFonts w:hint="cs"/>
          <w:rtl/>
        </w:rPr>
        <w:t xml:space="preserve"> همان</w:t>
      </w:r>
    </w:p>
  </w:footnote>
  <w:footnote w:id="3">
    <w:p w:rsidR="00062B87" w:rsidRPr="00650944" w:rsidRDefault="00062B87" w:rsidP="00062B87">
      <w:pPr>
        <w:pStyle w:val="FootnoteText"/>
      </w:pPr>
      <w:r w:rsidRPr="00650944">
        <w:footnoteRef/>
      </w:r>
      <w:r w:rsidRPr="00650944">
        <w:rPr>
          <w:rtl/>
        </w:rPr>
        <w:t xml:space="preserve"> </w:t>
      </w:r>
      <w:hyperlink r:id="rId2" w:history="1">
        <w:r w:rsidRPr="00650944">
          <w:rPr>
            <w:rStyle w:val="Hyperlink"/>
            <w:rtl/>
          </w:rPr>
          <w:t>مقالات الاصول، آقا ض</w:t>
        </w:r>
        <w:r w:rsidRPr="00650944">
          <w:rPr>
            <w:rStyle w:val="Hyperlink"/>
            <w:rFonts w:hint="cs"/>
            <w:rtl/>
          </w:rPr>
          <w:t>ی</w:t>
        </w:r>
        <w:r w:rsidRPr="00650944">
          <w:rPr>
            <w:rStyle w:val="Hyperlink"/>
            <w:rFonts w:hint="eastAsia"/>
            <w:rtl/>
          </w:rPr>
          <w:t>اء</w:t>
        </w:r>
        <w:r w:rsidRPr="00650944">
          <w:rPr>
            <w:rStyle w:val="Hyperlink"/>
            <w:rtl/>
          </w:rPr>
          <w:t xml:space="preserve"> الد</w:t>
        </w:r>
        <w:r w:rsidRPr="00650944">
          <w:rPr>
            <w:rStyle w:val="Hyperlink"/>
            <w:rFonts w:hint="cs"/>
            <w:rtl/>
          </w:rPr>
          <w:t>ی</w:t>
        </w:r>
        <w:r w:rsidRPr="00650944">
          <w:rPr>
            <w:rStyle w:val="Hyperlink"/>
            <w:rFonts w:hint="eastAsia"/>
            <w:rtl/>
          </w:rPr>
          <w:t>ن</w:t>
        </w:r>
        <w:r w:rsidRPr="00650944">
          <w:rPr>
            <w:rStyle w:val="Hyperlink"/>
            <w:rtl/>
          </w:rPr>
          <w:t xml:space="preserve"> العراق</w:t>
        </w:r>
        <w:r w:rsidRPr="00650944">
          <w:rPr>
            <w:rStyle w:val="Hyperlink"/>
            <w:rFonts w:hint="cs"/>
            <w:rtl/>
          </w:rPr>
          <w:t>ی</w:t>
        </w:r>
        <w:r w:rsidRPr="00650944">
          <w:rPr>
            <w:rStyle w:val="Hyperlink"/>
            <w:rFonts w:hint="eastAsia"/>
            <w:rtl/>
          </w:rPr>
          <w:t>،</w:t>
        </w:r>
        <w:r w:rsidRPr="00650944">
          <w:rPr>
            <w:rStyle w:val="Hyperlink"/>
            <w:rtl/>
          </w:rPr>
          <w:t xml:space="preserve"> ج1، ص126.</w:t>
        </w:r>
      </w:hyperlink>
    </w:p>
  </w:footnote>
  <w:footnote w:id="4">
    <w:p w:rsidR="00062B87" w:rsidRDefault="00062B87" w:rsidP="00062B87">
      <w:pPr>
        <w:pStyle w:val="FootnoteText"/>
      </w:pPr>
      <w:r>
        <w:rPr>
          <w:rStyle w:val="FootnoteReference"/>
        </w:rPr>
        <w:footnoteRef/>
      </w:r>
      <w:r>
        <w:rPr>
          <w:rtl/>
        </w:rPr>
        <w:t xml:space="preserve"> </w:t>
      </w:r>
      <w:r>
        <w:rPr>
          <w:rFonts w:hint="cs"/>
          <w:rtl/>
        </w:rPr>
        <w:t>همان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6A4" w:rsidRDefault="001D26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6A4" w:rsidRPr="001D2E9A" w:rsidRDefault="001D26A4"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9" w:name="BokNum"/>
    <w:bookmarkEnd w:id="19"/>
    <w:r>
      <w:rPr>
        <w:b/>
        <w:bCs/>
        <w:sz w:val="20"/>
        <w:szCs w:val="24"/>
        <w:rtl/>
      </w:rPr>
      <w:t>060</w:t>
    </w:r>
    <w:r>
      <w:rPr>
        <w:rFonts w:hint="cs"/>
        <w:b/>
        <w:bCs/>
        <w:sz w:val="20"/>
        <w:szCs w:val="24"/>
        <w:rtl/>
      </w:rPr>
      <w:tab/>
    </w:r>
    <w:r w:rsidRPr="00C32A7E">
      <w:rPr>
        <w:rFonts w:hint="cs"/>
        <w:b/>
        <w:bCs/>
        <w:color w:val="632423" w:themeColor="accent2" w:themeShade="80"/>
        <w:sz w:val="20"/>
        <w:szCs w:val="24"/>
        <w:rtl/>
      </w:rPr>
      <w:t xml:space="preserve">درس خارج </w:t>
    </w:r>
    <w:bookmarkStart w:id="20" w:name="Bokdars"/>
    <w:bookmarkEnd w:id="20"/>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21" w:name="Bokostad"/>
    <w:bookmarkEnd w:id="21"/>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2" w:name="BokTarikh"/>
    <w:bookmarkEnd w:id="22"/>
    <w:r>
      <w:rPr>
        <w:sz w:val="24"/>
        <w:szCs w:val="24"/>
        <w:rtl/>
      </w:rPr>
      <w:t>8 /10 /1398</w:t>
    </w:r>
  </w:p>
  <w:p w:rsidR="001D26A4" w:rsidRPr="00F16B53" w:rsidRDefault="001D26A4"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3" w:name="BokSabj"/>
    <w:bookmarkEnd w:id="23"/>
    <w:r>
      <w:rPr>
        <w:color w:val="000000" w:themeColor="text1"/>
        <w:sz w:val="24"/>
        <w:szCs w:val="24"/>
        <w:rtl/>
      </w:rPr>
      <w:t>احوال لفظ</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4" w:name="Bokmoqarer"/>
    <w:bookmarkEnd w:id="24"/>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5" w:name="BokSabj2"/>
    <w:bookmarkEnd w:id="25"/>
    <w:r>
      <w:rPr>
        <w:sz w:val="24"/>
        <w:szCs w:val="24"/>
        <w:rtl/>
      </w:rPr>
      <w:t>کلام محقق عراق</w:t>
    </w:r>
    <w:r>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6A4" w:rsidRDefault="001D26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30A9"/>
    <w:rsid w:val="00025777"/>
    <w:rsid w:val="00025B70"/>
    <w:rsid w:val="000353D7"/>
    <w:rsid w:val="00055496"/>
    <w:rsid w:val="00062B87"/>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60E8"/>
    <w:rsid w:val="00187DFA"/>
    <w:rsid w:val="001A1BC1"/>
    <w:rsid w:val="001A1EA5"/>
    <w:rsid w:val="001A2574"/>
    <w:rsid w:val="001A27D7"/>
    <w:rsid w:val="001A294E"/>
    <w:rsid w:val="001A4ED8"/>
    <w:rsid w:val="001B2488"/>
    <w:rsid w:val="001B6799"/>
    <w:rsid w:val="001C1362"/>
    <w:rsid w:val="001D26A4"/>
    <w:rsid w:val="001D2E9A"/>
    <w:rsid w:val="001D597F"/>
    <w:rsid w:val="001E3FD4"/>
    <w:rsid w:val="001F1F84"/>
    <w:rsid w:val="001F63F7"/>
    <w:rsid w:val="0020241A"/>
    <w:rsid w:val="00203821"/>
    <w:rsid w:val="00211632"/>
    <w:rsid w:val="0021630D"/>
    <w:rsid w:val="00227E90"/>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0031"/>
    <w:rsid w:val="00441B6D"/>
    <w:rsid w:val="004556EF"/>
    <w:rsid w:val="00462B07"/>
    <w:rsid w:val="00465BD2"/>
    <w:rsid w:val="004715C8"/>
    <w:rsid w:val="00481C31"/>
    <w:rsid w:val="00482FC1"/>
    <w:rsid w:val="00483027"/>
    <w:rsid w:val="004871AA"/>
    <w:rsid w:val="004918D7"/>
    <w:rsid w:val="004926E1"/>
    <w:rsid w:val="004A2FEA"/>
    <w:rsid w:val="004C7397"/>
    <w:rsid w:val="004D2DD7"/>
    <w:rsid w:val="004D75C5"/>
    <w:rsid w:val="004E2186"/>
    <w:rsid w:val="004E66FB"/>
    <w:rsid w:val="004F470A"/>
    <w:rsid w:val="004F4C59"/>
    <w:rsid w:val="00500C8F"/>
    <w:rsid w:val="00501909"/>
    <w:rsid w:val="00504F7B"/>
    <w:rsid w:val="00507BBB"/>
    <w:rsid w:val="005105D1"/>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7C15"/>
    <w:rsid w:val="0063256E"/>
    <w:rsid w:val="00633F04"/>
    <w:rsid w:val="00635219"/>
    <w:rsid w:val="00635EC0"/>
    <w:rsid w:val="00640B58"/>
    <w:rsid w:val="00650944"/>
    <w:rsid w:val="00651B02"/>
    <w:rsid w:val="00651B19"/>
    <w:rsid w:val="00660A29"/>
    <w:rsid w:val="00683E1D"/>
    <w:rsid w:val="00695519"/>
    <w:rsid w:val="006A2DAC"/>
    <w:rsid w:val="006A4134"/>
    <w:rsid w:val="006A5DDA"/>
    <w:rsid w:val="006A6701"/>
    <w:rsid w:val="006B21F4"/>
    <w:rsid w:val="006B3753"/>
    <w:rsid w:val="006B7AD6"/>
    <w:rsid w:val="006C222B"/>
    <w:rsid w:val="006C50FD"/>
    <w:rsid w:val="006C77E1"/>
    <w:rsid w:val="006D1DD4"/>
    <w:rsid w:val="006D4014"/>
    <w:rsid w:val="006D44C1"/>
    <w:rsid w:val="006E5651"/>
    <w:rsid w:val="006E5B85"/>
    <w:rsid w:val="006F026A"/>
    <w:rsid w:val="0070265B"/>
    <w:rsid w:val="00704813"/>
    <w:rsid w:val="0071337A"/>
    <w:rsid w:val="0072290D"/>
    <w:rsid w:val="00723D6D"/>
    <w:rsid w:val="00724537"/>
    <w:rsid w:val="00731724"/>
    <w:rsid w:val="0073474B"/>
    <w:rsid w:val="00735511"/>
    <w:rsid w:val="00737208"/>
    <w:rsid w:val="00744DE6"/>
    <w:rsid w:val="00747F52"/>
    <w:rsid w:val="00762452"/>
    <w:rsid w:val="007639E0"/>
    <w:rsid w:val="00775507"/>
    <w:rsid w:val="00777FC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7104"/>
    <w:rsid w:val="00871916"/>
    <w:rsid w:val="00893980"/>
    <w:rsid w:val="008956DD"/>
    <w:rsid w:val="008A510E"/>
    <w:rsid w:val="008A522A"/>
    <w:rsid w:val="008B4464"/>
    <w:rsid w:val="008B750B"/>
    <w:rsid w:val="008C3162"/>
    <w:rsid w:val="008D1F14"/>
    <w:rsid w:val="008E3924"/>
    <w:rsid w:val="008F13F7"/>
    <w:rsid w:val="008F3C1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2566"/>
    <w:rsid w:val="009846A7"/>
    <w:rsid w:val="0098794D"/>
    <w:rsid w:val="0099497B"/>
    <w:rsid w:val="009A43BA"/>
    <w:rsid w:val="009B0D05"/>
    <w:rsid w:val="009B4CA6"/>
    <w:rsid w:val="009B79F8"/>
    <w:rsid w:val="009C66D5"/>
    <w:rsid w:val="009D13FD"/>
    <w:rsid w:val="009D140F"/>
    <w:rsid w:val="009D266A"/>
    <w:rsid w:val="009F7E07"/>
    <w:rsid w:val="00A01522"/>
    <w:rsid w:val="00A10A11"/>
    <w:rsid w:val="00A13C6A"/>
    <w:rsid w:val="00A17B09"/>
    <w:rsid w:val="00A457C6"/>
    <w:rsid w:val="00A46AD0"/>
    <w:rsid w:val="00A47063"/>
    <w:rsid w:val="00A473A8"/>
    <w:rsid w:val="00A513F0"/>
    <w:rsid w:val="00A61AC8"/>
    <w:rsid w:val="00A6366F"/>
    <w:rsid w:val="00A64E46"/>
    <w:rsid w:val="00A65D4C"/>
    <w:rsid w:val="00A70512"/>
    <w:rsid w:val="00A70D37"/>
    <w:rsid w:val="00AA1F60"/>
    <w:rsid w:val="00AA28F4"/>
    <w:rsid w:val="00AA40D7"/>
    <w:rsid w:val="00AB5F7D"/>
    <w:rsid w:val="00AC0C50"/>
    <w:rsid w:val="00AC6FE2"/>
    <w:rsid w:val="00AF3925"/>
    <w:rsid w:val="00B1296B"/>
    <w:rsid w:val="00B2292F"/>
    <w:rsid w:val="00B43169"/>
    <w:rsid w:val="00B479C2"/>
    <w:rsid w:val="00B501A8"/>
    <w:rsid w:val="00B55AE4"/>
    <w:rsid w:val="00B70B46"/>
    <w:rsid w:val="00B739B0"/>
    <w:rsid w:val="00B814A3"/>
    <w:rsid w:val="00B96F38"/>
    <w:rsid w:val="00BA063F"/>
    <w:rsid w:val="00BA5E49"/>
    <w:rsid w:val="00BC716B"/>
    <w:rsid w:val="00BD0E74"/>
    <w:rsid w:val="00BD5256"/>
    <w:rsid w:val="00BD5F8C"/>
    <w:rsid w:val="00BE29DD"/>
    <w:rsid w:val="00C066AF"/>
    <w:rsid w:val="00C10E06"/>
    <w:rsid w:val="00C145B8"/>
    <w:rsid w:val="00C2438F"/>
    <w:rsid w:val="00C268A5"/>
    <w:rsid w:val="00C31AF0"/>
    <w:rsid w:val="00C32A7E"/>
    <w:rsid w:val="00C34F28"/>
    <w:rsid w:val="00C368DF"/>
    <w:rsid w:val="00C442C5"/>
    <w:rsid w:val="00C57B5C"/>
    <w:rsid w:val="00C57C7C"/>
    <w:rsid w:val="00C61049"/>
    <w:rsid w:val="00C63FFE"/>
    <w:rsid w:val="00C91EB6"/>
    <w:rsid w:val="00C941BF"/>
    <w:rsid w:val="00CA10B0"/>
    <w:rsid w:val="00CA2F8E"/>
    <w:rsid w:val="00CA3EE2"/>
    <w:rsid w:val="00CA7FD5"/>
    <w:rsid w:val="00CB097F"/>
    <w:rsid w:val="00CB3287"/>
    <w:rsid w:val="00CB33E2"/>
    <w:rsid w:val="00CB4E68"/>
    <w:rsid w:val="00CC2733"/>
    <w:rsid w:val="00CD0050"/>
    <w:rsid w:val="00CE6A41"/>
    <w:rsid w:val="00CE7481"/>
    <w:rsid w:val="00CF0A8F"/>
    <w:rsid w:val="00D048CE"/>
    <w:rsid w:val="00D10998"/>
    <w:rsid w:val="00D15CBD"/>
    <w:rsid w:val="00D221CB"/>
    <w:rsid w:val="00D23391"/>
    <w:rsid w:val="00D31805"/>
    <w:rsid w:val="00D4676B"/>
    <w:rsid w:val="00D552B9"/>
    <w:rsid w:val="00D735B2"/>
    <w:rsid w:val="00D74021"/>
    <w:rsid w:val="00D76D01"/>
    <w:rsid w:val="00D922A9"/>
    <w:rsid w:val="00D9394A"/>
    <w:rsid w:val="00DB0CBB"/>
    <w:rsid w:val="00DB67CC"/>
    <w:rsid w:val="00DC3783"/>
    <w:rsid w:val="00DE1070"/>
    <w:rsid w:val="00E00219"/>
    <w:rsid w:val="00E0316B"/>
    <w:rsid w:val="00E25899"/>
    <w:rsid w:val="00E25E10"/>
    <w:rsid w:val="00E47BDB"/>
    <w:rsid w:val="00E50B41"/>
    <w:rsid w:val="00E5219B"/>
    <w:rsid w:val="00E52D07"/>
    <w:rsid w:val="00E5518B"/>
    <w:rsid w:val="00E609FE"/>
    <w:rsid w:val="00E630BE"/>
    <w:rsid w:val="00E71A3A"/>
    <w:rsid w:val="00E75920"/>
    <w:rsid w:val="00E80D96"/>
    <w:rsid w:val="00E871FA"/>
    <w:rsid w:val="00E936A4"/>
    <w:rsid w:val="00E954BB"/>
    <w:rsid w:val="00EA2FA9"/>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3357"/>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49/1/126/&#1583;&#1608;&#1585;&#1575;&#1606;&#1607;" TargetMode="External"/><Relationship Id="rId1" Type="http://schemas.openxmlformats.org/officeDocument/2006/relationships/hyperlink" Target="http://lib.eshia.ir/13049/1/125/&#1578;&#1593;&#1575;&#1585;&#15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581EA-2240-4CC9-A6AA-668D60BE5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124</TotalTime>
  <Pages>1</Pages>
  <Words>873</Words>
  <Characters>4980</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5842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31</cp:revision>
  <cp:lastPrinted>2020-01-03T15:47:00Z</cp:lastPrinted>
  <dcterms:created xsi:type="dcterms:W3CDTF">2019-12-29T04:55:00Z</dcterms:created>
  <dcterms:modified xsi:type="dcterms:W3CDTF">2020-01-03T15:59:00Z</dcterms:modified>
  <cp:contentStatus>ویرایش 2.5</cp:contentStatus>
  <cp:version>2.7</cp:version>
</cp:coreProperties>
</file>