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24542" w:rsidRDefault="00624542" w:rsidP="0062454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0237734" w:history="1">
        <w:r w:rsidRPr="00266495">
          <w:rPr>
            <w:rStyle w:val="Hyperlink"/>
            <w:noProof/>
            <w:rtl/>
          </w:rPr>
          <w:t>کلام مرحوم نائ</w:t>
        </w:r>
        <w:r w:rsidRPr="00266495">
          <w:rPr>
            <w:rStyle w:val="Hyperlink"/>
            <w:rFonts w:hint="cs"/>
            <w:noProof/>
            <w:rtl/>
          </w:rPr>
          <w:t>ی</w:t>
        </w:r>
        <w:r w:rsidRPr="00266495">
          <w:rPr>
            <w:rStyle w:val="Hyperlink"/>
            <w:rFonts w:hint="eastAsia"/>
            <w:noProof/>
            <w:rtl/>
          </w:rPr>
          <w:t>ن</w:t>
        </w:r>
        <w:r w:rsidRPr="00266495">
          <w:rPr>
            <w:rStyle w:val="Hyperlink"/>
            <w:rFonts w:hint="cs"/>
            <w:noProof/>
            <w:rtl/>
          </w:rPr>
          <w:t>ی</w:t>
        </w:r>
        <w:r w:rsidRPr="00266495">
          <w:rPr>
            <w:rStyle w:val="Hyperlink"/>
            <w:noProof/>
            <w:rtl/>
          </w:rPr>
          <w:t xml:space="preserve"> در استدلال بر انقلاب نسبت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20237734 </w:instrText>
        </w:r>
        <w:r>
          <w:rPr>
            <w:noProof/>
            <w:webHidden/>
          </w:rPr>
          <w:instrText>\h</w:instrText>
        </w:r>
        <w:r>
          <w:rPr>
            <w:noProof/>
            <w:webHidden/>
            <w:rtl/>
          </w:rPr>
          <w:instrText xml:space="preserve"> </w:instrText>
        </w:r>
        <w:r>
          <w:rPr>
            <w:noProof/>
            <w:webHidden/>
            <w:rtl/>
          </w:rPr>
        </w:r>
        <w:r>
          <w:rPr>
            <w:noProof/>
            <w:webHidden/>
            <w:rtl/>
          </w:rPr>
          <w:fldChar w:fldCharType="separate"/>
        </w:r>
        <w:r w:rsidR="00A94F3B">
          <w:rPr>
            <w:noProof/>
            <w:webHidden/>
            <w:rtl/>
          </w:rPr>
          <w:t>1</w:t>
        </w:r>
        <w:r>
          <w:rPr>
            <w:noProof/>
            <w:webHidden/>
            <w:rtl/>
          </w:rPr>
          <w:fldChar w:fldCharType="end"/>
        </w:r>
      </w:hyperlink>
    </w:p>
    <w:p w:rsidR="00624542" w:rsidRDefault="00376D86" w:rsidP="00624542">
      <w:pPr>
        <w:pStyle w:val="TOC2"/>
        <w:tabs>
          <w:tab w:val="right" w:leader="dot" w:pos="10194"/>
        </w:tabs>
        <w:rPr>
          <w:rFonts w:asciiTheme="minorHAnsi" w:eastAsiaTheme="minorEastAsia" w:hAnsiTheme="minorHAnsi" w:cstheme="minorBidi"/>
          <w:bCs w:val="0"/>
          <w:noProof/>
          <w:color w:val="auto"/>
          <w:szCs w:val="22"/>
          <w:rtl/>
          <w:lang w:bidi="ar-SA"/>
        </w:rPr>
      </w:pPr>
      <w:hyperlink w:anchor="_Toc20237735" w:history="1">
        <w:r w:rsidR="00624542" w:rsidRPr="00266495">
          <w:rPr>
            <w:rStyle w:val="Hyperlink"/>
            <w:noProof/>
            <w:rtl/>
          </w:rPr>
          <w:t>تقر</w:t>
        </w:r>
        <w:r w:rsidR="00624542" w:rsidRPr="00266495">
          <w:rPr>
            <w:rStyle w:val="Hyperlink"/>
            <w:rFonts w:hint="cs"/>
            <w:noProof/>
            <w:rtl/>
          </w:rPr>
          <w:t>ی</w:t>
        </w:r>
        <w:r w:rsidR="00624542" w:rsidRPr="00266495">
          <w:rPr>
            <w:rStyle w:val="Hyperlink"/>
            <w:rFonts w:hint="eastAsia"/>
            <w:noProof/>
            <w:rtl/>
          </w:rPr>
          <w:t>ب</w:t>
        </w:r>
        <w:r w:rsidR="00624542" w:rsidRPr="00266495">
          <w:rPr>
            <w:rStyle w:val="Hyperlink"/>
            <w:noProof/>
            <w:rtl/>
          </w:rPr>
          <w:t xml:space="preserve"> شه</w:t>
        </w:r>
        <w:r w:rsidR="00624542" w:rsidRPr="00266495">
          <w:rPr>
            <w:rStyle w:val="Hyperlink"/>
            <w:rFonts w:hint="cs"/>
            <w:noProof/>
            <w:rtl/>
          </w:rPr>
          <w:t>ی</w:t>
        </w:r>
        <w:r w:rsidR="00624542" w:rsidRPr="00266495">
          <w:rPr>
            <w:rStyle w:val="Hyperlink"/>
            <w:rFonts w:hint="eastAsia"/>
            <w:noProof/>
            <w:rtl/>
          </w:rPr>
          <w:t>د</w:t>
        </w:r>
        <w:r w:rsidR="00624542" w:rsidRPr="00266495">
          <w:rPr>
            <w:rStyle w:val="Hyperlink"/>
            <w:noProof/>
            <w:rtl/>
          </w:rPr>
          <w:t xml:space="preserve"> صدر از کلام مرحوم نائ</w:t>
        </w:r>
        <w:r w:rsidR="00624542" w:rsidRPr="00266495">
          <w:rPr>
            <w:rStyle w:val="Hyperlink"/>
            <w:rFonts w:hint="cs"/>
            <w:noProof/>
            <w:rtl/>
          </w:rPr>
          <w:t>ی</w:t>
        </w:r>
        <w:r w:rsidR="00624542" w:rsidRPr="00266495">
          <w:rPr>
            <w:rStyle w:val="Hyperlink"/>
            <w:rFonts w:hint="eastAsia"/>
            <w:noProof/>
            <w:rtl/>
          </w:rPr>
          <w:t>ن</w:t>
        </w:r>
        <w:r w:rsidR="00624542" w:rsidRPr="00266495">
          <w:rPr>
            <w:rStyle w:val="Hyperlink"/>
            <w:rFonts w:hint="cs"/>
            <w:noProof/>
            <w:rtl/>
          </w:rPr>
          <w:t>ی</w:t>
        </w:r>
        <w:r w:rsidR="00624542">
          <w:rPr>
            <w:noProof/>
            <w:webHidden/>
            <w:rtl/>
          </w:rPr>
          <w:tab/>
        </w:r>
        <w:r w:rsidR="00624542">
          <w:rPr>
            <w:noProof/>
            <w:webHidden/>
            <w:rtl/>
          </w:rPr>
          <w:fldChar w:fldCharType="begin"/>
        </w:r>
        <w:r w:rsidR="00624542">
          <w:rPr>
            <w:noProof/>
            <w:webHidden/>
            <w:rtl/>
          </w:rPr>
          <w:instrText xml:space="preserve"> </w:instrText>
        </w:r>
        <w:r w:rsidR="00624542">
          <w:rPr>
            <w:noProof/>
            <w:webHidden/>
          </w:rPr>
          <w:instrText>PAGEREF</w:instrText>
        </w:r>
        <w:r w:rsidR="00624542">
          <w:rPr>
            <w:noProof/>
            <w:webHidden/>
            <w:rtl/>
          </w:rPr>
          <w:instrText xml:space="preserve"> _</w:instrText>
        </w:r>
        <w:r w:rsidR="00624542">
          <w:rPr>
            <w:noProof/>
            <w:webHidden/>
          </w:rPr>
          <w:instrText>Toc</w:instrText>
        </w:r>
        <w:r w:rsidR="00624542">
          <w:rPr>
            <w:noProof/>
            <w:webHidden/>
            <w:rtl/>
          </w:rPr>
          <w:instrText xml:space="preserve">20237735 </w:instrText>
        </w:r>
        <w:r w:rsidR="00624542">
          <w:rPr>
            <w:noProof/>
            <w:webHidden/>
          </w:rPr>
          <w:instrText>\h</w:instrText>
        </w:r>
        <w:r w:rsidR="00624542">
          <w:rPr>
            <w:noProof/>
            <w:webHidden/>
            <w:rtl/>
          </w:rPr>
          <w:instrText xml:space="preserve"> </w:instrText>
        </w:r>
        <w:r w:rsidR="00624542">
          <w:rPr>
            <w:noProof/>
            <w:webHidden/>
            <w:rtl/>
          </w:rPr>
        </w:r>
        <w:r w:rsidR="00624542">
          <w:rPr>
            <w:noProof/>
            <w:webHidden/>
            <w:rtl/>
          </w:rPr>
          <w:fldChar w:fldCharType="separate"/>
        </w:r>
        <w:r w:rsidR="00A94F3B">
          <w:rPr>
            <w:noProof/>
            <w:webHidden/>
            <w:rtl/>
          </w:rPr>
          <w:t>1</w:t>
        </w:r>
        <w:r w:rsidR="00624542">
          <w:rPr>
            <w:noProof/>
            <w:webHidden/>
            <w:rtl/>
          </w:rPr>
          <w:fldChar w:fldCharType="end"/>
        </w:r>
      </w:hyperlink>
    </w:p>
    <w:p w:rsidR="00624542" w:rsidRDefault="00376D86" w:rsidP="0062454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0237736" w:history="1">
        <w:r w:rsidR="00624542" w:rsidRPr="00266495">
          <w:rPr>
            <w:rStyle w:val="Hyperlink"/>
            <w:noProof/>
            <w:rtl/>
          </w:rPr>
          <w:t>مناقشه در کلام مرحوم نائ</w:t>
        </w:r>
        <w:r w:rsidR="00624542" w:rsidRPr="00266495">
          <w:rPr>
            <w:rStyle w:val="Hyperlink"/>
            <w:rFonts w:hint="cs"/>
            <w:noProof/>
            <w:rtl/>
          </w:rPr>
          <w:t>ی</w:t>
        </w:r>
        <w:r w:rsidR="00624542" w:rsidRPr="00266495">
          <w:rPr>
            <w:rStyle w:val="Hyperlink"/>
            <w:rFonts w:hint="eastAsia"/>
            <w:noProof/>
            <w:rtl/>
          </w:rPr>
          <w:t>ن</w:t>
        </w:r>
        <w:r w:rsidR="00624542" w:rsidRPr="00266495">
          <w:rPr>
            <w:rStyle w:val="Hyperlink"/>
            <w:rFonts w:hint="cs"/>
            <w:noProof/>
            <w:rtl/>
          </w:rPr>
          <w:t>ی</w:t>
        </w:r>
        <w:r w:rsidR="00624542">
          <w:rPr>
            <w:noProof/>
            <w:webHidden/>
            <w:rtl/>
          </w:rPr>
          <w:tab/>
        </w:r>
        <w:r w:rsidR="00624542">
          <w:rPr>
            <w:noProof/>
            <w:webHidden/>
            <w:rtl/>
          </w:rPr>
          <w:fldChar w:fldCharType="begin"/>
        </w:r>
        <w:r w:rsidR="00624542">
          <w:rPr>
            <w:noProof/>
            <w:webHidden/>
            <w:rtl/>
          </w:rPr>
          <w:instrText xml:space="preserve"> </w:instrText>
        </w:r>
        <w:r w:rsidR="00624542">
          <w:rPr>
            <w:noProof/>
            <w:webHidden/>
          </w:rPr>
          <w:instrText>PAGEREF</w:instrText>
        </w:r>
        <w:r w:rsidR="00624542">
          <w:rPr>
            <w:noProof/>
            <w:webHidden/>
            <w:rtl/>
          </w:rPr>
          <w:instrText xml:space="preserve"> _</w:instrText>
        </w:r>
        <w:r w:rsidR="00624542">
          <w:rPr>
            <w:noProof/>
            <w:webHidden/>
          </w:rPr>
          <w:instrText>Toc</w:instrText>
        </w:r>
        <w:r w:rsidR="00624542">
          <w:rPr>
            <w:noProof/>
            <w:webHidden/>
            <w:rtl/>
          </w:rPr>
          <w:instrText xml:space="preserve">20237736 </w:instrText>
        </w:r>
        <w:r w:rsidR="00624542">
          <w:rPr>
            <w:noProof/>
            <w:webHidden/>
          </w:rPr>
          <w:instrText>\h</w:instrText>
        </w:r>
        <w:r w:rsidR="00624542">
          <w:rPr>
            <w:noProof/>
            <w:webHidden/>
            <w:rtl/>
          </w:rPr>
          <w:instrText xml:space="preserve"> </w:instrText>
        </w:r>
        <w:r w:rsidR="00624542">
          <w:rPr>
            <w:noProof/>
            <w:webHidden/>
            <w:rtl/>
          </w:rPr>
        </w:r>
        <w:r w:rsidR="00624542">
          <w:rPr>
            <w:noProof/>
            <w:webHidden/>
            <w:rtl/>
          </w:rPr>
          <w:fldChar w:fldCharType="separate"/>
        </w:r>
        <w:r w:rsidR="00A94F3B">
          <w:rPr>
            <w:noProof/>
            <w:webHidden/>
            <w:rtl/>
          </w:rPr>
          <w:t>2</w:t>
        </w:r>
        <w:r w:rsidR="00624542">
          <w:rPr>
            <w:noProof/>
            <w:webHidden/>
            <w:rtl/>
          </w:rPr>
          <w:fldChar w:fldCharType="end"/>
        </w:r>
      </w:hyperlink>
    </w:p>
    <w:p w:rsidR="00624542" w:rsidRDefault="00376D86" w:rsidP="00624542">
      <w:pPr>
        <w:pStyle w:val="TOC2"/>
        <w:tabs>
          <w:tab w:val="right" w:leader="dot" w:pos="10194"/>
        </w:tabs>
        <w:rPr>
          <w:rFonts w:asciiTheme="minorHAnsi" w:eastAsiaTheme="minorEastAsia" w:hAnsiTheme="minorHAnsi" w:cstheme="minorBidi"/>
          <w:bCs w:val="0"/>
          <w:noProof/>
          <w:color w:val="auto"/>
          <w:szCs w:val="22"/>
          <w:rtl/>
          <w:lang w:bidi="ar-SA"/>
        </w:rPr>
      </w:pPr>
      <w:hyperlink w:anchor="_Toc20237737" w:history="1">
        <w:r w:rsidR="00624542" w:rsidRPr="00266495">
          <w:rPr>
            <w:rStyle w:val="Hyperlink"/>
            <w:noProof/>
            <w:rtl/>
          </w:rPr>
          <w:t>تقر</w:t>
        </w:r>
        <w:r w:rsidR="00624542" w:rsidRPr="00266495">
          <w:rPr>
            <w:rStyle w:val="Hyperlink"/>
            <w:rFonts w:hint="cs"/>
            <w:noProof/>
            <w:rtl/>
          </w:rPr>
          <w:t>ی</w:t>
        </w:r>
        <w:r w:rsidR="00624542" w:rsidRPr="00266495">
          <w:rPr>
            <w:rStyle w:val="Hyperlink"/>
            <w:rFonts w:hint="eastAsia"/>
            <w:noProof/>
            <w:rtl/>
          </w:rPr>
          <w:t>ب</w:t>
        </w:r>
        <w:r w:rsidR="00624542" w:rsidRPr="00266495">
          <w:rPr>
            <w:rStyle w:val="Hyperlink"/>
            <w:noProof/>
            <w:rtl/>
          </w:rPr>
          <w:t xml:space="preserve"> مرحوم کاظم</w:t>
        </w:r>
        <w:r w:rsidR="00624542" w:rsidRPr="00266495">
          <w:rPr>
            <w:rStyle w:val="Hyperlink"/>
            <w:rFonts w:hint="cs"/>
            <w:noProof/>
            <w:rtl/>
          </w:rPr>
          <w:t>ی</w:t>
        </w:r>
        <w:r w:rsidR="00624542" w:rsidRPr="00266495">
          <w:rPr>
            <w:rStyle w:val="Hyperlink"/>
            <w:noProof/>
            <w:rtl/>
          </w:rPr>
          <w:t xml:space="preserve"> از کلام مرحوم آخوند</w:t>
        </w:r>
        <w:r w:rsidR="00624542">
          <w:rPr>
            <w:noProof/>
            <w:webHidden/>
            <w:rtl/>
          </w:rPr>
          <w:tab/>
        </w:r>
        <w:r w:rsidR="00624542">
          <w:rPr>
            <w:noProof/>
            <w:webHidden/>
            <w:rtl/>
          </w:rPr>
          <w:fldChar w:fldCharType="begin"/>
        </w:r>
        <w:r w:rsidR="00624542">
          <w:rPr>
            <w:noProof/>
            <w:webHidden/>
            <w:rtl/>
          </w:rPr>
          <w:instrText xml:space="preserve"> </w:instrText>
        </w:r>
        <w:r w:rsidR="00624542">
          <w:rPr>
            <w:noProof/>
            <w:webHidden/>
          </w:rPr>
          <w:instrText>PAGEREF</w:instrText>
        </w:r>
        <w:r w:rsidR="00624542">
          <w:rPr>
            <w:noProof/>
            <w:webHidden/>
            <w:rtl/>
          </w:rPr>
          <w:instrText xml:space="preserve"> _</w:instrText>
        </w:r>
        <w:r w:rsidR="00624542">
          <w:rPr>
            <w:noProof/>
            <w:webHidden/>
          </w:rPr>
          <w:instrText>Toc</w:instrText>
        </w:r>
        <w:r w:rsidR="00624542">
          <w:rPr>
            <w:noProof/>
            <w:webHidden/>
            <w:rtl/>
          </w:rPr>
          <w:instrText xml:space="preserve">20237737 </w:instrText>
        </w:r>
        <w:r w:rsidR="00624542">
          <w:rPr>
            <w:noProof/>
            <w:webHidden/>
          </w:rPr>
          <w:instrText>\h</w:instrText>
        </w:r>
        <w:r w:rsidR="00624542">
          <w:rPr>
            <w:noProof/>
            <w:webHidden/>
            <w:rtl/>
          </w:rPr>
          <w:instrText xml:space="preserve"> </w:instrText>
        </w:r>
        <w:r w:rsidR="00624542">
          <w:rPr>
            <w:noProof/>
            <w:webHidden/>
            <w:rtl/>
          </w:rPr>
        </w:r>
        <w:r w:rsidR="00624542">
          <w:rPr>
            <w:noProof/>
            <w:webHidden/>
            <w:rtl/>
          </w:rPr>
          <w:fldChar w:fldCharType="separate"/>
        </w:r>
        <w:r w:rsidR="00A94F3B">
          <w:rPr>
            <w:noProof/>
            <w:webHidden/>
            <w:rtl/>
          </w:rPr>
          <w:t>3</w:t>
        </w:r>
        <w:r w:rsidR="00624542">
          <w:rPr>
            <w:noProof/>
            <w:webHidden/>
            <w:rtl/>
          </w:rPr>
          <w:fldChar w:fldCharType="end"/>
        </w:r>
      </w:hyperlink>
    </w:p>
    <w:p w:rsidR="00624542" w:rsidRDefault="00376D86" w:rsidP="0062454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0237738" w:history="1">
        <w:r w:rsidR="00624542" w:rsidRPr="00266495">
          <w:rPr>
            <w:rStyle w:val="Hyperlink"/>
            <w:noProof/>
            <w:rtl/>
          </w:rPr>
          <w:t>مناقشه در کلام مرحوم نائ</w:t>
        </w:r>
        <w:r w:rsidR="00624542" w:rsidRPr="00266495">
          <w:rPr>
            <w:rStyle w:val="Hyperlink"/>
            <w:rFonts w:hint="cs"/>
            <w:noProof/>
            <w:rtl/>
          </w:rPr>
          <w:t>ی</w:t>
        </w:r>
        <w:r w:rsidR="00624542" w:rsidRPr="00266495">
          <w:rPr>
            <w:rStyle w:val="Hyperlink"/>
            <w:rFonts w:hint="eastAsia"/>
            <w:noProof/>
            <w:rtl/>
          </w:rPr>
          <w:t>ن</w:t>
        </w:r>
        <w:r w:rsidR="00624542" w:rsidRPr="00266495">
          <w:rPr>
            <w:rStyle w:val="Hyperlink"/>
            <w:rFonts w:hint="cs"/>
            <w:noProof/>
            <w:rtl/>
          </w:rPr>
          <w:t>ی</w:t>
        </w:r>
        <w:r w:rsidR="00624542">
          <w:rPr>
            <w:noProof/>
            <w:webHidden/>
            <w:rtl/>
          </w:rPr>
          <w:tab/>
        </w:r>
        <w:r w:rsidR="00624542">
          <w:rPr>
            <w:noProof/>
            <w:webHidden/>
            <w:rtl/>
          </w:rPr>
          <w:fldChar w:fldCharType="begin"/>
        </w:r>
        <w:r w:rsidR="00624542">
          <w:rPr>
            <w:noProof/>
            <w:webHidden/>
            <w:rtl/>
          </w:rPr>
          <w:instrText xml:space="preserve"> </w:instrText>
        </w:r>
        <w:r w:rsidR="00624542">
          <w:rPr>
            <w:noProof/>
            <w:webHidden/>
          </w:rPr>
          <w:instrText>PAGEREF</w:instrText>
        </w:r>
        <w:r w:rsidR="00624542">
          <w:rPr>
            <w:noProof/>
            <w:webHidden/>
            <w:rtl/>
          </w:rPr>
          <w:instrText xml:space="preserve"> _</w:instrText>
        </w:r>
        <w:r w:rsidR="00624542">
          <w:rPr>
            <w:noProof/>
            <w:webHidden/>
          </w:rPr>
          <w:instrText>Toc</w:instrText>
        </w:r>
        <w:r w:rsidR="00624542">
          <w:rPr>
            <w:noProof/>
            <w:webHidden/>
            <w:rtl/>
          </w:rPr>
          <w:instrText xml:space="preserve">20237738 </w:instrText>
        </w:r>
        <w:r w:rsidR="00624542">
          <w:rPr>
            <w:noProof/>
            <w:webHidden/>
          </w:rPr>
          <w:instrText>\h</w:instrText>
        </w:r>
        <w:r w:rsidR="00624542">
          <w:rPr>
            <w:noProof/>
            <w:webHidden/>
            <w:rtl/>
          </w:rPr>
          <w:instrText xml:space="preserve"> </w:instrText>
        </w:r>
        <w:r w:rsidR="00624542">
          <w:rPr>
            <w:noProof/>
            <w:webHidden/>
            <w:rtl/>
          </w:rPr>
        </w:r>
        <w:r w:rsidR="00624542">
          <w:rPr>
            <w:noProof/>
            <w:webHidden/>
            <w:rtl/>
          </w:rPr>
          <w:fldChar w:fldCharType="separate"/>
        </w:r>
        <w:r w:rsidR="00A94F3B">
          <w:rPr>
            <w:noProof/>
            <w:webHidden/>
            <w:rtl/>
          </w:rPr>
          <w:t>4</w:t>
        </w:r>
        <w:r w:rsidR="00624542">
          <w:rPr>
            <w:noProof/>
            <w:webHidden/>
            <w:rtl/>
          </w:rPr>
          <w:fldChar w:fldCharType="end"/>
        </w:r>
      </w:hyperlink>
    </w:p>
    <w:p w:rsidR="00C91EB6" w:rsidRPr="00C91EB6" w:rsidRDefault="00624542" w:rsidP="00C91EB6">
      <w:r>
        <w:rPr>
          <w:rFonts w:cs="B Titr"/>
          <w:noProof/>
          <w:webHidden/>
          <w:color w:val="632423" w:themeColor="accent2" w:themeShade="80"/>
          <w:szCs w:val="24"/>
          <w:rtl/>
        </w:rPr>
        <w:fldChar w:fldCharType="end"/>
      </w:r>
    </w:p>
    <w:p w:rsidR="00F343FB" w:rsidRPr="00A6366F" w:rsidRDefault="00F842AD" w:rsidP="00624542">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03F59">
        <w:rPr>
          <w:rtl/>
        </w:rPr>
        <w:t>کلام مرحوم نائ</w:t>
      </w:r>
      <w:r w:rsidR="00903F59">
        <w:rPr>
          <w:rFonts w:hint="cs"/>
          <w:rtl/>
        </w:rPr>
        <w:t>ی</w:t>
      </w:r>
      <w:r w:rsidR="00903F59">
        <w:rPr>
          <w:rFonts w:hint="eastAsia"/>
          <w:rtl/>
        </w:rPr>
        <w:t>ن</w:t>
      </w:r>
      <w:r w:rsidR="00903F59">
        <w:rPr>
          <w:rFonts w:hint="cs"/>
          <w:rtl/>
        </w:rPr>
        <w:t>ی</w:t>
      </w:r>
      <w:r w:rsidR="00025B70">
        <w:rPr>
          <w:rFonts w:hint="cs"/>
          <w:rtl/>
        </w:rPr>
        <w:t xml:space="preserve"> </w:t>
      </w:r>
      <w:r w:rsidR="00386C11" w:rsidRPr="00A6366F">
        <w:rPr>
          <w:rFonts w:hint="cs"/>
          <w:rtl/>
        </w:rPr>
        <w:t>/</w:t>
      </w:r>
      <w:bookmarkStart w:id="2" w:name="BokSabj_d"/>
      <w:bookmarkEnd w:id="2"/>
      <w:r w:rsidR="00903F59">
        <w:rPr>
          <w:rtl/>
        </w:rPr>
        <w:t>انقلاب نسبت</w:t>
      </w:r>
      <w:r w:rsidR="00386C11" w:rsidRPr="00A6366F">
        <w:rPr>
          <w:rFonts w:hint="cs"/>
          <w:rtl/>
        </w:rPr>
        <w:t xml:space="preserve"> /</w:t>
      </w:r>
      <w:bookmarkStart w:id="3" w:name="Bokkolli"/>
      <w:bookmarkEnd w:id="3"/>
      <w:r w:rsidR="00903F59">
        <w:rPr>
          <w:rtl/>
        </w:rPr>
        <w:t>تعادل و تراج</w:t>
      </w:r>
      <w:r w:rsidR="00903F59">
        <w:rPr>
          <w:rFonts w:hint="cs"/>
          <w:rtl/>
        </w:rPr>
        <w:t>ی</w:t>
      </w:r>
      <w:r w:rsidR="00903F59">
        <w:rPr>
          <w:rFonts w:hint="eastAsia"/>
          <w:rtl/>
        </w:rPr>
        <w:t>ح</w:t>
      </w:r>
      <w:r w:rsidR="001B6799" w:rsidRPr="00A6366F">
        <w:rPr>
          <w:rFonts w:hint="cs"/>
          <w:rtl/>
        </w:rPr>
        <w:t xml:space="preserve"> </w:t>
      </w:r>
    </w:p>
    <w:p w:rsidR="002B28A7" w:rsidRPr="009C66D5" w:rsidRDefault="002B28A7" w:rsidP="002B28A7">
      <w:pPr>
        <w:rPr>
          <w:rStyle w:val="Emphasis"/>
          <w:b/>
          <w:bCs w:val="0"/>
          <w:rtl/>
        </w:rPr>
      </w:pPr>
      <w:r w:rsidRPr="009C66D5">
        <w:rPr>
          <w:rStyle w:val="Emphasis"/>
          <w:rFonts w:hint="cs"/>
          <w:b/>
          <w:bCs w:val="0"/>
          <w:rtl/>
        </w:rPr>
        <w:t>خلاصه مباحث گذشته:</w:t>
      </w:r>
    </w:p>
    <w:p w:rsidR="002B28A7" w:rsidRDefault="002B28A7" w:rsidP="002B28A7">
      <w:pPr>
        <w:pBdr>
          <w:bottom w:val="double" w:sz="6" w:space="1" w:color="auto"/>
        </w:pBdr>
        <w:jc w:val="both"/>
        <w:rPr>
          <w:rtl/>
        </w:rPr>
      </w:pPr>
      <w:r>
        <w:rPr>
          <w:rFonts w:hint="cs"/>
          <w:rtl/>
        </w:rPr>
        <w:t>بحث در کلام مرحوم نائینی بود که گفته شد ایشان بر خلاف مرحوم آخوند قائل به انقلاب نسبت بوده و آن را از نتائج قهری قانون تخصیص می داند و</w:t>
      </w:r>
      <w:r>
        <w:t xml:space="preserve"> </w:t>
      </w:r>
      <w:r>
        <w:rPr>
          <w:rFonts w:hint="cs"/>
          <w:rtl/>
        </w:rPr>
        <w:t>لذا انقلاب نسبت را نتیجه طبیعی پذیرش تخصیص در عام و خاص مطلق می دانند</w:t>
      </w:r>
    </w:p>
    <w:p w:rsidR="002B28A7" w:rsidRPr="003A6148" w:rsidRDefault="002B28A7" w:rsidP="002B28A7">
      <w:pPr>
        <w:pBdr>
          <w:bottom w:val="double" w:sz="6" w:space="1" w:color="auto"/>
        </w:pBdr>
      </w:pPr>
    </w:p>
    <w:p w:rsidR="002B28A7" w:rsidRDefault="002B28A7" w:rsidP="002B28A7"/>
    <w:p w:rsidR="002B28A7" w:rsidRPr="001A27D7" w:rsidRDefault="002B28A7" w:rsidP="002B28A7">
      <w:pPr>
        <w:pStyle w:val="Heading1"/>
        <w:rPr>
          <w:rtl/>
        </w:rPr>
      </w:pPr>
      <w:bookmarkStart w:id="4" w:name="_Toc20237734"/>
      <w:r>
        <w:rPr>
          <w:rFonts w:hint="cs"/>
          <w:rtl/>
        </w:rPr>
        <w:t>کلام مرحوم نائینی در استدلال بر انقلاب نسبت</w:t>
      </w:r>
      <w:bookmarkEnd w:id="4"/>
    </w:p>
    <w:p w:rsidR="002B28A7" w:rsidRDefault="002B28A7" w:rsidP="002B28A7">
      <w:pPr>
        <w:rPr>
          <w:rtl/>
        </w:rPr>
      </w:pPr>
      <w:r>
        <w:rPr>
          <w:rFonts w:hint="cs"/>
          <w:rtl/>
        </w:rPr>
        <w:t>کلام ایشان به دو نحوه تقریب شده است یک تقریب به نقل از شهید صدر و به نقل از اجود التقریرات و تقریب دیگر از مرحوم کاظمی در فوائد الاصول است.</w:t>
      </w:r>
    </w:p>
    <w:p w:rsidR="002B28A7" w:rsidRDefault="002B28A7" w:rsidP="002B28A7">
      <w:pPr>
        <w:pStyle w:val="Heading2"/>
        <w:rPr>
          <w:rtl/>
        </w:rPr>
      </w:pPr>
      <w:bookmarkStart w:id="5" w:name="_Toc20237735"/>
      <w:r>
        <w:rPr>
          <w:rFonts w:hint="cs"/>
          <w:rtl/>
        </w:rPr>
        <w:t>تقریب شهید صدر از کلام مرحوم نائینی</w:t>
      </w:r>
      <w:bookmarkEnd w:id="5"/>
      <w:r>
        <w:rPr>
          <w:rStyle w:val="FootnoteReference"/>
          <w:rtl/>
        </w:rPr>
        <w:footnoteReference w:id="1"/>
      </w:r>
    </w:p>
    <w:p w:rsidR="002B28A7" w:rsidRDefault="002B28A7" w:rsidP="002B28A7">
      <w:pPr>
        <w:jc w:val="both"/>
        <w:rPr>
          <w:rtl/>
        </w:rPr>
      </w:pPr>
      <w:r>
        <w:rPr>
          <w:rFonts w:hint="cs"/>
          <w:rtl/>
        </w:rPr>
        <w:t>بیان ایشان از کلام مرحوم نائینی که ظاهرا ماخوذ از اجود التقریرات</w:t>
      </w:r>
      <w:r>
        <w:rPr>
          <w:rStyle w:val="FootnoteReference"/>
          <w:rtl/>
        </w:rPr>
        <w:footnoteReference w:id="2"/>
      </w:r>
      <w:r>
        <w:rPr>
          <w:rFonts w:hint="cs"/>
          <w:rtl/>
        </w:rPr>
        <w:t xml:space="preserve"> باشد، به راحتی قابل مناقشه است و بین مقدمات آن ارتباط صحیحی وجود ندارد.</w:t>
      </w:r>
    </w:p>
    <w:p w:rsidR="002B28A7" w:rsidRDefault="002B28A7" w:rsidP="002B28A7">
      <w:pPr>
        <w:rPr>
          <w:rtl/>
        </w:rPr>
      </w:pPr>
      <w:r>
        <w:rPr>
          <w:rFonts w:hint="cs"/>
          <w:rtl/>
        </w:rPr>
        <w:t>کلام مرحوم نائینی مبتنی بر دو مقدمه است</w:t>
      </w:r>
    </w:p>
    <w:p w:rsidR="002B28A7" w:rsidRDefault="002B28A7" w:rsidP="002B28A7">
      <w:pPr>
        <w:jc w:val="both"/>
        <w:rPr>
          <w:rtl/>
        </w:rPr>
      </w:pPr>
      <w:r>
        <w:rPr>
          <w:rFonts w:hint="cs"/>
          <w:rtl/>
        </w:rPr>
        <w:t>مقدمه اول: ملاک در تعارض و تنافی بین دو دلیل، حجیت است نه ظهور یعنی تحقق تنافی بین ادله، علاوه بر ظهور در مفاد، منوط به حجت بودن دو دلیل فی حد نفسه، نیز هست و لذا تعارض منوط به حجیت است نه دلالت وضعیه.</w:t>
      </w:r>
    </w:p>
    <w:p w:rsidR="002B28A7" w:rsidRDefault="002B28A7" w:rsidP="002B28A7">
      <w:pPr>
        <w:jc w:val="both"/>
        <w:rPr>
          <w:rtl/>
        </w:rPr>
      </w:pPr>
      <w:r>
        <w:rPr>
          <w:rFonts w:hint="cs"/>
          <w:rtl/>
        </w:rPr>
        <w:lastRenderedPageBreak/>
        <w:t>مقدمه دوم: ملاک در جمع عرفی نیز حجیت است نه ظهور و دلالت ظاهر آن؛ یعنی ملاک رد اخصیت که در جمع عرفی بین عام و خاص معتبر است، اخصیت در حجیت است نه اخصیت در ظهور ولذا اگر ظهور یک دلیل اخص از دیگری نیست اما مقدار حجیت آن اخص از دیگری است، تخصیص صورت می گیرد؛ زیرا ملاک جمع بین ادله، مقدار حجت از ادله است نه مقدار ظهور دلیل؛ پس ظهور دلیل ملاک در تخصیص نخواهد بود.</w:t>
      </w:r>
    </w:p>
    <w:p w:rsidR="002B28A7" w:rsidRDefault="002B28A7" w:rsidP="002B28A7">
      <w:pPr>
        <w:jc w:val="both"/>
        <w:rPr>
          <w:rtl/>
        </w:rPr>
      </w:pPr>
      <w:r>
        <w:rPr>
          <w:rFonts w:hint="cs"/>
          <w:rtl/>
        </w:rPr>
        <w:t>بنابر این در «اکرم العلماء» و «لاتکرم الفساق» و «لا باس باکرام الجاهل الفاسق»؛ دلیل «اکرم العلماء» و «لا تکرم الفساق» عموم من وجه هستند اما در این نسبت حجت نیست؛ زیرا عموم «لا تکرم الفاسق» به سبب «لا باس باکرام الجاهل الفاسق»، تخصیص خورده است پس میزان حجت از آن تنها عالم فاسق است که اخص از اکرم العلماء است.</w:t>
      </w:r>
    </w:p>
    <w:p w:rsidR="002B28A7" w:rsidRDefault="002B28A7" w:rsidP="002B28A7">
      <w:pPr>
        <w:jc w:val="both"/>
        <w:rPr>
          <w:rtl/>
        </w:rPr>
      </w:pPr>
      <w:r>
        <w:rPr>
          <w:rFonts w:hint="cs"/>
          <w:rtl/>
        </w:rPr>
        <w:t>بنابر این حجت از دلیل «لاتکرم الفاسق»، اخص مطلق از «اکرم العلماء» است هر چند که ظهور آن اعم من وجه است و از آنجا که ملاک در جمع عرفی مقدار حجت از دلیل است، دلیل «لا تکرم الفاسق» مقدم بر دلیل «اکرم العلماء» است.</w:t>
      </w:r>
    </w:p>
    <w:p w:rsidR="002B28A7" w:rsidRDefault="002B28A7" w:rsidP="002B28A7">
      <w:pPr>
        <w:jc w:val="both"/>
        <w:rPr>
          <w:rtl/>
        </w:rPr>
      </w:pPr>
      <w:r>
        <w:rPr>
          <w:rFonts w:hint="cs"/>
          <w:rtl/>
        </w:rPr>
        <w:t>بلکه حتی در موادر عموم وخصوص مطلق، ملاک تقدم اخص مطلق، حجیت آن در خصوص است و همین ملاک در انقلاب نسبت وجود دارد؛ زیرا یکی از عامین من وجه، مخصص داشته و لذا تنها حجت در غیر از مخصص است.</w:t>
      </w:r>
    </w:p>
    <w:p w:rsidR="002B28A7" w:rsidRDefault="002B28A7" w:rsidP="002B28A7">
      <w:pPr>
        <w:pStyle w:val="Heading3"/>
        <w:rPr>
          <w:rtl/>
        </w:rPr>
      </w:pPr>
      <w:bookmarkStart w:id="6" w:name="_Toc20237736"/>
      <w:r>
        <w:rPr>
          <w:rFonts w:hint="cs"/>
          <w:rtl/>
        </w:rPr>
        <w:t>مناقشه در کلام مرحوم نائینی</w:t>
      </w:r>
      <w:bookmarkEnd w:id="6"/>
    </w:p>
    <w:p w:rsidR="002B28A7" w:rsidRDefault="002B28A7" w:rsidP="002B28A7">
      <w:pPr>
        <w:rPr>
          <w:rtl/>
        </w:rPr>
      </w:pPr>
      <w:r>
        <w:rPr>
          <w:rFonts w:hint="cs"/>
          <w:rtl/>
        </w:rPr>
        <w:t>مناقشه اول</w:t>
      </w:r>
    </w:p>
    <w:p w:rsidR="002B28A7" w:rsidRDefault="002B28A7" w:rsidP="002B28A7">
      <w:pPr>
        <w:jc w:val="both"/>
        <w:rPr>
          <w:rtl/>
        </w:rPr>
      </w:pPr>
      <w:r>
        <w:rPr>
          <w:rFonts w:hint="cs"/>
          <w:rtl/>
        </w:rPr>
        <w:t>این بیان در صورتی است که قول به انقلاب نسبت را تنها برای رفع تعارض، مطرح کنیم که فرض شهید صدر نیز همین بوده و انقلاب نسبت را صرفا برای رفع تعارض مطرح کرده بودند؛ در حالیکه کلام مرحوم نائینی طبق تقریر مرحوم کاظمی، تصریح می کنند که انقلاب نسبت گاهی رفع تعارض می کند مانند عامین من وجه و مخصص احدهما ولی گاهی ایجاد تعارض می کند پس مطرح شردن انقلاب نسبت صرفا برای رفع تعارض، صحیح نیست.</w:t>
      </w:r>
    </w:p>
    <w:p w:rsidR="002B28A7" w:rsidRDefault="002B28A7" w:rsidP="002B28A7">
      <w:pPr>
        <w:jc w:val="both"/>
        <w:rPr>
          <w:rtl/>
        </w:rPr>
      </w:pPr>
      <w:r>
        <w:rPr>
          <w:rFonts w:hint="cs"/>
          <w:rtl/>
        </w:rPr>
        <w:t>مثلا ممکن است عام و خاص مطلقی به جهت ورود دلیلی ثالثی به تباین و... منقلب شده و تعارض حاصل شود.</w:t>
      </w:r>
    </w:p>
    <w:p w:rsidR="002B28A7" w:rsidRPr="006636C1" w:rsidRDefault="002B28A7" w:rsidP="002B28A7">
      <w:pPr>
        <w:jc w:val="both"/>
        <w:rPr>
          <w:rtl/>
        </w:rPr>
      </w:pPr>
      <w:r>
        <w:rPr>
          <w:rFonts w:hint="cs"/>
          <w:rtl/>
        </w:rPr>
        <w:t>بله مرحوم نائینی هر چند که انقلاب نسبت را مختص موارد رفع تعارض نمی دانند؛ اما در عام و خصوصات متعدد، قائل به انقلاب نسبت نیستند؛ زیرا خصوصات متعدد در عرض یکدیگر هستند پس ملاحظه یکی از آنها قبل از دیگری وجهی ندارد و باید همه در عرض واحد بر عام عرضه شوند و لذا اصلا موضوع انقلاب نسبت وجود ندارد.</w:t>
      </w:r>
    </w:p>
    <w:p w:rsidR="002B28A7" w:rsidRDefault="002B28A7" w:rsidP="002B28A7">
      <w:pPr>
        <w:jc w:val="both"/>
        <w:rPr>
          <w:rtl/>
        </w:rPr>
      </w:pPr>
      <w:r>
        <w:rPr>
          <w:rFonts w:hint="cs"/>
          <w:rtl/>
        </w:rPr>
        <w:t>مناقشه دوم</w:t>
      </w:r>
    </w:p>
    <w:p w:rsidR="002B28A7" w:rsidRDefault="002B28A7" w:rsidP="002B28A7">
      <w:pPr>
        <w:jc w:val="both"/>
        <w:rPr>
          <w:rtl/>
        </w:rPr>
      </w:pPr>
      <w:r>
        <w:rPr>
          <w:rFonts w:hint="cs"/>
          <w:rtl/>
        </w:rPr>
        <w:lastRenderedPageBreak/>
        <w:t>مطلب مذکور قیاسی بلا وجه است؛ زیرا اینکه ملاک در تعارض، حجیت است، دلیل بر اینکه ملاک در جمع عرفی نیز حجیت باشد، نیست.</w:t>
      </w:r>
    </w:p>
    <w:p w:rsidR="002B28A7" w:rsidRDefault="002B28A7" w:rsidP="002B28A7">
      <w:pPr>
        <w:jc w:val="both"/>
        <w:rPr>
          <w:rtl/>
        </w:rPr>
      </w:pPr>
      <w:r>
        <w:rPr>
          <w:rFonts w:hint="cs"/>
          <w:rtl/>
        </w:rPr>
        <w:t>اینکه تعارض بین دو دلیل منوط بر حجیت است و تعارض بین حجت و لا حجت معنا ندارد؛ ربطی به اینکه ملاک در جمع عرفی هم حجیت است ندارد بلکه می تواند ملاک در جمع عرفی ظهور باشد و هر موردی که دو دلیل در ظهور اخص مطلق نباشند حتی اگر به لحاظ حجیت نیز اخص مطلق باشند، جمع عرفی وجود ندارد.</w:t>
      </w:r>
    </w:p>
    <w:p w:rsidR="002B28A7" w:rsidRDefault="002B28A7" w:rsidP="002B28A7">
      <w:pPr>
        <w:jc w:val="both"/>
        <w:rPr>
          <w:rtl/>
        </w:rPr>
      </w:pPr>
      <w:r>
        <w:rPr>
          <w:rFonts w:hint="cs"/>
          <w:rtl/>
        </w:rPr>
        <w:t>بنابر این تلازمی بین لزوم لحاظ حجیت در تعارض، و لزوم ملاحظه حجیت در جمع عرفی نیست.</w:t>
      </w:r>
    </w:p>
    <w:p w:rsidR="002B28A7" w:rsidRDefault="002B28A7" w:rsidP="002B28A7">
      <w:pPr>
        <w:jc w:val="both"/>
        <w:rPr>
          <w:rtl/>
        </w:rPr>
      </w:pPr>
      <w:r>
        <w:rPr>
          <w:rFonts w:hint="cs"/>
          <w:rtl/>
        </w:rPr>
        <w:t>این پاسخ را مرحوم آقا ضیاء در ذیل کلام مرحوم نائینی که کلام مرحوم آخوند را غریب دانسته بیان نموده و فرموده اند: کلام مرحوم نائینی بسیار غریب است.</w:t>
      </w:r>
    </w:p>
    <w:p w:rsidR="002B28A7" w:rsidRDefault="002B28A7" w:rsidP="002B28A7">
      <w:pPr>
        <w:jc w:val="both"/>
        <w:rPr>
          <w:rtl/>
        </w:rPr>
      </w:pPr>
      <w:r>
        <w:rPr>
          <w:rFonts w:hint="cs"/>
          <w:rtl/>
        </w:rPr>
        <w:t>البته در فوائد، بین دو مقدمه ارتباط بهتری بیان شده بر خلاف بیان شهید صدر که ملاک جمع عرفی را همانند ملاک تعارض دانستند و قیاسی بی وجه بیان کرده اند.</w:t>
      </w:r>
    </w:p>
    <w:p w:rsidR="002B28A7" w:rsidRDefault="002B28A7" w:rsidP="002B28A7">
      <w:pPr>
        <w:pStyle w:val="Heading2"/>
        <w:rPr>
          <w:rtl/>
        </w:rPr>
      </w:pPr>
      <w:bookmarkStart w:id="7" w:name="_Toc20237737"/>
      <w:r>
        <w:rPr>
          <w:rFonts w:hint="cs"/>
          <w:rtl/>
        </w:rPr>
        <w:t>تقریب مرحوم کاظمی از کلام مرحوم آخوند</w:t>
      </w:r>
      <w:bookmarkEnd w:id="7"/>
      <w:r>
        <w:rPr>
          <w:rStyle w:val="FootnoteReference"/>
          <w:rtl/>
        </w:rPr>
        <w:footnoteReference w:id="3"/>
      </w:r>
    </w:p>
    <w:p w:rsidR="002B28A7" w:rsidRDefault="002B28A7" w:rsidP="002B28A7">
      <w:pPr>
        <w:jc w:val="both"/>
        <w:rPr>
          <w:rtl/>
        </w:rPr>
      </w:pPr>
      <w:r>
        <w:rPr>
          <w:rFonts w:hint="cs"/>
          <w:rtl/>
        </w:rPr>
        <w:t>ملاک نسبت سنجی بین دو دلیل حجیت آنها است؛ زیرا نسبت سنجی اعم از تخصیص و تعارض و ... منوط به حجیت است و بین دو دلیلی که حجت نیست، سنجش نسبت، صحیح نیست.</w:t>
      </w:r>
    </w:p>
    <w:p w:rsidR="002B28A7" w:rsidRDefault="002B28A7" w:rsidP="002B28A7">
      <w:pPr>
        <w:jc w:val="both"/>
        <w:rPr>
          <w:rtl/>
        </w:rPr>
      </w:pPr>
      <w:r>
        <w:rPr>
          <w:rFonts w:hint="cs"/>
          <w:rtl/>
        </w:rPr>
        <w:t>به عبارت دیگر اگر دو دلیل فارغ از معارضه، حجت بودند آنگاه نسبت بین آنها سنجیده می شود و اگر نسبت عام و خاص مطلق بود حکم به تخصیص و اگر غیر از این بود، حکم به تعارض و... می شود.</w:t>
      </w:r>
    </w:p>
    <w:p w:rsidR="002B28A7" w:rsidRDefault="002B28A7" w:rsidP="002B28A7">
      <w:pPr>
        <w:jc w:val="both"/>
        <w:rPr>
          <w:rtl/>
        </w:rPr>
      </w:pPr>
      <w:r>
        <w:rPr>
          <w:rFonts w:hint="cs"/>
          <w:rtl/>
        </w:rPr>
        <w:t>مثلا اگر خبر ضعیفی با خبر معتبری تعارض نمود، نسبت سنجی و ملاحظه نسبت بین دو دلیل چه برای جمع و چه برای تعارض، وجهی ندارد؛ زیرا ملاحظه نسبت بین ادله منوط به وجود مقتضی حجیت در هر دو دلیل است و به تبع حجیت آن است.</w:t>
      </w:r>
    </w:p>
    <w:p w:rsidR="002B28A7" w:rsidRDefault="002B28A7" w:rsidP="002B28A7">
      <w:pPr>
        <w:jc w:val="both"/>
        <w:rPr>
          <w:rtl/>
        </w:rPr>
      </w:pPr>
      <w:r>
        <w:rPr>
          <w:rFonts w:hint="cs"/>
          <w:rtl/>
        </w:rPr>
        <w:t xml:space="preserve">بنابر این اگر یکی از دو دلیل حجت نباشد چه به جهت اینکه خبر ضعیفی است و چه به جهت اینکه برخی از دلالت آن مخصصی دارد که موجب رفع حجیت آن شده است. مثلا در «اکرم العلماء» و «لاتکرم الفساق» و «لا باس باکرام الجاهل </w:t>
      </w:r>
      <w:r>
        <w:rPr>
          <w:rFonts w:hint="cs"/>
          <w:rtl/>
        </w:rPr>
        <w:lastRenderedPageBreak/>
        <w:t>الفاسق»؛ دلیل «لا تکرم الفساق» با ورود مخصص «لا باس باکرام الجاهل الفاسق» در جاهل فاسق حجت نیست پس نباید در نسبت سنجی بین دو دلیل، آن را ملاحظه نمود.</w:t>
      </w:r>
    </w:p>
    <w:p w:rsidR="002B28A7" w:rsidRDefault="002B28A7" w:rsidP="002B28A7">
      <w:pPr>
        <w:jc w:val="both"/>
        <w:rPr>
          <w:rtl/>
        </w:rPr>
      </w:pPr>
      <w:r>
        <w:rPr>
          <w:rFonts w:hint="cs"/>
          <w:rtl/>
        </w:rPr>
        <w:t>به عبارت دیگر مقداری از ظهور یکی از عامین من وجه، حجت نیست پس ملاحظه نمی شود و آنچه حجت از آن عام من وجه است؛ اخص مطلق از دیگری است پس باید همان ملاحظه شود؛ زیرا ملاک معارضه و جمع عرفی، به ملاک کشف از مراد جدی است نه به ملاک کشف نوعی (ظهور) ؛ چراکه تعارض ناشی از این شده که نمی تواند دو حکم متنافی در لوح وجود داشته باشد پس ملاک در نسبت سنجی ملاک کشف از واقع است که همان حجیت است نه ظهوری که حجت نیست.</w:t>
      </w:r>
    </w:p>
    <w:p w:rsidR="002B28A7" w:rsidRDefault="002B28A7" w:rsidP="002B28A7">
      <w:pPr>
        <w:jc w:val="both"/>
        <w:rPr>
          <w:rtl/>
        </w:rPr>
      </w:pPr>
      <w:r>
        <w:rPr>
          <w:rFonts w:hint="cs"/>
          <w:rtl/>
        </w:rPr>
        <w:t>با توجه به همین مطلب مرحوم نائینی انقلاب نسبت را پذیرفته و آن را نتیجه قهری قانون تخصیص دانسته است</w:t>
      </w:r>
    </w:p>
    <w:p w:rsidR="002B28A7" w:rsidRDefault="002B28A7" w:rsidP="002B28A7">
      <w:pPr>
        <w:pStyle w:val="Heading3"/>
        <w:rPr>
          <w:rtl/>
        </w:rPr>
      </w:pPr>
      <w:bookmarkStart w:id="8" w:name="_Toc20237738"/>
      <w:r>
        <w:rPr>
          <w:rFonts w:hint="cs"/>
          <w:rtl/>
        </w:rPr>
        <w:t>مناقشه در کلام مرحوم نائینی</w:t>
      </w:r>
      <w:bookmarkEnd w:id="8"/>
      <w:r>
        <w:rPr>
          <w:rStyle w:val="FootnoteReference"/>
          <w:rtl/>
        </w:rPr>
        <w:footnoteReference w:id="4"/>
      </w:r>
    </w:p>
    <w:p w:rsidR="002B28A7" w:rsidRDefault="002B28A7" w:rsidP="002B28A7">
      <w:pPr>
        <w:jc w:val="both"/>
        <w:rPr>
          <w:rtl/>
        </w:rPr>
      </w:pPr>
      <w:r>
        <w:rPr>
          <w:rFonts w:hint="cs"/>
          <w:rtl/>
        </w:rPr>
        <w:t>پاسخ به این ادعا همان است که محقق عراقی نیز در پاورقی فوائد ذکر کرده اند.</w:t>
      </w:r>
    </w:p>
    <w:p w:rsidR="002B28A7" w:rsidRDefault="002B28A7" w:rsidP="002B28A7">
      <w:pPr>
        <w:jc w:val="both"/>
        <w:rPr>
          <w:rtl/>
        </w:rPr>
      </w:pPr>
      <w:r>
        <w:rPr>
          <w:rFonts w:hint="cs"/>
          <w:rtl/>
        </w:rPr>
        <w:t>اینکه کشف از مراد جدی ملاک در جمع عرفی باشد ثابت نیست؛ بلکه ملاک در جمع عرفی و تخصیص (قوت دلالت) است که مرحوم صدر از آن تعبیر به (تمرکز دلیل) نموده اند به عبارت دیگر مهم گویایی لفظ است و نکته تقدیم خاص نیز این است که کشف خاص از مراد، به نحو متمرکز و متعین است بر خلاف عام که کشف آن از دلیل به نحو عموم و شمول است.</w:t>
      </w:r>
    </w:p>
    <w:p w:rsidR="002B28A7" w:rsidRDefault="002B28A7" w:rsidP="002B28A7">
      <w:pPr>
        <w:jc w:val="both"/>
        <w:rPr>
          <w:rtl/>
        </w:rPr>
      </w:pPr>
      <w:r>
        <w:rPr>
          <w:rFonts w:hint="cs"/>
          <w:rtl/>
        </w:rPr>
        <w:t>بنابر این وجه جمع عرفی بین عام و خاص این است که قوت دلالت عام کمتر از خاص است.</w:t>
      </w:r>
    </w:p>
    <w:p w:rsidR="002B28A7" w:rsidRDefault="002B28A7" w:rsidP="002B28A7">
      <w:pPr>
        <w:jc w:val="both"/>
        <w:rPr>
          <w:rtl/>
        </w:rPr>
      </w:pPr>
      <w:r>
        <w:rPr>
          <w:rFonts w:hint="cs"/>
          <w:rtl/>
        </w:rPr>
        <w:t>بنابر این در مواردی که عامی تخصیص خورده باشد، دلاتش نسبت به موارد باقی مانده اقوا نمی شود تا بتواند اخص از عام من وجه دیگر شود. مثلا دلیل «لا تکرم الفاسق» پس از تخصیص به «لا باس باکرام الجاهل الفاسق»، در موارد باقی مانده که همان جاهل عالم است، دلالت قوی تری پیدا نمی کند بلکه دلالتش بر موارد باقی مانده نیز به همان عموم است و تخصیص برخی موارد از آن، تاثیری در قوت دلالت عام ندارد؛ زیرا ظهور عام منقلب نشده است تا قوت دلالتش اقوا شود.</w:t>
      </w:r>
    </w:p>
    <w:p w:rsidR="002B28A7" w:rsidRDefault="002B28A7" w:rsidP="002B28A7">
      <w:pPr>
        <w:jc w:val="both"/>
        <w:rPr>
          <w:rtl/>
        </w:rPr>
      </w:pPr>
      <w:r>
        <w:rPr>
          <w:rFonts w:hint="cs"/>
          <w:rtl/>
        </w:rPr>
        <w:t>بنابر این از آنجا که ملاک در تقدم و جمع عرفی قوت دلات است و قوت دلالت منوط به حجیت نیست بلکه به لحاظ ظهور و دلالت است و دلالت دلیل، پس از تخصیص، قوی تر از قبل نخواهد شد.</w:t>
      </w:r>
    </w:p>
    <w:p w:rsidR="002B28A7" w:rsidRDefault="002B28A7" w:rsidP="002B28A7">
      <w:pPr>
        <w:jc w:val="both"/>
        <w:rPr>
          <w:rtl/>
        </w:rPr>
      </w:pPr>
      <w:r>
        <w:rPr>
          <w:rFonts w:hint="cs"/>
          <w:rtl/>
        </w:rPr>
        <w:lastRenderedPageBreak/>
        <w:t>به عبارت دیگر حکایت گری عام بعد از تخصیص قوی تر نخواهد شد بلکه صرفا موارد حکایتش کمتر خواهد بود و آنچه که از کلام شیخ در رد انقلاب نسبت در فرض اول مطرح شده بود نیز در رد کلام مرحوم نائینی مفید خواهد بود؛ زیرا ظهور دلیل بعد از تخصیص تغییر نمی کند و مراد جدی دلیل نیز تعین ندارد.</w:t>
      </w:r>
    </w:p>
    <w:p w:rsidR="00DE5218" w:rsidRPr="00A346D6" w:rsidRDefault="00DE5218" w:rsidP="002B28A7">
      <w:pPr>
        <w:rPr>
          <w:rtl/>
        </w:rPr>
      </w:pPr>
    </w:p>
    <w:sectPr w:rsidR="00DE5218" w:rsidRPr="00A346D6"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D86" w:rsidRDefault="00376D86" w:rsidP="008B750B">
      <w:pPr>
        <w:spacing w:line="240" w:lineRule="auto"/>
      </w:pPr>
      <w:r>
        <w:separator/>
      </w:r>
    </w:p>
  </w:endnote>
  <w:endnote w:type="continuationSeparator" w:id="0">
    <w:p w:rsidR="00376D86" w:rsidRDefault="00376D8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A53ACF" w:rsidRPr="006D44C1" w:rsidTr="0020241A">
      <w:tc>
        <w:tcPr>
          <w:tcW w:w="3382" w:type="dxa"/>
          <w:tcBorders>
            <w:top w:val="nil"/>
            <w:left w:val="nil"/>
            <w:bottom w:val="nil"/>
            <w:right w:val="nil"/>
          </w:tcBorders>
        </w:tcPr>
        <w:p w:rsidR="00A53ACF" w:rsidRDefault="00A53ACF"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A53ACF" w:rsidRDefault="00A53ACF" w:rsidP="006D44C1">
          <w:pPr>
            <w:pStyle w:val="Footer"/>
            <w:jc w:val="right"/>
            <w:rPr>
              <w:rtl/>
            </w:rPr>
          </w:pPr>
          <w:r>
            <w:rPr>
              <w:rFonts w:hint="cs"/>
              <w:rtl/>
            </w:rPr>
            <w:t xml:space="preserve">صفحه </w:t>
          </w:r>
          <w:r>
            <w:fldChar w:fldCharType="begin"/>
          </w:r>
          <w:r>
            <w:instrText>PAGE   \* MERGEFORMAT</w:instrText>
          </w:r>
          <w:r>
            <w:fldChar w:fldCharType="separate"/>
          </w:r>
          <w:r w:rsidR="00A94F3B" w:rsidRPr="00A94F3B">
            <w:rPr>
              <w:noProof/>
              <w:rtl/>
              <w:lang w:val="fa-IR"/>
            </w:rPr>
            <w:t>1</w:t>
          </w:r>
          <w:r>
            <w:rPr>
              <w:noProof/>
            </w:rPr>
            <w:fldChar w:fldCharType="end"/>
          </w:r>
        </w:p>
      </w:tc>
      <w:tc>
        <w:tcPr>
          <w:tcW w:w="4786" w:type="dxa"/>
          <w:tcBorders>
            <w:top w:val="nil"/>
            <w:left w:val="nil"/>
            <w:bottom w:val="nil"/>
            <w:right w:val="nil"/>
          </w:tcBorders>
          <w:vAlign w:val="center"/>
        </w:tcPr>
        <w:p w:rsidR="00A53ACF" w:rsidRPr="006D44C1" w:rsidRDefault="00BE6EB7" w:rsidP="001B6799">
          <w:pPr>
            <w:pStyle w:val="Footer"/>
            <w:bidi w:val="0"/>
            <w:rPr>
              <w:color w:val="808080" w:themeColor="background1" w:themeShade="80"/>
              <w:rtl/>
            </w:rPr>
          </w:pPr>
          <w:bookmarkStart w:id="16" w:name="BokAdres"/>
          <w:bookmarkEnd w:id="16"/>
          <w:r>
            <w:rPr>
              <w:color w:val="808080" w:themeColor="background1" w:themeShade="80"/>
            </w:rPr>
            <w:t>U1mq1_13980702-008_hs2_mfeb.ir</w:t>
          </w:r>
          <w:r w:rsidR="00A53ACF">
            <w:rPr>
              <w:color w:val="808080" w:themeColor="background1" w:themeShade="80"/>
            </w:rPr>
            <w:t>U1mq1_</w:t>
          </w:r>
          <w:r w:rsidR="00A53ACF">
            <w:rPr>
              <w:color w:val="808080" w:themeColor="background1" w:themeShade="80"/>
            </w:rPr>
            <w:tab/>
            <w:t>13980702-008_hs2_mfeb.ir</w:t>
          </w:r>
        </w:p>
      </w:tc>
    </w:tr>
  </w:tbl>
  <w:p w:rsidR="00A53ACF" w:rsidRDefault="00A53ACF"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D86" w:rsidRDefault="00376D86" w:rsidP="008B750B">
      <w:pPr>
        <w:spacing w:line="240" w:lineRule="auto"/>
      </w:pPr>
      <w:r>
        <w:separator/>
      </w:r>
    </w:p>
  </w:footnote>
  <w:footnote w:type="continuationSeparator" w:id="0">
    <w:p w:rsidR="00376D86" w:rsidRDefault="00376D86" w:rsidP="008B750B">
      <w:pPr>
        <w:spacing w:line="240" w:lineRule="auto"/>
      </w:pPr>
      <w:r>
        <w:continuationSeparator/>
      </w:r>
    </w:p>
  </w:footnote>
  <w:footnote w:id="1">
    <w:p w:rsidR="002B28A7" w:rsidRPr="0073212C" w:rsidRDefault="002B28A7" w:rsidP="002B28A7">
      <w:pPr>
        <w:pStyle w:val="FootnoteText"/>
      </w:pPr>
      <w:r w:rsidRPr="0073212C">
        <w:footnoteRef/>
      </w:r>
      <w:r w:rsidRPr="0073212C">
        <w:rPr>
          <w:rtl/>
        </w:rPr>
        <w:t xml:space="preserve"> </w:t>
      </w:r>
      <w:hyperlink r:id="rId1" w:history="1">
        <w:r w:rsidRPr="0073212C">
          <w:rPr>
            <w:rStyle w:val="Hyperlink"/>
            <w:rtl/>
          </w:rPr>
          <w:t>بحوث ف</w:t>
        </w:r>
        <w:r w:rsidRPr="0073212C">
          <w:rPr>
            <w:rStyle w:val="Hyperlink"/>
            <w:rFonts w:hint="cs"/>
            <w:rtl/>
          </w:rPr>
          <w:t>ی</w:t>
        </w:r>
        <w:r w:rsidRPr="0073212C">
          <w:rPr>
            <w:rStyle w:val="Hyperlink"/>
            <w:rtl/>
          </w:rPr>
          <w:t xml:space="preserve"> علم الأصول، الس</w:t>
        </w:r>
        <w:r w:rsidRPr="0073212C">
          <w:rPr>
            <w:rStyle w:val="Hyperlink"/>
            <w:rFonts w:hint="cs"/>
            <w:rtl/>
          </w:rPr>
          <w:t>ی</w:t>
        </w:r>
        <w:r w:rsidRPr="0073212C">
          <w:rPr>
            <w:rStyle w:val="Hyperlink"/>
            <w:rFonts w:hint="eastAsia"/>
            <w:rtl/>
          </w:rPr>
          <w:t>د</w:t>
        </w:r>
        <w:r w:rsidRPr="0073212C">
          <w:rPr>
            <w:rStyle w:val="Hyperlink"/>
            <w:rtl/>
          </w:rPr>
          <w:t xml:space="preserve"> محمد باقر الصدر، ج7، ص288.</w:t>
        </w:r>
      </w:hyperlink>
    </w:p>
  </w:footnote>
  <w:footnote w:id="2">
    <w:p w:rsidR="002B28A7" w:rsidRPr="00AB633C" w:rsidRDefault="002B28A7" w:rsidP="002B28A7">
      <w:pPr>
        <w:pStyle w:val="FootnoteText"/>
      </w:pPr>
      <w:r w:rsidRPr="00AB633C">
        <w:footnoteRef/>
      </w:r>
      <w:r w:rsidRPr="00AB633C">
        <w:rPr>
          <w:rtl/>
        </w:rPr>
        <w:t xml:space="preserve"> </w:t>
      </w:r>
      <w:hyperlink r:id="rId2" w:history="1">
        <w:r w:rsidRPr="00AB633C">
          <w:rPr>
            <w:rStyle w:val="Hyperlink"/>
            <w:rFonts w:hint="eastAsia"/>
            <w:rtl/>
          </w:rPr>
          <w:t>اجود</w:t>
        </w:r>
        <w:r w:rsidRPr="00AB633C">
          <w:rPr>
            <w:rStyle w:val="Hyperlink"/>
            <w:rtl/>
          </w:rPr>
          <w:t xml:space="preserve"> التقر</w:t>
        </w:r>
        <w:r w:rsidRPr="00AB633C">
          <w:rPr>
            <w:rStyle w:val="Hyperlink"/>
            <w:rFonts w:hint="cs"/>
            <w:rtl/>
          </w:rPr>
          <w:t>ی</w:t>
        </w:r>
        <w:r w:rsidRPr="00AB633C">
          <w:rPr>
            <w:rStyle w:val="Hyperlink"/>
            <w:rFonts w:hint="eastAsia"/>
            <w:rtl/>
          </w:rPr>
          <w:t>رات،</w:t>
        </w:r>
        <w:r w:rsidRPr="00AB633C">
          <w:rPr>
            <w:rStyle w:val="Hyperlink"/>
            <w:rtl/>
          </w:rPr>
          <w:t xml:space="preserve"> نائ</w:t>
        </w:r>
        <w:r w:rsidRPr="00AB633C">
          <w:rPr>
            <w:rStyle w:val="Hyperlink"/>
            <w:rFonts w:hint="cs"/>
            <w:rtl/>
          </w:rPr>
          <w:t>ی</w:t>
        </w:r>
        <w:r w:rsidRPr="00AB633C">
          <w:rPr>
            <w:rStyle w:val="Hyperlink"/>
            <w:rFonts w:hint="eastAsia"/>
            <w:rtl/>
          </w:rPr>
          <w:t>ن</w:t>
        </w:r>
        <w:r w:rsidRPr="00AB633C">
          <w:rPr>
            <w:rStyle w:val="Hyperlink"/>
            <w:rFonts w:hint="cs"/>
            <w:rtl/>
          </w:rPr>
          <w:t>ی</w:t>
        </w:r>
        <w:r w:rsidRPr="00AB633C">
          <w:rPr>
            <w:rStyle w:val="Hyperlink"/>
            <w:rFonts w:hint="eastAsia"/>
            <w:rtl/>
          </w:rPr>
          <w:t>،</w:t>
        </w:r>
        <w:r w:rsidRPr="00AB633C">
          <w:rPr>
            <w:rStyle w:val="Hyperlink"/>
            <w:rtl/>
          </w:rPr>
          <w:t xml:space="preserve"> ج2، ص518.</w:t>
        </w:r>
      </w:hyperlink>
    </w:p>
  </w:footnote>
  <w:footnote w:id="3">
    <w:p w:rsidR="002B28A7" w:rsidRPr="00AB633C" w:rsidRDefault="002B28A7" w:rsidP="002B28A7">
      <w:pPr>
        <w:pStyle w:val="FootnoteText"/>
      </w:pPr>
      <w:r w:rsidRPr="00AB633C">
        <w:footnoteRef/>
      </w:r>
      <w:r w:rsidRPr="00AB633C">
        <w:rPr>
          <w:rtl/>
        </w:rPr>
        <w:t xml:space="preserve"> </w:t>
      </w:r>
      <w:hyperlink r:id="rId3" w:history="1">
        <w:r w:rsidRPr="00AB633C">
          <w:rPr>
            <w:rStyle w:val="Hyperlink"/>
            <w:rtl/>
          </w:rPr>
          <w:t>فوائد الاصول، محقق نا</w:t>
        </w:r>
        <w:r w:rsidRPr="00AB633C">
          <w:rPr>
            <w:rStyle w:val="Hyperlink"/>
            <w:rFonts w:hint="cs"/>
            <w:rtl/>
          </w:rPr>
          <w:t>یی</w:t>
        </w:r>
        <w:r w:rsidRPr="00AB633C">
          <w:rPr>
            <w:rStyle w:val="Hyperlink"/>
            <w:rFonts w:hint="eastAsia"/>
            <w:rtl/>
          </w:rPr>
          <w:t>ن</w:t>
        </w:r>
        <w:r w:rsidRPr="00AB633C">
          <w:rPr>
            <w:rStyle w:val="Hyperlink"/>
            <w:rFonts w:hint="cs"/>
            <w:rtl/>
          </w:rPr>
          <w:t>ی</w:t>
        </w:r>
        <w:r w:rsidRPr="00AB633C">
          <w:rPr>
            <w:rStyle w:val="Hyperlink"/>
            <w:rFonts w:hint="eastAsia"/>
            <w:rtl/>
          </w:rPr>
          <w:t>،</w:t>
        </w:r>
        <w:r w:rsidRPr="00AB633C">
          <w:rPr>
            <w:rStyle w:val="Hyperlink"/>
            <w:rtl/>
          </w:rPr>
          <w:t xml:space="preserve"> ج4، ص745.</w:t>
        </w:r>
      </w:hyperlink>
    </w:p>
  </w:footnote>
  <w:footnote w:id="4">
    <w:p w:rsidR="002B28A7" w:rsidRPr="00AB633C" w:rsidRDefault="002B28A7" w:rsidP="002B28A7">
      <w:pPr>
        <w:pStyle w:val="FootnoteText"/>
      </w:pPr>
      <w:r w:rsidRPr="00AB633C">
        <w:footnoteRef/>
      </w:r>
      <w:r w:rsidRPr="00AB633C">
        <w:rPr>
          <w:rtl/>
        </w:rPr>
        <w:t xml:space="preserve"> </w:t>
      </w:r>
      <w:hyperlink r:id="rId4" w:history="1">
        <w:r w:rsidRPr="00AB633C">
          <w:rPr>
            <w:rStyle w:val="Hyperlink"/>
            <w:rtl/>
          </w:rPr>
          <w:t>فوائد الاصول، محقق نا</w:t>
        </w:r>
        <w:r w:rsidRPr="00AB633C">
          <w:rPr>
            <w:rStyle w:val="Hyperlink"/>
            <w:rFonts w:hint="cs"/>
            <w:rtl/>
          </w:rPr>
          <w:t>یی</w:t>
        </w:r>
        <w:r w:rsidRPr="00AB633C">
          <w:rPr>
            <w:rStyle w:val="Hyperlink"/>
            <w:rFonts w:hint="eastAsia"/>
            <w:rtl/>
          </w:rPr>
          <w:t>ن</w:t>
        </w:r>
        <w:r w:rsidRPr="00AB633C">
          <w:rPr>
            <w:rStyle w:val="Hyperlink"/>
            <w:rFonts w:hint="cs"/>
            <w:rtl/>
          </w:rPr>
          <w:t>ی</w:t>
        </w:r>
        <w:r w:rsidRPr="00AB633C">
          <w:rPr>
            <w:rStyle w:val="Hyperlink"/>
            <w:rFonts w:hint="eastAsia"/>
            <w:rtl/>
          </w:rPr>
          <w:t>،</w:t>
        </w:r>
        <w:r w:rsidRPr="00AB633C">
          <w:rPr>
            <w:rStyle w:val="Hyperlink"/>
            <w:rtl/>
          </w:rPr>
          <w:t xml:space="preserve"> ج4، ص747.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ACF" w:rsidRPr="001D2E9A" w:rsidRDefault="00A53ACF" w:rsidP="00624542">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9" w:name="BokNum"/>
    <w:bookmarkEnd w:id="9"/>
    <w:r>
      <w:rPr>
        <w:b/>
        <w:bCs/>
        <w:sz w:val="20"/>
        <w:szCs w:val="24"/>
        <w:rtl/>
      </w:rPr>
      <w:t>008</w:t>
    </w:r>
    <w:r>
      <w:rPr>
        <w:rFonts w:hint="cs"/>
        <w:b/>
        <w:bCs/>
        <w:sz w:val="20"/>
        <w:szCs w:val="24"/>
        <w:rtl/>
      </w:rPr>
      <w:tab/>
    </w:r>
    <w:r w:rsidRPr="00C32A7E">
      <w:rPr>
        <w:rFonts w:hint="cs"/>
        <w:b/>
        <w:bCs/>
        <w:color w:val="632423" w:themeColor="accent2" w:themeShade="80"/>
        <w:sz w:val="20"/>
        <w:szCs w:val="24"/>
        <w:rtl/>
      </w:rPr>
      <w:t xml:space="preserve">درس خارج </w:t>
    </w:r>
    <w:bookmarkStart w:id="10" w:name="Bokdars"/>
    <w:bookmarkEnd w:id="10"/>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1" w:name="Bokostad"/>
    <w:bookmarkEnd w:id="11"/>
    <w:r w:rsidR="00BE6EB7">
      <w:rPr>
        <w:b/>
        <w:bCs/>
        <w:color w:val="632423" w:themeColor="accent2" w:themeShade="80"/>
        <w:sz w:val="20"/>
        <w:szCs w:val="24"/>
        <w:rtl/>
      </w:rPr>
      <w:t>قائ</w:t>
    </w:r>
    <w:r w:rsidR="00BE6EB7">
      <w:rPr>
        <w:rFonts w:hint="cs"/>
        <w:b/>
        <w:bCs/>
        <w:color w:val="632423" w:themeColor="accent2" w:themeShade="80"/>
        <w:sz w:val="20"/>
        <w:szCs w:val="24"/>
        <w:rtl/>
      </w:rPr>
      <w:t>ی</w:t>
    </w:r>
    <w:r w:rsidR="00BE6EB7">
      <w:rPr>
        <w:rFonts w:hint="eastAsia"/>
        <w:b/>
        <w:bCs/>
        <w:color w:val="632423" w:themeColor="accent2" w:themeShade="80"/>
        <w:sz w:val="20"/>
        <w:szCs w:val="24"/>
        <w:rtl/>
      </w:rPr>
      <w:t>ن</w:t>
    </w:r>
    <w:r w:rsidR="00BE6EB7">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2" w:name="BokTarikh"/>
    <w:bookmarkEnd w:id="12"/>
    <w:r w:rsidR="00624542">
      <w:rPr>
        <w:sz w:val="24"/>
        <w:szCs w:val="24"/>
        <w:rtl/>
      </w:rPr>
      <w:t xml:space="preserve">2 </w:t>
    </w:r>
    <w:r>
      <w:rPr>
        <w:sz w:val="24"/>
        <w:szCs w:val="24"/>
        <w:rtl/>
      </w:rPr>
      <w:t>/7 /1398</w:t>
    </w:r>
  </w:p>
  <w:p w:rsidR="00A53ACF" w:rsidRPr="00F16B53" w:rsidRDefault="00A53ACF" w:rsidP="00624542">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3" w:name="BokSabj"/>
    <w:bookmarkEnd w:id="13"/>
    <w:r w:rsidR="00BE6EB7">
      <w:rPr>
        <w:color w:val="000000" w:themeColor="text1"/>
        <w:sz w:val="24"/>
        <w:szCs w:val="24"/>
        <w:rtl/>
      </w:rPr>
      <w:t xml:space="preserve">انقلاب </w:t>
    </w:r>
    <w:r w:rsidR="00624542">
      <w:rPr>
        <w:rFonts w:hint="cs"/>
        <w:color w:val="000000" w:themeColor="text1"/>
        <w:sz w:val="24"/>
        <w:szCs w:val="24"/>
        <w:rtl/>
      </w:rPr>
      <w:t>نسبت</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4" w:name="Bokmoqarer"/>
    <w:bookmarkEnd w:id="14"/>
    <w:r w:rsidR="00BE6EB7">
      <w:rPr>
        <w:sz w:val="24"/>
        <w:szCs w:val="24"/>
        <w:rtl/>
      </w:rPr>
      <w:t>حس</w:t>
    </w:r>
    <w:r w:rsidR="00BE6EB7">
      <w:rPr>
        <w:rFonts w:hint="cs"/>
        <w:sz w:val="24"/>
        <w:szCs w:val="24"/>
        <w:rtl/>
      </w:rPr>
      <w:t>ی</w:t>
    </w:r>
    <w:r w:rsidR="00BE6EB7">
      <w:rPr>
        <w:rFonts w:hint="eastAsia"/>
        <w:sz w:val="24"/>
        <w:szCs w:val="24"/>
        <w:rtl/>
      </w:rPr>
      <w:t>ن</w:t>
    </w:r>
    <w:r w:rsidR="00BE6EB7">
      <w:rPr>
        <w:sz w:val="24"/>
        <w:szCs w:val="24"/>
        <w:rtl/>
      </w:rPr>
      <w:t xml:space="preserve"> سل</w:t>
    </w:r>
    <w:r w:rsidR="00BE6EB7">
      <w:rPr>
        <w:rFonts w:hint="cs"/>
        <w:sz w:val="24"/>
        <w:szCs w:val="24"/>
        <w:rtl/>
      </w:rPr>
      <w:t>ی</w:t>
    </w:r>
    <w:r w:rsidR="00BE6EB7">
      <w:rPr>
        <w:rFonts w:hint="eastAsia"/>
        <w:sz w:val="24"/>
        <w:szCs w:val="24"/>
        <w:rtl/>
      </w:rPr>
      <w:t>م</w:t>
    </w:r>
    <w:r w:rsidR="00BE6EB7">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5" w:name="BokSabj2"/>
    <w:bookmarkEnd w:id="15"/>
    <w:r>
      <w:rPr>
        <w:sz w:val="24"/>
        <w:szCs w:val="24"/>
        <w:rtl/>
      </w:rPr>
      <w:t>کلام مرحوم نائ</w:t>
    </w:r>
    <w:r>
      <w:rPr>
        <w:rFonts w:hint="cs"/>
        <w:sz w:val="24"/>
        <w:szCs w:val="24"/>
        <w:rtl/>
      </w:rPr>
      <w:t>ی</w:t>
    </w:r>
    <w:r>
      <w:rPr>
        <w:rFonts w:hint="eastAsia"/>
        <w:sz w:val="24"/>
        <w:szCs w:val="24"/>
        <w:rtl/>
      </w:rPr>
      <w:t>ن</w:t>
    </w:r>
    <w:r>
      <w:rPr>
        <w:rFonts w:hint="cs"/>
        <w:sz w:val="24"/>
        <w:szCs w:val="24"/>
        <w:rtl/>
      </w:rPr>
      <w:t>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212F"/>
    <w:rsid w:val="00004E7C"/>
    <w:rsid w:val="000072A3"/>
    <w:rsid w:val="00025777"/>
    <w:rsid w:val="00025B70"/>
    <w:rsid w:val="000353D7"/>
    <w:rsid w:val="00036894"/>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4C55"/>
    <w:rsid w:val="00151937"/>
    <w:rsid w:val="001802AE"/>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47E78"/>
    <w:rsid w:val="00256560"/>
    <w:rsid w:val="0027605E"/>
    <w:rsid w:val="00281E00"/>
    <w:rsid w:val="00294A52"/>
    <w:rsid w:val="002B28A7"/>
    <w:rsid w:val="002B575F"/>
    <w:rsid w:val="002B729B"/>
    <w:rsid w:val="002C15F5"/>
    <w:rsid w:val="002C23B5"/>
    <w:rsid w:val="002C53A2"/>
    <w:rsid w:val="002D0040"/>
    <w:rsid w:val="002D2FA8"/>
    <w:rsid w:val="002E220F"/>
    <w:rsid w:val="00307311"/>
    <w:rsid w:val="0032100F"/>
    <w:rsid w:val="00326A4D"/>
    <w:rsid w:val="0033402C"/>
    <w:rsid w:val="00340521"/>
    <w:rsid w:val="00345C73"/>
    <w:rsid w:val="00354A99"/>
    <w:rsid w:val="00360311"/>
    <w:rsid w:val="00361922"/>
    <w:rsid w:val="0037339B"/>
    <w:rsid w:val="00376D86"/>
    <w:rsid w:val="003839B7"/>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6847"/>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4542"/>
    <w:rsid w:val="0063256E"/>
    <w:rsid w:val="00633F04"/>
    <w:rsid w:val="00635219"/>
    <w:rsid w:val="00635EC0"/>
    <w:rsid w:val="00640B58"/>
    <w:rsid w:val="00651B02"/>
    <w:rsid w:val="00651B19"/>
    <w:rsid w:val="00660A29"/>
    <w:rsid w:val="006636C1"/>
    <w:rsid w:val="00695519"/>
    <w:rsid w:val="006A4134"/>
    <w:rsid w:val="006A5DDA"/>
    <w:rsid w:val="006A6701"/>
    <w:rsid w:val="006B21F4"/>
    <w:rsid w:val="006B3753"/>
    <w:rsid w:val="006B7AD6"/>
    <w:rsid w:val="006C50FD"/>
    <w:rsid w:val="006D1DD4"/>
    <w:rsid w:val="006D4014"/>
    <w:rsid w:val="006D44C1"/>
    <w:rsid w:val="006E1AD8"/>
    <w:rsid w:val="006E5651"/>
    <w:rsid w:val="006E5B85"/>
    <w:rsid w:val="006F026A"/>
    <w:rsid w:val="0070265B"/>
    <w:rsid w:val="00704813"/>
    <w:rsid w:val="0072290D"/>
    <w:rsid w:val="00723D6D"/>
    <w:rsid w:val="00724537"/>
    <w:rsid w:val="00731724"/>
    <w:rsid w:val="0073212C"/>
    <w:rsid w:val="0073474B"/>
    <w:rsid w:val="00735511"/>
    <w:rsid w:val="00737208"/>
    <w:rsid w:val="00744DE6"/>
    <w:rsid w:val="00762452"/>
    <w:rsid w:val="007639E0"/>
    <w:rsid w:val="00775507"/>
    <w:rsid w:val="00783473"/>
    <w:rsid w:val="0078594B"/>
    <w:rsid w:val="00795E02"/>
    <w:rsid w:val="007979D0"/>
    <w:rsid w:val="007A44CB"/>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249D"/>
    <w:rsid w:val="00903F59"/>
    <w:rsid w:val="00907425"/>
    <w:rsid w:val="00923C34"/>
    <w:rsid w:val="00924152"/>
    <w:rsid w:val="0092513D"/>
    <w:rsid w:val="00927A9F"/>
    <w:rsid w:val="009335CC"/>
    <w:rsid w:val="00935A55"/>
    <w:rsid w:val="00941CEB"/>
    <w:rsid w:val="0094720F"/>
    <w:rsid w:val="00953B28"/>
    <w:rsid w:val="00954322"/>
    <w:rsid w:val="00957CAA"/>
    <w:rsid w:val="009642ED"/>
    <w:rsid w:val="0096778A"/>
    <w:rsid w:val="00977656"/>
    <w:rsid w:val="009846A7"/>
    <w:rsid w:val="0098794D"/>
    <w:rsid w:val="0099497B"/>
    <w:rsid w:val="009A43BA"/>
    <w:rsid w:val="009B0D05"/>
    <w:rsid w:val="009B4CA6"/>
    <w:rsid w:val="009B79F8"/>
    <w:rsid w:val="009C66D5"/>
    <w:rsid w:val="009D13FD"/>
    <w:rsid w:val="009D266A"/>
    <w:rsid w:val="009E21C9"/>
    <w:rsid w:val="009F7E07"/>
    <w:rsid w:val="00A01522"/>
    <w:rsid w:val="00A10A11"/>
    <w:rsid w:val="00A13C6A"/>
    <w:rsid w:val="00A17B09"/>
    <w:rsid w:val="00A346D6"/>
    <w:rsid w:val="00A457C6"/>
    <w:rsid w:val="00A46AD0"/>
    <w:rsid w:val="00A47063"/>
    <w:rsid w:val="00A473A8"/>
    <w:rsid w:val="00A513F0"/>
    <w:rsid w:val="00A53ACF"/>
    <w:rsid w:val="00A61AC8"/>
    <w:rsid w:val="00A6366F"/>
    <w:rsid w:val="00A65D4C"/>
    <w:rsid w:val="00A70512"/>
    <w:rsid w:val="00A94F3B"/>
    <w:rsid w:val="00AA1F60"/>
    <w:rsid w:val="00AA40D7"/>
    <w:rsid w:val="00AB5F7D"/>
    <w:rsid w:val="00AB633C"/>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E6EB7"/>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1699B"/>
    <w:rsid w:val="00D221CB"/>
    <w:rsid w:val="00D23391"/>
    <w:rsid w:val="00D31805"/>
    <w:rsid w:val="00D552B9"/>
    <w:rsid w:val="00D735B2"/>
    <w:rsid w:val="00D74021"/>
    <w:rsid w:val="00D76D01"/>
    <w:rsid w:val="00D922A9"/>
    <w:rsid w:val="00D9394A"/>
    <w:rsid w:val="00DB0CBB"/>
    <w:rsid w:val="00DB67CC"/>
    <w:rsid w:val="00DC3783"/>
    <w:rsid w:val="00DE1070"/>
    <w:rsid w:val="00DE5218"/>
    <w:rsid w:val="00DF1292"/>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11D9"/>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3E47"/>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2/4/745/&#1593;&#1575;&#1605;&#1575;&#1606;" TargetMode="External"/><Relationship Id="rId2" Type="http://schemas.openxmlformats.org/officeDocument/2006/relationships/hyperlink" Target="http://lib.eshia.ir/10057/2/518/&#1604;&#1593;&#1605;&#1585;&#1740;" TargetMode="External"/><Relationship Id="rId1" Type="http://schemas.openxmlformats.org/officeDocument/2006/relationships/hyperlink" Target="http://lib.eshia.ir/13064/7/288/&#1575;&#1604;&#1605;&#1581;&#1602;&#1602;" TargetMode="External"/><Relationship Id="rId4" Type="http://schemas.openxmlformats.org/officeDocument/2006/relationships/hyperlink" Target="http://lib.eshia.ir/13102/4/747/&#1575;&#1604;&#1575;&#1604;&#1601;&#1575;&#15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D84E2-98AB-45DE-96D2-4BD012687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16</TotalTime>
  <Pages>1</Pages>
  <Words>1026</Words>
  <Characters>5852</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6865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7</cp:revision>
  <cp:lastPrinted>2019-09-28T18:57:00Z</cp:lastPrinted>
  <dcterms:created xsi:type="dcterms:W3CDTF">2019-09-24T13:44:00Z</dcterms:created>
  <dcterms:modified xsi:type="dcterms:W3CDTF">2019-09-28T18:57:00Z</dcterms:modified>
  <cp:contentStatus>ویرایش 2.5</cp:contentStatus>
  <cp:version>2.7</cp:version>
</cp:coreProperties>
</file>