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729BD280" w14:textId="77777777" w:rsidR="001C3C96" w:rsidRPr="005D5CF3" w:rsidRDefault="001C3C96" w:rsidP="005D5CF3">
      <w:pPr>
        <w:pStyle w:val="ListParagraph"/>
        <w:numPr>
          <w:ilvl w:val="0"/>
          <w:numId w:val="1"/>
        </w:numPr>
        <w:jc w:val="center"/>
        <w:rPr>
          <w:rFonts w:cs="B Nazanin"/>
          <w:color w:val="FF0000"/>
          <w:sz w:val="32"/>
          <w:szCs w:val="32"/>
          <w:rtl/>
        </w:rPr>
      </w:pPr>
      <w:bookmarkStart w:id="0" w:name="_Toc203699006"/>
      <w:r w:rsidRPr="005D5CF3">
        <w:rPr>
          <w:rFonts w:cs="B Nazanin"/>
          <w:color w:val="FF0000"/>
          <w:sz w:val="32"/>
          <w:szCs w:val="32"/>
          <w:rtl/>
        </w:rPr>
        <w:t>امام حسن عسكري</w:t>
      </w:r>
      <w:r w:rsidR="00EA5F5E" w:rsidRPr="005D5CF3">
        <w:rPr>
          <w:rFonts w:cs="B Nazanin"/>
          <w:color w:val="FF0000"/>
          <w:sz w:val="32"/>
          <w:szCs w:val="32"/>
          <w:rtl/>
        </w:rPr>
        <w:t>(ع)</w:t>
      </w:r>
      <w:bookmarkEnd w:id="0"/>
    </w:p>
    <w:p w14:paraId="5EE77002" w14:textId="77777777" w:rsidR="005D5CF3" w:rsidRPr="0051089F" w:rsidRDefault="005D5CF3" w:rsidP="0051089F">
      <w:pPr>
        <w:jc w:val="center"/>
        <w:rPr>
          <w:rFonts w:cs="B Nazanin"/>
          <w:color w:val="FF0000"/>
          <w:sz w:val="32"/>
          <w:szCs w:val="32"/>
          <w:rtl/>
        </w:rPr>
      </w:pPr>
    </w:p>
    <w:p w14:paraId="6FC0F223" w14:textId="77777777" w:rsidR="001C3C96" w:rsidRPr="0051089F" w:rsidRDefault="001C3C96" w:rsidP="0051089F">
      <w:pPr>
        <w:rPr>
          <w:rStyle w:val="Style77AutoChar"/>
          <w:rFonts w:ascii="IRLotus" w:hAnsi="IRLotus" w:cs="B Nazanin"/>
          <w:b/>
          <w:bCs w:val="0"/>
          <w:sz w:val="32"/>
          <w:szCs w:val="32"/>
          <w:rtl/>
        </w:rPr>
      </w:pPr>
      <w:r w:rsidRPr="0051089F">
        <w:rPr>
          <w:rFonts w:cs="B Nazanin"/>
          <w:b/>
          <w:sz w:val="32"/>
          <w:szCs w:val="32"/>
          <w:rtl/>
        </w:rPr>
        <w:t>امام حسن عسكري</w:t>
      </w:r>
      <w:r w:rsidR="00EA5F5E" w:rsidRPr="0051089F">
        <w:rPr>
          <w:rFonts w:cs="B Nazanin"/>
          <w:b/>
          <w:sz w:val="32"/>
          <w:szCs w:val="32"/>
          <w:rtl/>
        </w:rPr>
        <w:t>(ع)</w:t>
      </w:r>
      <w:r w:rsidRPr="0051089F">
        <w:rPr>
          <w:rFonts w:cs="B Nazanin"/>
          <w:b/>
          <w:sz w:val="32"/>
          <w:szCs w:val="32"/>
          <w:rtl/>
        </w:rPr>
        <w:t xml:space="preserve"> فرزند امام علي النقي</w:t>
      </w:r>
      <w:r w:rsidR="00EA5F5E" w:rsidRPr="0051089F">
        <w:rPr>
          <w:rFonts w:cs="B Nazanin"/>
          <w:b/>
          <w:sz w:val="32"/>
          <w:szCs w:val="32"/>
          <w:rtl/>
        </w:rPr>
        <w:t>(ع)</w:t>
      </w:r>
      <w:r w:rsidRPr="0051089F">
        <w:rPr>
          <w:rFonts w:cs="B Nazanin"/>
          <w:b/>
          <w:sz w:val="32"/>
          <w:szCs w:val="32"/>
          <w:rtl/>
        </w:rPr>
        <w:t xml:space="preserve">، پدر بزرگوارحضرت </w:t>
      </w:r>
      <w:r w:rsidR="00D84F6D" w:rsidRPr="0051089F">
        <w:rPr>
          <w:rFonts w:cs="B Nazanin"/>
          <w:b/>
          <w:sz w:val="32"/>
          <w:szCs w:val="32"/>
          <w:rtl/>
        </w:rPr>
        <w:t>مهدي(عج)</w:t>
      </w:r>
      <w:r w:rsidRPr="0051089F">
        <w:rPr>
          <w:rFonts w:cs="B Nazanin"/>
          <w:b/>
          <w:sz w:val="32"/>
          <w:szCs w:val="32"/>
          <w:rtl/>
        </w:rPr>
        <w:t xml:space="preserve"> و يازدهمين پيشواي شيعيان است. آن حضرت در ماه ربيع الاول يا ربيع الثاني سال231يا 232 ق در مدينه، چشم به جهان گشود. مادرش بانويي پارســا و شــايسته به نام </w:t>
      </w:r>
      <w:r w:rsidRPr="0051089F">
        <w:rPr>
          <w:rStyle w:val="Char10"/>
          <w:rFonts w:ascii="IRLotus" w:hAnsi="IRLotus" w:cs="B Nazanin"/>
          <w:b/>
          <w:sz w:val="32"/>
          <w:szCs w:val="32"/>
          <w:rtl/>
        </w:rPr>
        <w:t>«</w:t>
      </w:r>
      <w:r w:rsidRPr="0051089F">
        <w:rPr>
          <w:rFonts w:cs="B Nazanin"/>
          <w:b/>
          <w:sz w:val="32"/>
          <w:szCs w:val="32"/>
          <w:rtl/>
        </w:rPr>
        <w:t>حُدَيثه</w:t>
      </w:r>
      <w:r w:rsidRPr="0051089F">
        <w:rPr>
          <w:rStyle w:val="Char10"/>
          <w:rFonts w:ascii="IRLotus" w:hAnsi="IRLotus" w:cs="B Nazanin"/>
          <w:b/>
          <w:sz w:val="32"/>
          <w:szCs w:val="32"/>
          <w:rtl/>
        </w:rPr>
        <w:t>»</w:t>
      </w:r>
      <w:r w:rsidRPr="0051089F">
        <w:rPr>
          <w:rFonts w:cs="B Nazanin"/>
          <w:b/>
          <w:sz w:val="32"/>
          <w:szCs w:val="32"/>
          <w:rtl/>
        </w:rPr>
        <w:t xml:space="preserve">، بود كه برخي، از او به نام </w:t>
      </w:r>
      <w:r w:rsidRPr="0051089F">
        <w:rPr>
          <w:rStyle w:val="Char10"/>
          <w:rFonts w:ascii="IRLotus" w:hAnsi="IRLotus" w:cs="B Nazanin"/>
          <w:b/>
          <w:sz w:val="32"/>
          <w:szCs w:val="32"/>
          <w:rtl/>
        </w:rPr>
        <w:t>«</w:t>
      </w:r>
      <w:r w:rsidRPr="0051089F">
        <w:rPr>
          <w:rFonts w:cs="B Nazanin"/>
          <w:b/>
          <w:sz w:val="32"/>
          <w:szCs w:val="32"/>
          <w:rtl/>
        </w:rPr>
        <w:t>سوسن</w:t>
      </w:r>
      <w:r w:rsidRPr="0051089F">
        <w:rPr>
          <w:rStyle w:val="Char10"/>
          <w:rFonts w:ascii="IRLotus" w:hAnsi="IRLotus" w:cs="B Nazanin"/>
          <w:b/>
          <w:sz w:val="32"/>
          <w:szCs w:val="32"/>
          <w:rtl/>
        </w:rPr>
        <w:t>»</w:t>
      </w:r>
      <w:r w:rsidRPr="0051089F">
        <w:rPr>
          <w:rFonts w:cs="B Nazanin"/>
          <w:b/>
          <w:sz w:val="32"/>
          <w:szCs w:val="32"/>
          <w:rtl/>
        </w:rPr>
        <w:t xml:space="preserve"> ياد كرده‏اند.</w:t>
      </w:r>
      <w:r w:rsidRPr="0051089F">
        <w:rPr>
          <w:rStyle w:val="StyleFootnoteReferenceComplexLotus14ptCondensedby0"/>
          <w:rFonts w:ascii="IRLotus" w:hAnsi="IRLotus" w:cs="B Nazanin"/>
          <w:b/>
          <w:sz w:val="32"/>
          <w:szCs w:val="32"/>
          <w:rtl/>
        </w:rPr>
        <w:footnoteReference w:id="1"/>
      </w:r>
    </w:p>
    <w:p w14:paraId="58161AC1" w14:textId="77777777" w:rsidR="001C3C96" w:rsidRPr="0051089F" w:rsidRDefault="001C3C96" w:rsidP="0051089F">
      <w:pPr>
        <w:rPr>
          <w:rFonts w:cs="B Nazanin"/>
          <w:spacing w:val="-2"/>
          <w:sz w:val="32"/>
          <w:szCs w:val="32"/>
          <w:rtl/>
        </w:rPr>
      </w:pPr>
      <w:r w:rsidRPr="0051089F">
        <w:rPr>
          <w:rFonts w:cs="B Nazanin"/>
          <w:spacing w:val="-2"/>
          <w:sz w:val="32"/>
          <w:szCs w:val="32"/>
          <w:rtl/>
        </w:rPr>
        <w:t xml:space="preserve">از آن‌جا كه پيشواي يازدهم به دستور خليفة عباسي در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2"/>
          <w:sz w:val="32"/>
          <w:szCs w:val="32"/>
          <w:rtl/>
        </w:rPr>
        <w:t>سامّرا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2"/>
          <w:sz w:val="32"/>
          <w:szCs w:val="32"/>
          <w:rtl/>
        </w:rPr>
        <w:t xml:space="preserve">، در </w:t>
      </w:r>
      <w:r w:rsidRPr="0051089F">
        <w:rPr>
          <w:rFonts w:cs="B Nazanin"/>
          <w:spacing w:val="-4"/>
          <w:sz w:val="32"/>
          <w:szCs w:val="32"/>
          <w:rtl/>
        </w:rPr>
        <w:t xml:space="preserve">محلة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4"/>
          <w:sz w:val="32"/>
          <w:szCs w:val="32"/>
          <w:rtl/>
        </w:rPr>
        <w:t>عسكر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4"/>
          <w:sz w:val="32"/>
          <w:szCs w:val="32"/>
          <w:rtl/>
        </w:rPr>
        <w:t xml:space="preserve"> سكونت اجباري داشت</w:t>
      </w:r>
      <w:r w:rsidRPr="0051089F">
        <w:rPr>
          <w:rFonts w:cs="B Nazanin"/>
          <w:spacing w:val="-2"/>
          <w:sz w:val="32"/>
          <w:szCs w:val="32"/>
          <w:rtl/>
        </w:rPr>
        <w:t xml:space="preserve">،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14"/>
          <w:sz w:val="32"/>
          <w:szCs w:val="32"/>
          <w:rtl/>
        </w:rPr>
        <w:t>عسكري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14"/>
          <w:sz w:val="32"/>
          <w:szCs w:val="32"/>
          <w:rtl/>
        </w:rPr>
        <w:t xml:space="preserve"> ناميده مي‏شود.</w:t>
      </w:r>
      <w:r w:rsidRPr="0051089F">
        <w:rPr>
          <w:rStyle w:val="StyleFootnoteReferenceComplexLotus14ptCondensedby0"/>
          <w:rFonts w:ascii="IRLotus" w:hAnsi="IRLotus" w:cs="B Nazanin"/>
          <w:spacing w:val="-14"/>
          <w:sz w:val="32"/>
          <w:szCs w:val="32"/>
          <w:rtl/>
        </w:rPr>
        <w:footnoteReference w:id="2"/>
      </w:r>
      <w:r w:rsidRPr="0051089F">
        <w:rPr>
          <w:rFonts w:cs="B Nazanin"/>
          <w:spacing w:val="-14"/>
          <w:sz w:val="32"/>
          <w:szCs w:val="32"/>
          <w:rtl/>
        </w:rPr>
        <w:t xml:space="preserve"> از مشهورترين</w:t>
      </w:r>
      <w:r w:rsidRPr="0051089F">
        <w:rPr>
          <w:rFonts w:cs="B Nazanin"/>
          <w:spacing w:val="-2"/>
          <w:sz w:val="32"/>
          <w:szCs w:val="32"/>
          <w:rtl/>
        </w:rPr>
        <w:t xml:space="preserve"> لقب‌هاي آن حضرت،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2"/>
          <w:sz w:val="32"/>
          <w:szCs w:val="32"/>
          <w:rtl/>
        </w:rPr>
        <w:t>نقي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2"/>
          <w:sz w:val="32"/>
          <w:szCs w:val="32"/>
          <w:rtl/>
        </w:rPr>
        <w:t xml:space="preserve">،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2"/>
          <w:sz w:val="32"/>
          <w:szCs w:val="32"/>
          <w:rtl/>
        </w:rPr>
        <w:t>زكي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2"/>
          <w:sz w:val="32"/>
          <w:szCs w:val="32"/>
          <w:rtl/>
        </w:rPr>
        <w:t xml:space="preserve">،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2"/>
          <w:sz w:val="32"/>
          <w:szCs w:val="32"/>
          <w:rtl/>
        </w:rPr>
        <w:t>فاضــل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2"/>
          <w:sz w:val="32"/>
          <w:szCs w:val="32"/>
          <w:rtl/>
        </w:rPr>
        <w:t xml:space="preserve">،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2"/>
          <w:sz w:val="32"/>
          <w:szCs w:val="32"/>
          <w:rtl/>
        </w:rPr>
        <w:t>امين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2"/>
          <w:sz w:val="32"/>
          <w:szCs w:val="32"/>
          <w:rtl/>
        </w:rPr>
        <w:t xml:space="preserve"> وكــنيه‏اش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2"/>
          <w:sz w:val="32"/>
          <w:szCs w:val="32"/>
          <w:rtl/>
        </w:rPr>
        <w:t>ابو محمد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2"/>
          <w:sz w:val="32"/>
          <w:szCs w:val="32"/>
          <w:rtl/>
        </w:rPr>
        <w:t xml:space="preserve"> است. او 22 ساله بود كه پــدرش به شهادت رسيــد. مدّت امامتش شش سال و عمرش 28 سال بود. امام عسكري</w:t>
      </w:r>
      <w:r w:rsidR="00EA5F5E" w:rsidRPr="0051089F">
        <w:rPr>
          <w:rFonts w:cs="B Nazanin"/>
          <w:spacing w:val="-2"/>
          <w:sz w:val="32"/>
          <w:szCs w:val="32"/>
          <w:rtl/>
        </w:rPr>
        <w:t>(ع)</w:t>
      </w:r>
      <w:r w:rsidRPr="0051089F">
        <w:rPr>
          <w:rFonts w:cs="B Nazanin"/>
          <w:spacing w:val="-2"/>
          <w:sz w:val="32"/>
          <w:szCs w:val="32"/>
          <w:rtl/>
        </w:rPr>
        <w:t xml:space="preserve"> در سال 260 ق در حالي‌كه يگانه پسر او در جايگاه آخرين حجّت الهي در سن پنج سالگي قرار داشت، به شهادت رسيد و در خانة خود در سامرا، كنار مرقد پدرش به خاك سپرده شد.</w:t>
      </w:r>
      <w:r w:rsidRPr="0051089F">
        <w:rPr>
          <w:rStyle w:val="StyleFootnoteReferenceComplexLotus14ptCondensedby0"/>
          <w:rFonts w:ascii="IRLotus" w:hAnsi="IRLotus" w:cs="B Nazanin"/>
          <w:spacing w:val="-2"/>
          <w:sz w:val="32"/>
          <w:szCs w:val="32"/>
          <w:rtl/>
        </w:rPr>
        <w:footnoteReference w:id="3"/>
      </w:r>
    </w:p>
    <w:p w14:paraId="630D49A2" w14:textId="77777777" w:rsidR="00D84F6D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>دربارة ويژگي</w:t>
      </w:r>
      <w:r w:rsidRPr="0051089F">
        <w:rPr>
          <w:rFonts w:cs="B Nazanin"/>
          <w:spacing w:val="-6"/>
          <w:sz w:val="32"/>
          <w:szCs w:val="32"/>
          <w:rtl/>
        </w:rPr>
        <w:softHyphen/>
        <w:t>هاي آن حضرت آورده‏اند: رنگش گندمگون، چشمانش درشت و سياه، رويش زيبا، قامتش معتدل و اندامش متناسب بود. با آن‌كه جوان بود، بزرگان قريش و دانشمندان زمان خود را تحت تأثير و نفوذ قرار مي‏داد. دوست و دشمن به برتري او در دانش، بردباري، بخشش، پارسايي، پرواي الهي و ديگر مكارم اخلاقي باور داشتند.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4"/>
      </w:r>
    </w:p>
    <w:p w14:paraId="0FCEBECB" w14:textId="77777777" w:rsidR="001C3C96" w:rsidRPr="0051089F" w:rsidRDefault="00D84F6D" w:rsidP="0051089F">
      <w:pPr>
        <w:rPr>
          <w:rFonts w:cs="B Nazanin"/>
          <w:spacing w:val="-6"/>
          <w:sz w:val="32"/>
          <w:szCs w:val="32"/>
          <w:rtl/>
          <w:lang w:bidi="fa-IR"/>
        </w:rPr>
      </w:pPr>
      <w:r w:rsidRPr="0051089F">
        <w:rPr>
          <w:rFonts w:cs="B Nazanin" w:hint="cs"/>
          <w:spacing w:val="-6"/>
          <w:sz w:val="32"/>
          <w:szCs w:val="32"/>
          <w:rtl/>
        </w:rPr>
        <w:t xml:space="preserve">  </w:t>
      </w:r>
      <w:r w:rsidR="001C3C96" w:rsidRPr="0051089F">
        <w:rPr>
          <w:rFonts w:cs="B Nazanin"/>
          <w:spacing w:val="-6"/>
          <w:sz w:val="32"/>
          <w:szCs w:val="32"/>
          <w:rtl/>
        </w:rPr>
        <w:t>مدت كوتاه عمر امام به سه دوره تقسيم مي‏شود: تا چهار سال و چند ماهگي (و بنا به يک قول تا سيزده سالگي)، در مدينه به سر برد. تا 23 سالگي به اتفاق پدر بزرگوارش در سامرا مي‏زيست و تا 28 سالگي (شش سال و اندي پس از شهادت امام دهم)، در سامرا ولايت بر امور و پيشوايي شيعيان را بر عهده داشت.</w:t>
      </w:r>
    </w:p>
    <w:p w14:paraId="097A3DA7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مشهور بين شيعه آن است که امام </w:t>
      </w:r>
      <w:r w:rsidRPr="0051089F">
        <w:rPr>
          <w:rFonts w:cs="B Nazanin"/>
          <w:spacing w:val="-10"/>
          <w:sz w:val="32"/>
          <w:szCs w:val="32"/>
          <w:rtl/>
        </w:rPr>
        <w:t>عسکري</w:t>
      </w:r>
      <w:r w:rsidR="00EA5F5E" w:rsidRPr="0051089F">
        <w:rPr>
          <w:rFonts w:cs="B Nazanin"/>
          <w:spacing w:val="-10"/>
          <w:sz w:val="32"/>
          <w:szCs w:val="32"/>
          <w:rtl/>
        </w:rPr>
        <w:t>(ع)</w:t>
      </w:r>
      <w:r w:rsidRPr="0051089F">
        <w:rPr>
          <w:rFonts w:cs="B Nazanin"/>
          <w:spacing w:val="-10"/>
          <w:sz w:val="32"/>
          <w:szCs w:val="32"/>
          <w:rtl/>
        </w:rPr>
        <w:t xml:space="preserve"> فرزندي جز امام </w:t>
      </w:r>
      <w:r w:rsidR="00D84F6D" w:rsidRPr="0051089F">
        <w:rPr>
          <w:rFonts w:cs="B Nazanin"/>
          <w:spacing w:val="-10"/>
          <w:sz w:val="32"/>
          <w:szCs w:val="32"/>
          <w:rtl/>
        </w:rPr>
        <w:t>مهدي(عج)</w:t>
      </w:r>
      <w:r w:rsidRPr="0051089F">
        <w:rPr>
          <w:rFonts w:cs="B Nazanin"/>
          <w:spacing w:val="-6"/>
          <w:sz w:val="32"/>
          <w:szCs w:val="32"/>
          <w:rtl/>
        </w:rPr>
        <w:t xml:space="preserve"> از خود به يادگار نگذاشت.</w:t>
      </w:r>
      <w:r w:rsidRPr="0051089F">
        <w:rPr>
          <w:rFonts w:cs="B Nazanin"/>
          <w:sz w:val="32"/>
          <w:szCs w:val="32"/>
          <w:vertAlign w:val="superscript"/>
          <w:rtl/>
        </w:rPr>
        <w:footnoteReference w:id="5"/>
      </w:r>
      <w:r w:rsidRPr="0051089F">
        <w:rPr>
          <w:rFonts w:cs="B Nazanin"/>
          <w:spacing w:val="-6"/>
          <w:sz w:val="32"/>
          <w:szCs w:val="32"/>
          <w:rtl/>
        </w:rPr>
        <w:t xml:space="preserve"> آن حضرت، با همة فشارها و پي‌جويي‌هاي پيوستة حكومت عباسي، يك سلسله فعاليت</w:t>
      </w:r>
      <w:r w:rsidRPr="0051089F">
        <w:rPr>
          <w:rFonts w:cs="B Nazanin"/>
          <w:spacing w:val="-6"/>
          <w:sz w:val="32"/>
          <w:szCs w:val="32"/>
          <w:rtl/>
        </w:rPr>
        <w:softHyphen/>
        <w:t>هاي سياسي، اجتماعي و علمي، در راستاي حفظ اسلام و مبارزه با افكار ضد اسلامي انجام مي‏داد. گوشه</w:t>
      </w:r>
      <w:r w:rsidRPr="0051089F">
        <w:rPr>
          <w:rFonts w:cs="B Nazanin"/>
          <w:spacing w:val="-6"/>
          <w:sz w:val="32"/>
          <w:szCs w:val="32"/>
          <w:rtl/>
        </w:rPr>
        <w:softHyphen/>
        <w:t>اي از اين فعاليت</w:t>
      </w:r>
      <w:r w:rsidRPr="0051089F">
        <w:rPr>
          <w:rFonts w:cs="B Nazanin"/>
          <w:spacing w:val="-6"/>
          <w:sz w:val="32"/>
          <w:szCs w:val="32"/>
          <w:rtl/>
        </w:rPr>
        <w:softHyphen/>
        <w:t>ها ـ كه پيوند بيشتري با موضوع مهدويّت دارد، به شرح زير است:</w:t>
      </w:r>
    </w:p>
    <w:p w14:paraId="319BE338" w14:textId="77777777" w:rsidR="001C3C96" w:rsidRPr="0051089F" w:rsidRDefault="001C3C96" w:rsidP="0051089F">
      <w:pPr>
        <w:rPr>
          <w:rFonts w:cs="B Nazanin"/>
          <w:color w:val="FF0000"/>
          <w:sz w:val="32"/>
          <w:szCs w:val="32"/>
          <w:rtl/>
        </w:rPr>
      </w:pPr>
      <w:bookmarkStart w:id="1" w:name="_Toc114878197"/>
      <w:bookmarkStart w:id="2" w:name="_Toc114878453"/>
      <w:bookmarkStart w:id="3" w:name="_Toc44902459"/>
      <w:r w:rsidRPr="0051089F">
        <w:rPr>
          <w:rFonts w:cs="B Nazanin"/>
          <w:color w:val="FF0000"/>
          <w:sz w:val="32"/>
          <w:szCs w:val="32"/>
          <w:rtl/>
        </w:rPr>
        <w:lastRenderedPageBreak/>
        <w:t xml:space="preserve"> 1. كوشش علمي در دفاع از اسلام و ردّ شبهات</w:t>
      </w:r>
      <w:bookmarkEnd w:id="1"/>
      <w:bookmarkEnd w:id="2"/>
      <w:bookmarkEnd w:id="3"/>
      <w:r w:rsidRPr="0051089F">
        <w:rPr>
          <w:rFonts w:cs="B Nazanin"/>
          <w:color w:val="FF0000"/>
          <w:sz w:val="32"/>
          <w:szCs w:val="32"/>
          <w:rtl/>
        </w:rPr>
        <w:t xml:space="preserve"> </w:t>
      </w:r>
    </w:p>
    <w:p w14:paraId="4468B3FC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>امام عسكري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به دليل شرايط نامساعد و تنگناهاي شديد حكومت عباسي، در گسترش دانش بي‌کران خود در همة جامعه پيروزي چنداني به دست نياورد؛ اما شاگرداني تربيت كرد كه هر كدام در گسترش معارف اسلام و رفع شبهات دشمنان، نقش مؤثر و ارزنده</w:t>
      </w:r>
      <w:r w:rsidRPr="0051089F">
        <w:rPr>
          <w:rFonts w:cs="B Nazanin"/>
          <w:spacing w:val="-6"/>
          <w:sz w:val="32"/>
          <w:szCs w:val="32"/>
          <w:rtl/>
        </w:rPr>
        <w:softHyphen/>
        <w:t>اي داشتند.</w:t>
      </w:r>
    </w:p>
    <w:p w14:paraId="7FCD9FD0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 شيخ طوسي، شمار شاگردان آن حضرت را افزون بر يک‌صد نفر ثبت كرده است.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6"/>
      </w:r>
      <w:r w:rsidRPr="0051089F">
        <w:rPr>
          <w:rFonts w:cs="B Nazanin"/>
          <w:spacing w:val="-6"/>
          <w:sz w:val="32"/>
          <w:szCs w:val="32"/>
          <w:rtl/>
        </w:rPr>
        <w:t xml:space="preserve"> ميان آنان چهره‏ها و شخصيت‌هـاي بــرجستــه و وارسته‏اي مانند احمد بن اسحاق اشعري قمي، ابو هاشم داود بن قاسم جعفري، ابوعمرو عثمان‌ بن سعيد عمري، علي‌ بن جعفر و محمد بــن حسن صفّــار بــه چشم مي‌خورند.</w:t>
      </w:r>
    </w:p>
    <w:p w14:paraId="0E78E387" w14:textId="77777777" w:rsidR="001C3C96" w:rsidRPr="0051089F" w:rsidRDefault="001C3C96" w:rsidP="0051089F">
      <w:pPr>
        <w:rPr>
          <w:rFonts w:cs="B Nazanin"/>
          <w:color w:val="FF0000"/>
          <w:sz w:val="32"/>
          <w:szCs w:val="32"/>
          <w:rtl/>
        </w:rPr>
      </w:pPr>
      <w:bookmarkStart w:id="4" w:name="_Toc114878198"/>
      <w:bookmarkStart w:id="5" w:name="_Toc114878454"/>
      <w:bookmarkStart w:id="6" w:name="_Toc44902460"/>
      <w:r w:rsidRPr="0051089F">
        <w:rPr>
          <w:rFonts w:cs="B Nazanin"/>
          <w:color w:val="FF0000"/>
          <w:sz w:val="32"/>
          <w:szCs w:val="32"/>
          <w:rtl/>
        </w:rPr>
        <w:t xml:space="preserve"> 2. گسترش حلقة ارتباطي با شيعيان از طريق نمايندگان</w:t>
      </w:r>
      <w:bookmarkEnd w:id="4"/>
      <w:bookmarkEnd w:id="5"/>
      <w:bookmarkEnd w:id="6"/>
      <w:r w:rsidRPr="0051089F">
        <w:rPr>
          <w:rFonts w:cs="B Nazanin"/>
          <w:color w:val="FF0000"/>
          <w:sz w:val="32"/>
          <w:szCs w:val="32"/>
          <w:rtl/>
        </w:rPr>
        <w:t xml:space="preserve"> </w:t>
      </w:r>
    </w:p>
    <w:p w14:paraId="4EBD7A59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>در پــي تــلاش</w:t>
      </w:r>
      <w:r w:rsidRPr="0051089F">
        <w:rPr>
          <w:rFonts w:cs="B Nazanin"/>
          <w:spacing w:val="-6"/>
          <w:sz w:val="32"/>
          <w:szCs w:val="32"/>
          <w:rtl/>
        </w:rPr>
        <w:softHyphen/>
        <w:t>هاي فراوان امــامان پيشين، در زمان امام عسكري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تشيّع در مناطق و شهرهاي مختلف، گسترده شده و شيعيان در گسترة وسيعي زندگي مي‌كردند. گستردگي و پراكندگي مراكز شيعي، وجود سازمان ارتباطي منظمي را ايجاب مي‏كرد، تا پيوند شيعيان را با حوزة امامت و نيز ارتباط آنان را با هم‌ديگر برقرار سازد و از اين رهگذر، آنان را از نظر ديني و سياسي، رهبري و سازماندهي كند.</w:t>
      </w:r>
    </w:p>
    <w:p w14:paraId="560B8D09" w14:textId="77777777" w:rsidR="001C3C96" w:rsidRPr="0051089F" w:rsidRDefault="001C3C96" w:rsidP="0051089F">
      <w:pPr>
        <w:rPr>
          <w:rFonts w:cs="B Nazanin"/>
          <w:sz w:val="32"/>
          <w:szCs w:val="32"/>
          <w:rtl/>
        </w:rPr>
      </w:pPr>
      <w:r w:rsidRPr="0051089F">
        <w:rPr>
          <w:rFonts w:cs="B Nazanin"/>
          <w:sz w:val="32"/>
          <w:szCs w:val="32"/>
          <w:rtl/>
        </w:rPr>
        <w:t xml:space="preserve"> اين نياز، از زمان امام نهم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z w:val="32"/>
          <w:szCs w:val="32"/>
          <w:rtl/>
        </w:rPr>
        <w:t xml:space="preserve"> احساس مي‏شد و چنان‌كه در روش آن حضــرت و امام دهم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z w:val="32"/>
          <w:szCs w:val="32"/>
          <w:rtl/>
        </w:rPr>
        <w:t xml:space="preserve"> آمده، شبكــة ارتبــاطي وكــالت و نصب نمايندگان در مناطق گوناگون، از آن زمان وجود داشته است. اين برنامه، زمان امام عسكري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z w:val="32"/>
          <w:szCs w:val="32"/>
          <w:rtl/>
        </w:rPr>
        <w:t xml:space="preserve"> نيز پي‌گيري شد. بنا‌بر يافته‌ها و ش</w:t>
      </w:r>
      <w:r w:rsidR="007E5E1B" w:rsidRPr="0051089F">
        <w:rPr>
          <w:rFonts w:cs="B Nazanin"/>
          <w:sz w:val="32"/>
          <w:szCs w:val="32"/>
          <w:rtl/>
        </w:rPr>
        <w:t>واهد تاريخي، آن حضرت نمايندگ</w:t>
      </w:r>
      <w:r w:rsidRPr="0051089F">
        <w:rPr>
          <w:rFonts w:cs="B Nazanin"/>
          <w:sz w:val="32"/>
          <w:szCs w:val="32"/>
          <w:rtl/>
        </w:rPr>
        <w:t xml:space="preserve">اني از ميــان شخصيت‌هــاي بــرجستة شيعه، در مناطق فراوان نصب كــرده و بـا آنان در ارتباط بود و از اين راه، شيعيان را در همة مناطق زير نگاه داشت. </w:t>
      </w:r>
    </w:p>
    <w:p w14:paraId="142E70E8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 يكي از نمـايندگان امــام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6"/>
          <w:sz w:val="32"/>
          <w:szCs w:val="32"/>
          <w:rtl/>
        </w:rPr>
        <w:t>احمد‌ بن اسحاق‌ بن عبدالله قمي اشعري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6"/>
          <w:sz w:val="32"/>
          <w:szCs w:val="32"/>
          <w:rtl/>
        </w:rPr>
        <w:t>، از ياران ويژة امام و از شخصيت</w:t>
      </w:r>
      <w:r w:rsidRPr="0051089F">
        <w:rPr>
          <w:rFonts w:cs="B Nazanin"/>
          <w:spacing w:val="-6"/>
          <w:sz w:val="32"/>
          <w:szCs w:val="32"/>
          <w:rtl/>
        </w:rPr>
        <w:softHyphen/>
      </w:r>
      <w:r w:rsidR="001217EB" w:rsidRPr="0051089F">
        <w:rPr>
          <w:rFonts w:cs="B Nazanin"/>
          <w:spacing w:val="-6"/>
          <w:sz w:val="32"/>
          <w:szCs w:val="32"/>
          <w:rtl/>
        </w:rPr>
        <w:t>هاي بزرگ شيعي در قم بود</w:t>
      </w:r>
      <w:r w:rsidRPr="0051089F">
        <w:rPr>
          <w:rFonts w:cs="B Nazanin"/>
          <w:spacing w:val="-6"/>
          <w:sz w:val="32"/>
          <w:szCs w:val="32"/>
          <w:rtl/>
        </w:rPr>
        <w:t>.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7"/>
      </w:r>
      <w:r w:rsidRPr="0051089F">
        <w:rPr>
          <w:rFonts w:cs="B Nazanin"/>
          <w:spacing w:val="-6"/>
          <w:sz w:val="32"/>
          <w:szCs w:val="32"/>
          <w:rtl/>
        </w:rPr>
        <w:t xml:space="preserve"> </w:t>
      </w:r>
    </w:p>
    <w:p w14:paraId="54AE3791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 در رأس وکيل‌‌هاي امام،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6"/>
          <w:sz w:val="32"/>
          <w:szCs w:val="32"/>
          <w:rtl/>
        </w:rPr>
        <w:t>محمد‌ بن عثمان عَمْري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6"/>
          <w:sz w:val="32"/>
          <w:szCs w:val="32"/>
          <w:rtl/>
        </w:rPr>
        <w:t xml:space="preserve"> قرار داشت و وكيل‌‌هاي ديگر، به وسيلة او با امام در ارتباط بودند. آنان نوعاً اموال و وجوهات جمع</w:t>
      </w:r>
      <w:r w:rsidRPr="0051089F">
        <w:rPr>
          <w:rFonts w:cs="B Nazanin"/>
          <w:spacing w:val="-6"/>
          <w:sz w:val="32"/>
          <w:szCs w:val="32"/>
          <w:rtl/>
        </w:rPr>
        <w:softHyphen/>
        <w:t>آوري شده را به وي تحويل مي</w:t>
      </w:r>
      <w:r w:rsidRPr="0051089F">
        <w:rPr>
          <w:rFonts w:cs="B Nazanin"/>
          <w:spacing w:val="-6"/>
          <w:sz w:val="32"/>
          <w:szCs w:val="32"/>
          <w:rtl/>
        </w:rPr>
        <w:softHyphen/>
        <w:t>دادند و او آن‌ها را به امام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مي‏رساند.</w:t>
      </w:r>
    </w:p>
    <w:p w14:paraId="3A9693DC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 افزون بر شبكة ارتباطي وكالت، امام از طريق فرستادن پيك، با شيعيان و پيروان خود ارتباط برقرار مي‏ساخت و مشكلات آنان را برطرف مي‏كرد. امام، گذشته از پيك</w:t>
      </w:r>
      <w:r w:rsidRPr="0051089F">
        <w:rPr>
          <w:rFonts w:cs="B Nazanin"/>
          <w:spacing w:val="-6"/>
          <w:sz w:val="32"/>
          <w:szCs w:val="32"/>
          <w:rtl/>
        </w:rPr>
        <w:softHyphen/>
        <w:t xml:space="preserve">ها، از طريق نامه‌نگاري نيز با شيعيان </w:t>
      </w:r>
      <w:r w:rsidRPr="0051089F">
        <w:rPr>
          <w:rFonts w:cs="B Nazanin"/>
          <w:spacing w:val="-6"/>
          <w:sz w:val="32"/>
          <w:szCs w:val="32"/>
          <w:rtl/>
        </w:rPr>
        <w:lastRenderedPageBreak/>
        <w:t>ارتباط داشت و آنان را در موقعيت</w:t>
      </w:r>
      <w:r w:rsidRPr="0051089F">
        <w:rPr>
          <w:rFonts w:cs="B Nazanin"/>
          <w:spacing w:val="-6"/>
          <w:sz w:val="32"/>
          <w:szCs w:val="32"/>
          <w:rtl/>
        </w:rPr>
        <w:softHyphen/>
        <w:t>هاي حساس راهنمايي مي</w:t>
      </w:r>
      <w:r w:rsidRPr="0051089F">
        <w:rPr>
          <w:rFonts w:cs="B Nazanin"/>
          <w:spacing w:val="-6"/>
          <w:sz w:val="32"/>
          <w:szCs w:val="32"/>
          <w:rtl/>
        </w:rPr>
        <w:softHyphen/>
        <w:t xml:space="preserve">کرد. نامه‏اي كه امام به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6"/>
          <w:sz w:val="32"/>
          <w:szCs w:val="32"/>
          <w:rtl/>
        </w:rPr>
        <w:t>ابن بابويه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6"/>
          <w:sz w:val="32"/>
          <w:szCs w:val="32"/>
          <w:rtl/>
        </w:rPr>
        <w:t xml:space="preserve"> نوشته، نمونه‏اي از اين نامه‏ها است. امام دو نامه نيز به شيعيان قم و آبه (آوه) نوشته كه متن آن‌ها در كتاب‌ها گردآمده است.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8"/>
      </w:r>
      <w:r w:rsidRPr="0051089F">
        <w:rPr>
          <w:rFonts w:cs="B Nazanin"/>
          <w:spacing w:val="-6"/>
          <w:sz w:val="32"/>
          <w:szCs w:val="32"/>
          <w:rtl/>
        </w:rPr>
        <w:t xml:space="preserve"> </w:t>
      </w:r>
    </w:p>
    <w:p w14:paraId="3DB34520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>بر اساس روايتي، امام عسكري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بامداد روز هشتم ربيع الأول سال 260ق اندكي پيش از رحلت، نامه‏هاي فراواني به مردم مداين نوشت.</w:t>
      </w:r>
    </w:p>
    <w:p w14:paraId="216FAD2D" w14:textId="77777777" w:rsidR="001C3C96" w:rsidRPr="0051089F" w:rsidRDefault="001C3C96" w:rsidP="0051089F">
      <w:pPr>
        <w:rPr>
          <w:rFonts w:cs="B Nazanin"/>
          <w:color w:val="FF0000"/>
          <w:sz w:val="32"/>
          <w:szCs w:val="32"/>
          <w:rtl/>
          <w:lang w:bidi="fa-IR"/>
        </w:rPr>
      </w:pPr>
      <w:bookmarkStart w:id="7" w:name="_Toc114878199"/>
      <w:bookmarkStart w:id="8" w:name="_Toc114878455"/>
      <w:bookmarkStart w:id="9" w:name="_Toc44902461"/>
      <w:r w:rsidRPr="0051089F">
        <w:rPr>
          <w:rFonts w:cs="B Nazanin"/>
          <w:color w:val="FF0000"/>
          <w:sz w:val="32"/>
          <w:szCs w:val="32"/>
          <w:rtl/>
        </w:rPr>
        <w:t xml:space="preserve"> 3. فعاليت</w:t>
      </w:r>
      <w:r w:rsidRPr="0051089F">
        <w:rPr>
          <w:rFonts w:cs="B Nazanin"/>
          <w:color w:val="FF0000"/>
          <w:sz w:val="32"/>
          <w:szCs w:val="32"/>
          <w:rtl/>
        </w:rPr>
        <w:softHyphen/>
        <w:t>هاي سياسي سرّي</w:t>
      </w:r>
      <w:bookmarkEnd w:id="7"/>
      <w:bookmarkEnd w:id="8"/>
      <w:bookmarkEnd w:id="9"/>
      <w:r w:rsidRPr="0051089F">
        <w:rPr>
          <w:rFonts w:cs="B Nazanin"/>
          <w:color w:val="FF0000"/>
          <w:sz w:val="32"/>
          <w:szCs w:val="32"/>
          <w:rtl/>
        </w:rPr>
        <w:t xml:space="preserve"> </w:t>
      </w:r>
    </w:p>
    <w:p w14:paraId="545354F0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>امام عسكري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با وجود همة محــدوديت</w:t>
      </w:r>
      <w:r w:rsidRPr="0051089F">
        <w:rPr>
          <w:rFonts w:cs="B Nazanin"/>
          <w:spacing w:val="-6"/>
          <w:sz w:val="32"/>
          <w:szCs w:val="32"/>
          <w:rtl/>
        </w:rPr>
        <w:softHyphen/>
        <w:t>ها و كنترل</w:t>
      </w:r>
      <w:r w:rsidRPr="0051089F">
        <w:rPr>
          <w:rFonts w:cs="B Nazanin"/>
          <w:spacing w:val="-6"/>
          <w:sz w:val="32"/>
          <w:szCs w:val="32"/>
          <w:rtl/>
        </w:rPr>
        <w:softHyphen/>
        <w:t>هــاي دستگـاه خــلافت، يك زنجيــره فعــاليت</w:t>
      </w:r>
      <w:r w:rsidRPr="0051089F">
        <w:rPr>
          <w:rFonts w:cs="B Nazanin"/>
          <w:spacing w:val="-6"/>
          <w:sz w:val="32"/>
          <w:szCs w:val="32"/>
          <w:rtl/>
        </w:rPr>
        <w:softHyphen/>
        <w:t>هاي سياسي سرّي را رهبري مي‏كرد كه با گزينش شيوه‏هاي پنهان كاري، از چشم جاسوسان دربار، به دور مي‏ماند.</w:t>
      </w:r>
    </w:p>
    <w:p w14:paraId="1BEE60DE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 براي نمونه‏، عثمان‌ بن سعيد عمري ـ از نزديك‌ترين و صميمي‏ترين ياران امام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>ـ در پوشش روغــن فــروشي فعاليت مي‌كرد. شيعيان و پيروان آن حضرت، اموال و وجوه خود را به او مي‏رساندند و او آن‌ها را در ظرف‌هاي روغن قرار داده، به حضور امام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مي</w:t>
      </w:r>
      <w:r w:rsidRPr="0051089F">
        <w:rPr>
          <w:rFonts w:cs="B Nazanin"/>
          <w:spacing w:val="-6"/>
          <w:sz w:val="32"/>
          <w:szCs w:val="32"/>
          <w:rtl/>
        </w:rPr>
        <w:softHyphen/>
        <w:t>رساند.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9"/>
      </w:r>
    </w:p>
    <w:p w14:paraId="2306EAC9" w14:textId="77777777" w:rsidR="001C3C96" w:rsidRPr="0051089F" w:rsidRDefault="001C3C96" w:rsidP="0051089F">
      <w:pPr>
        <w:rPr>
          <w:rFonts w:cs="B Nazanin"/>
          <w:color w:val="FF0000"/>
          <w:sz w:val="32"/>
          <w:szCs w:val="32"/>
          <w:rtl/>
        </w:rPr>
      </w:pPr>
      <w:bookmarkStart w:id="10" w:name="_Toc114878200"/>
      <w:bookmarkStart w:id="11" w:name="_Toc114878456"/>
      <w:bookmarkStart w:id="12" w:name="_Toc44902462"/>
      <w:r w:rsidRPr="0051089F">
        <w:rPr>
          <w:rFonts w:cs="B Nazanin"/>
          <w:color w:val="FF0000"/>
          <w:sz w:val="32"/>
          <w:szCs w:val="32"/>
          <w:rtl/>
        </w:rPr>
        <w:t xml:space="preserve"> 4. پشتيباني مالي از شيعيان</w:t>
      </w:r>
      <w:bookmarkEnd w:id="10"/>
      <w:bookmarkEnd w:id="11"/>
      <w:bookmarkEnd w:id="12"/>
    </w:p>
    <w:p w14:paraId="5B69D518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يكي </w:t>
      </w:r>
      <w:r w:rsidR="00D84F6D" w:rsidRPr="0051089F">
        <w:rPr>
          <w:rFonts w:cs="B Nazanin"/>
          <w:spacing w:val="-6"/>
          <w:sz w:val="32"/>
          <w:szCs w:val="32"/>
          <w:rtl/>
        </w:rPr>
        <w:t>ديگر از موضع گيري</w:t>
      </w:r>
      <w:r w:rsidR="00D84F6D" w:rsidRPr="0051089F">
        <w:rPr>
          <w:rFonts w:cs="B Nazanin"/>
          <w:spacing w:val="-6"/>
          <w:sz w:val="32"/>
          <w:szCs w:val="32"/>
          <w:rtl/>
        </w:rPr>
        <w:softHyphen/>
        <w:t>هاي امام عسكـ</w:t>
      </w:r>
      <w:r w:rsidRPr="0051089F">
        <w:rPr>
          <w:rFonts w:cs="B Nazanin"/>
          <w:spacing w:val="-6"/>
          <w:sz w:val="32"/>
          <w:szCs w:val="32"/>
          <w:rtl/>
        </w:rPr>
        <w:t>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>، حمايت مالي از شيعيان ـ به‌ويژه از يــاران خــاص و نزديك آن حضرت ـ بود. اين كــار سبب ‏شد آنان زير فشار مالي، جذب دستگاه حكومت عباسي نشوند.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10"/>
      </w:r>
    </w:p>
    <w:p w14:paraId="0620DCC7" w14:textId="77777777" w:rsidR="001C3C96" w:rsidRPr="0051089F" w:rsidRDefault="001C3C96" w:rsidP="0051089F">
      <w:pPr>
        <w:rPr>
          <w:rFonts w:cs="B Nazanin"/>
          <w:color w:val="FF0000"/>
          <w:sz w:val="32"/>
          <w:szCs w:val="32"/>
          <w:rtl/>
        </w:rPr>
      </w:pPr>
      <w:bookmarkStart w:id="13" w:name="_Toc114878201"/>
      <w:bookmarkStart w:id="14" w:name="_Toc114878457"/>
      <w:bookmarkStart w:id="15" w:name="_Toc44902463"/>
      <w:r w:rsidRPr="0051089F">
        <w:rPr>
          <w:rFonts w:cs="B Nazanin"/>
          <w:color w:val="FF0000"/>
          <w:sz w:val="32"/>
          <w:szCs w:val="32"/>
          <w:rtl/>
        </w:rPr>
        <w:t xml:space="preserve"> 5. آگاهي بخشي سياسي به چهرهاي برجستة شيعه</w:t>
      </w:r>
      <w:bookmarkEnd w:id="13"/>
      <w:bookmarkEnd w:id="14"/>
      <w:bookmarkEnd w:id="15"/>
    </w:p>
    <w:p w14:paraId="35C276B7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>از ديگر فعاليت</w:t>
      </w:r>
      <w:r w:rsidRPr="0051089F">
        <w:rPr>
          <w:rFonts w:cs="B Nazanin"/>
          <w:spacing w:val="-6"/>
          <w:sz w:val="32"/>
          <w:szCs w:val="32"/>
          <w:rtl/>
        </w:rPr>
        <w:softHyphen/>
        <w:t>هاي سياسي امام عسكري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>، تقويت و توجيه سياسي رجال مهم شيعه، برابر فشارها و سختي</w:t>
      </w:r>
      <w:r w:rsidRPr="0051089F">
        <w:rPr>
          <w:rFonts w:cs="B Nazanin"/>
          <w:spacing w:val="-6"/>
          <w:sz w:val="32"/>
          <w:szCs w:val="32"/>
          <w:rtl/>
        </w:rPr>
        <w:softHyphen/>
        <w:t>هاي مبــارزات سيــاسي، بـراي حمايت از آرمان</w:t>
      </w:r>
      <w:r w:rsidRPr="0051089F">
        <w:rPr>
          <w:rFonts w:cs="B Nazanin"/>
          <w:spacing w:val="-6"/>
          <w:sz w:val="32"/>
          <w:szCs w:val="32"/>
          <w:rtl/>
        </w:rPr>
        <w:softHyphen/>
        <w:t>هاي بلند تشيّع بود. از آن‌جا كه شخصيت</w:t>
      </w:r>
      <w:r w:rsidRPr="0051089F">
        <w:rPr>
          <w:rFonts w:cs="B Nazanin"/>
          <w:spacing w:val="-6"/>
          <w:sz w:val="32"/>
          <w:szCs w:val="32"/>
          <w:rtl/>
        </w:rPr>
        <w:softHyphen/>
        <w:t>هاي بزرگ شيعه در فشار بيشتري بودند، امام به تناسب مورد، آنان را راهنمايي مي‏كرد و روحية آنان را بالا مي‏برد. همچنين مي‌کوشيد صبر و آگاهي آنان در برابر فشارها، تنگناها و تنگدستي‌ها فزوني يابد، تا بتوانند مسؤوليت بزرگ اجتماعي و سياسي و وظايف ديني خود را به خوبي انجام دهند.</w:t>
      </w:r>
    </w:p>
    <w:p w14:paraId="00511BB5" w14:textId="77777777" w:rsidR="001C3C96" w:rsidRPr="0051089F" w:rsidRDefault="001C3C96" w:rsidP="0051089F">
      <w:pPr>
        <w:rPr>
          <w:rFonts w:cs="B Nazanin"/>
          <w:color w:val="FF0000"/>
          <w:spacing w:val="-6"/>
          <w:sz w:val="32"/>
          <w:szCs w:val="32"/>
          <w:rtl/>
        </w:rPr>
      </w:pPr>
      <w:bookmarkStart w:id="16" w:name="_Toc114878202"/>
      <w:bookmarkStart w:id="17" w:name="_Toc114878458"/>
      <w:bookmarkStart w:id="18" w:name="_Toc44902464"/>
      <w:r w:rsidRPr="0051089F">
        <w:rPr>
          <w:rFonts w:cs="B Nazanin"/>
          <w:color w:val="FF0000"/>
          <w:sz w:val="32"/>
          <w:szCs w:val="32"/>
          <w:rtl/>
        </w:rPr>
        <w:t xml:space="preserve"> 6. </w:t>
      </w:r>
      <w:bookmarkStart w:id="19" w:name="_Toc114878203"/>
      <w:bookmarkStart w:id="20" w:name="_Toc114878459"/>
      <w:bookmarkStart w:id="21" w:name="_Toc44902465"/>
      <w:bookmarkEnd w:id="16"/>
      <w:bookmarkEnd w:id="17"/>
      <w:bookmarkEnd w:id="18"/>
      <w:r w:rsidRPr="0051089F">
        <w:rPr>
          <w:rFonts w:cs="B Nazanin"/>
          <w:color w:val="FF0000"/>
          <w:sz w:val="32"/>
          <w:szCs w:val="32"/>
          <w:rtl/>
        </w:rPr>
        <w:t>معرفي حضرت مهدي</w:t>
      </w:r>
      <w:r w:rsidR="00EA5F5E" w:rsidRPr="0051089F">
        <w:rPr>
          <w:rFonts w:cs="B Nazanin"/>
          <w:color w:val="FF0000"/>
          <w:sz w:val="32"/>
          <w:szCs w:val="32"/>
          <w:rtl/>
        </w:rPr>
        <w:t>(ع)</w:t>
      </w:r>
      <w:r w:rsidRPr="0051089F">
        <w:rPr>
          <w:rFonts w:cs="B Nazanin"/>
          <w:color w:val="FF0000"/>
          <w:sz w:val="32"/>
          <w:szCs w:val="32"/>
          <w:rtl/>
        </w:rPr>
        <w:t xml:space="preserve"> به عنوان جانشين</w:t>
      </w:r>
      <w:bookmarkEnd w:id="19"/>
      <w:bookmarkEnd w:id="20"/>
      <w:bookmarkEnd w:id="21"/>
    </w:p>
    <w:p w14:paraId="42A09E55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>يكي از مسؤوليت‌هــاي بزرگ امــام عسكري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>، معرّفي حضرت مهدي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به جانشيني خود بود. اين امــر، زماني سخت‌تر مي</w:t>
      </w:r>
      <w:r w:rsidRPr="0051089F">
        <w:rPr>
          <w:rFonts w:cs="B Nazanin"/>
          <w:spacing w:val="-6"/>
          <w:sz w:val="32"/>
          <w:szCs w:val="32"/>
          <w:rtl/>
        </w:rPr>
        <w:softHyphen/>
        <w:t>شد كه آن حضرت مي</w:t>
      </w:r>
      <w:r w:rsidRPr="0051089F">
        <w:rPr>
          <w:rFonts w:cs="B Nazanin"/>
          <w:spacing w:val="-6"/>
          <w:sz w:val="32"/>
          <w:szCs w:val="32"/>
          <w:rtl/>
        </w:rPr>
        <w:softHyphen/>
        <w:t xml:space="preserve">بايست بنا به دلايلي، فرزند خود را در پردة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6"/>
          <w:sz w:val="32"/>
          <w:szCs w:val="32"/>
          <w:rtl/>
        </w:rPr>
        <w:t xml:space="preserve">پنهان </w:t>
      </w:r>
      <w:r w:rsidRPr="0051089F">
        <w:rPr>
          <w:rFonts w:cs="B Nazanin"/>
          <w:spacing w:val="-6"/>
          <w:sz w:val="32"/>
          <w:szCs w:val="32"/>
          <w:rtl/>
        </w:rPr>
        <w:lastRenderedPageBreak/>
        <w:t>زيستي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6"/>
          <w:sz w:val="32"/>
          <w:szCs w:val="32"/>
          <w:rtl/>
        </w:rPr>
        <w:t xml:space="preserve"> نگه دارد، تا از گزند بدخواهان در امان بماند. با اين حــال در مــوارد فــراواني، بــه معرفي جانشين خود به افراد مورد اطمينان پرداخته است. </w:t>
      </w:r>
    </w:p>
    <w:p w14:paraId="26E709D5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 تعابيري كه امام يازدهم براي معرفي حضرت </w:t>
      </w:r>
      <w:r w:rsidR="00D84F6D" w:rsidRPr="0051089F">
        <w:rPr>
          <w:rFonts w:cs="B Nazanin"/>
          <w:spacing w:val="-6"/>
          <w:sz w:val="32"/>
          <w:szCs w:val="32"/>
          <w:rtl/>
        </w:rPr>
        <w:t>مهدي(عج)</w:t>
      </w:r>
      <w:r w:rsidRPr="0051089F">
        <w:rPr>
          <w:rFonts w:cs="B Nazanin"/>
          <w:spacing w:val="-6"/>
          <w:sz w:val="32"/>
          <w:szCs w:val="32"/>
          <w:rtl/>
        </w:rPr>
        <w:t xml:space="preserve"> به كار برده، بدين قرار است:</w:t>
      </w:r>
    </w:p>
    <w:p w14:paraId="08710846" w14:textId="77777777" w:rsidR="001C3C96" w:rsidRPr="0051089F" w:rsidRDefault="001C3C96" w:rsidP="0051089F">
      <w:pPr>
        <w:rPr>
          <w:rFonts w:cs="B Nazanin"/>
          <w:sz w:val="32"/>
          <w:szCs w:val="32"/>
          <w:rtl/>
        </w:rPr>
      </w:pPr>
      <w:r w:rsidRPr="0051089F">
        <w:rPr>
          <w:rFonts w:cs="B Nazanin"/>
          <w:sz w:val="32"/>
          <w:szCs w:val="32"/>
          <w:rtl/>
        </w:rPr>
        <w:t xml:space="preserve">ـ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Style w:val="Char2"/>
          <w:rFonts w:ascii="IRLotus" w:hAnsi="IRLotus" w:cs="B Nazanin"/>
          <w:sz w:val="32"/>
          <w:szCs w:val="32"/>
          <w:rtl/>
        </w:rPr>
        <w:t xml:space="preserve">هذا صاحبكم بعدي </w:t>
      </w:r>
      <w:r w:rsidRPr="0051089F">
        <w:rPr>
          <w:rStyle w:val="Char2"/>
          <w:rFonts w:ascii="Arial" w:hAnsi="Arial" w:cs="Arial" w:hint="cs"/>
          <w:sz w:val="32"/>
          <w:szCs w:val="32"/>
          <w:rtl/>
        </w:rPr>
        <w:t>…</w:t>
      </w:r>
      <w:r w:rsidRPr="0051089F">
        <w:rPr>
          <w:rFonts w:cs="B Nazanin"/>
          <w:sz w:val="32"/>
          <w:szCs w:val="32"/>
          <w:rtl/>
        </w:rPr>
        <w:t>؛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11"/>
      </w:r>
      <w:r w:rsidRPr="0051089F">
        <w:rPr>
          <w:rFonts w:cs="B Nazanin"/>
          <w:sz w:val="32"/>
          <w:szCs w:val="32"/>
          <w:rtl/>
        </w:rPr>
        <w:t xml:space="preserve"> اين، بعد از من صاحب شما است</w:t>
      </w:r>
      <w:r w:rsidRPr="0051089F">
        <w:rPr>
          <w:rFonts w:ascii="Arial" w:hAnsi="Arial" w:cs="Arial" w:hint="cs"/>
          <w:sz w:val="32"/>
          <w:szCs w:val="32"/>
          <w:rtl/>
        </w:rPr>
        <w:t>…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z w:val="32"/>
          <w:szCs w:val="32"/>
          <w:rtl/>
        </w:rPr>
        <w:t xml:space="preserve">. </w:t>
      </w:r>
    </w:p>
    <w:p w14:paraId="73571B60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ـ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Style w:val="Char2"/>
          <w:rFonts w:ascii="IRLotus" w:hAnsi="IRLotus" w:cs="B Nazanin"/>
          <w:sz w:val="32"/>
          <w:szCs w:val="32"/>
          <w:rtl/>
        </w:rPr>
        <w:t xml:space="preserve">ان ابني هو القائم من بعدي </w:t>
      </w:r>
      <w:r w:rsidRPr="0051089F">
        <w:rPr>
          <w:rStyle w:val="Char2"/>
          <w:rFonts w:ascii="Arial" w:hAnsi="Arial" w:cs="Arial" w:hint="cs"/>
          <w:sz w:val="32"/>
          <w:szCs w:val="32"/>
          <w:rtl/>
        </w:rPr>
        <w:t>…</w:t>
      </w:r>
      <w:r w:rsidRPr="0051089F">
        <w:rPr>
          <w:rFonts w:cs="B Nazanin"/>
          <w:spacing w:val="-6"/>
          <w:sz w:val="32"/>
          <w:szCs w:val="32"/>
          <w:rtl/>
        </w:rPr>
        <w:t xml:space="preserve"> ؛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12"/>
      </w:r>
      <w:r w:rsidRPr="0051089F">
        <w:rPr>
          <w:rFonts w:cs="B Nazanin"/>
          <w:spacing w:val="-6"/>
          <w:sz w:val="32"/>
          <w:szCs w:val="32"/>
          <w:rtl/>
        </w:rPr>
        <w:t xml:space="preserve"> </w:t>
      </w:r>
      <w:r w:rsidRPr="0051089F">
        <w:rPr>
          <w:rFonts w:cs="B Nazanin"/>
          <w:sz w:val="32"/>
          <w:szCs w:val="32"/>
          <w:rtl/>
        </w:rPr>
        <w:t>همانا فرزندم، قائم بعد از من است</w:t>
      </w:r>
      <w:r w:rsidRPr="0051089F">
        <w:rPr>
          <w:rFonts w:ascii="Arial" w:hAnsi="Arial" w:cs="Arial" w:hint="cs"/>
          <w:sz w:val="32"/>
          <w:szCs w:val="32"/>
          <w:rtl/>
        </w:rPr>
        <w:t>…</w:t>
      </w:r>
      <w:r w:rsidRPr="0051089F">
        <w:rPr>
          <w:rFonts w:cs="B Nazanin" w:hint="cs"/>
          <w:sz w:val="32"/>
          <w:szCs w:val="32"/>
          <w:rtl/>
        </w:rPr>
        <w:t>‌</w:t>
      </w:r>
      <w:r w:rsidRPr="0051089F">
        <w:rPr>
          <w:rFonts w:cs="B Nazanin"/>
          <w:sz w:val="32"/>
          <w:szCs w:val="32"/>
          <w:rtl/>
        </w:rPr>
        <w:t>.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z w:val="32"/>
          <w:szCs w:val="32"/>
          <w:rtl/>
        </w:rPr>
        <w:t xml:space="preserve"> </w:t>
      </w:r>
    </w:p>
    <w:p w14:paraId="6FC229AF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>ـ</w:t>
      </w:r>
      <w:r w:rsidRPr="0051089F">
        <w:rPr>
          <w:rStyle w:val="Char2"/>
          <w:rFonts w:ascii="IRLotus" w:hAnsi="IRLotus" w:cs="B Nazanin"/>
          <w:sz w:val="32"/>
          <w:szCs w:val="32"/>
          <w:rtl/>
        </w:rPr>
        <w:t xml:space="preserve">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Style w:val="Char2"/>
          <w:rFonts w:ascii="IRLotus" w:hAnsi="IRLotus" w:cs="B Nazanin"/>
          <w:sz w:val="32"/>
          <w:szCs w:val="32"/>
          <w:rtl/>
        </w:rPr>
        <w:t>هذا امامكم من بعدي و خليفتي عليكم</w:t>
      </w:r>
      <w:r w:rsidRPr="0051089F">
        <w:rPr>
          <w:rStyle w:val="Char2"/>
          <w:rFonts w:ascii="Arial" w:hAnsi="Arial" w:cs="Arial" w:hint="cs"/>
          <w:sz w:val="32"/>
          <w:szCs w:val="32"/>
          <w:rtl/>
        </w:rPr>
        <w:t>…</w:t>
      </w:r>
      <w:r w:rsidRPr="0051089F">
        <w:rPr>
          <w:rStyle w:val="Char2"/>
          <w:rFonts w:ascii="IRLotus" w:hAnsi="IRLotus" w:cs="B Nazanin"/>
          <w:sz w:val="32"/>
          <w:szCs w:val="32"/>
          <w:rtl/>
        </w:rPr>
        <w:t xml:space="preserve"> </w:t>
      </w:r>
      <w:r w:rsidRPr="0051089F">
        <w:rPr>
          <w:rFonts w:cs="B Nazanin"/>
          <w:spacing w:val="-6"/>
          <w:sz w:val="32"/>
          <w:szCs w:val="32"/>
          <w:rtl/>
        </w:rPr>
        <w:t>؛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13"/>
      </w:r>
      <w:r w:rsidRPr="0051089F">
        <w:rPr>
          <w:rFonts w:cs="B Nazanin"/>
          <w:sz w:val="32"/>
          <w:szCs w:val="32"/>
          <w:rtl/>
        </w:rPr>
        <w:t xml:space="preserve"> اين پيشواي شما پس از من و جانشين من بر شما است </w:t>
      </w:r>
      <w:r w:rsidRPr="0051089F">
        <w:rPr>
          <w:rFonts w:ascii="Arial" w:hAnsi="Arial" w:cs="Arial" w:hint="cs"/>
          <w:sz w:val="32"/>
          <w:szCs w:val="32"/>
          <w:rtl/>
        </w:rPr>
        <w:t>…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z w:val="32"/>
          <w:szCs w:val="32"/>
          <w:rtl/>
        </w:rPr>
        <w:t xml:space="preserve">. </w:t>
      </w:r>
    </w:p>
    <w:p w14:paraId="06C60980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ـ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Style w:val="Char2"/>
          <w:rFonts w:ascii="IRLotus" w:hAnsi="IRLotus" w:cs="B Nazanin"/>
          <w:sz w:val="32"/>
          <w:szCs w:val="32"/>
          <w:rtl/>
        </w:rPr>
        <w:t xml:space="preserve">ابني محمد هو الامام الحجة بعدي </w:t>
      </w:r>
      <w:r w:rsidRPr="0051089F">
        <w:rPr>
          <w:rStyle w:val="Char2"/>
          <w:rFonts w:ascii="Arial" w:hAnsi="Arial" w:cs="Arial" w:hint="cs"/>
          <w:sz w:val="32"/>
          <w:szCs w:val="32"/>
          <w:rtl/>
        </w:rPr>
        <w:t>…</w:t>
      </w:r>
      <w:r w:rsidRPr="0051089F">
        <w:rPr>
          <w:rFonts w:cs="B Nazanin"/>
          <w:spacing w:val="-6"/>
          <w:sz w:val="32"/>
          <w:szCs w:val="32"/>
          <w:rtl/>
        </w:rPr>
        <w:t>؛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14"/>
      </w:r>
      <w:r w:rsidRPr="0051089F">
        <w:rPr>
          <w:rFonts w:cs="B Nazanin"/>
          <w:spacing w:val="-6"/>
          <w:sz w:val="32"/>
          <w:szCs w:val="32"/>
          <w:rtl/>
        </w:rPr>
        <w:t xml:space="preserve"> </w:t>
      </w:r>
      <w:r w:rsidRPr="0051089F">
        <w:rPr>
          <w:rFonts w:cs="B Nazanin"/>
          <w:sz w:val="32"/>
          <w:szCs w:val="32"/>
          <w:rtl/>
        </w:rPr>
        <w:t>فرزندم محمد، همان امام و حجت پس از من است</w:t>
      </w:r>
      <w:r w:rsidRPr="0051089F">
        <w:rPr>
          <w:rFonts w:ascii="Arial" w:hAnsi="Arial" w:cs="Arial" w:hint="cs"/>
          <w:sz w:val="32"/>
          <w:szCs w:val="32"/>
          <w:rtl/>
        </w:rPr>
        <w:t>…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z w:val="32"/>
          <w:szCs w:val="32"/>
          <w:rtl/>
        </w:rPr>
        <w:t xml:space="preserve">. </w:t>
      </w:r>
    </w:p>
    <w:p w14:paraId="76672EC4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>و مواردي از اين دست كه در کتاب‌ها بدان اشاره شده است.</w:t>
      </w:r>
    </w:p>
    <w:p w14:paraId="6F7A090A" w14:textId="77777777" w:rsidR="001C3C96" w:rsidRPr="0051089F" w:rsidRDefault="00BD79E3" w:rsidP="0051089F">
      <w:pPr>
        <w:rPr>
          <w:rFonts w:cs="B Nazanin"/>
          <w:color w:val="FF0000"/>
          <w:sz w:val="32"/>
          <w:szCs w:val="32"/>
          <w:rtl/>
          <w:lang w:bidi="fa-IR"/>
        </w:rPr>
      </w:pPr>
      <w:bookmarkStart w:id="22" w:name="_Toc114878204"/>
      <w:bookmarkStart w:id="23" w:name="_Toc114878460"/>
      <w:bookmarkStart w:id="24" w:name="_Toc44902466"/>
      <w:r w:rsidRPr="0051089F">
        <w:rPr>
          <w:rFonts w:cs="B Nazanin"/>
          <w:color w:val="FF0000"/>
          <w:sz w:val="32"/>
          <w:szCs w:val="32"/>
          <w:rtl/>
        </w:rPr>
        <w:t>7</w:t>
      </w:r>
      <w:r w:rsidR="001C3C96" w:rsidRPr="0051089F">
        <w:rPr>
          <w:rFonts w:cs="B Nazanin"/>
          <w:color w:val="FF0000"/>
          <w:sz w:val="32"/>
          <w:szCs w:val="32"/>
          <w:rtl/>
        </w:rPr>
        <w:t xml:space="preserve">. آماده سازي شيعيان براي دوران غيبت امام </w:t>
      </w:r>
      <w:bookmarkEnd w:id="22"/>
      <w:bookmarkEnd w:id="23"/>
      <w:bookmarkEnd w:id="24"/>
      <w:r w:rsidR="00D84F6D" w:rsidRPr="0051089F">
        <w:rPr>
          <w:rFonts w:cs="B Nazanin"/>
          <w:color w:val="FF0000"/>
          <w:sz w:val="32"/>
          <w:szCs w:val="32"/>
          <w:rtl/>
        </w:rPr>
        <w:t>دوازدهم(ع)</w:t>
      </w:r>
      <w:r w:rsidR="001C3C96" w:rsidRPr="0051089F">
        <w:rPr>
          <w:rFonts w:cs="B Nazanin"/>
          <w:color w:val="FF0000"/>
          <w:sz w:val="32"/>
          <w:szCs w:val="32"/>
          <w:rtl/>
          <w:lang w:bidi="fa-IR"/>
        </w:rPr>
        <w:t xml:space="preserve"> </w:t>
      </w:r>
    </w:p>
    <w:p w14:paraId="37B9BDF1" w14:textId="77777777" w:rsidR="001C3C96" w:rsidRPr="0051089F" w:rsidRDefault="001C3C96" w:rsidP="0051089F">
      <w:pPr>
        <w:rPr>
          <w:rFonts w:cs="B Nazanin"/>
          <w:sz w:val="32"/>
          <w:szCs w:val="32"/>
          <w:rtl/>
          <w:lang w:bidi="fa-IR"/>
        </w:rPr>
      </w:pPr>
      <w:r w:rsidRPr="0051089F">
        <w:rPr>
          <w:rFonts w:cs="B Nazanin"/>
          <w:sz w:val="32"/>
          <w:szCs w:val="32"/>
          <w:rtl/>
        </w:rPr>
        <w:t xml:space="preserve">از آن‌جا كه پنهان شدن پيشوا و </w:t>
      </w:r>
      <w:r w:rsidRPr="0051089F">
        <w:rPr>
          <w:rFonts w:cs="B Nazanin"/>
          <w:spacing w:val="-10"/>
          <w:sz w:val="32"/>
          <w:szCs w:val="32"/>
          <w:rtl/>
        </w:rPr>
        <w:t>رهبر هر جمعيت، يك حادثه غير‌طبيعي</w:t>
      </w:r>
      <w:r w:rsidRPr="0051089F">
        <w:rPr>
          <w:rFonts w:cs="B Nazanin"/>
          <w:sz w:val="32"/>
          <w:szCs w:val="32"/>
          <w:rtl/>
        </w:rPr>
        <w:t xml:space="preserve"> و نامأنوس است و باور كردن آن و نيز تحمل مشكلات ناشي از آن، براي مردم دشوار است، </w:t>
      </w:r>
      <w:r w:rsidR="00D84F6D" w:rsidRPr="0051089F">
        <w:rPr>
          <w:rFonts w:cs="B Nazanin"/>
          <w:sz w:val="32"/>
          <w:szCs w:val="32"/>
          <w:rtl/>
        </w:rPr>
        <w:t>پيامبر اسلام(ص)</w:t>
      </w:r>
      <w:r w:rsidRPr="0051089F">
        <w:rPr>
          <w:rFonts w:cs="B Nazanin"/>
          <w:sz w:val="32"/>
          <w:szCs w:val="32"/>
          <w:rtl/>
        </w:rPr>
        <w:t xml:space="preserve">و امامان </w:t>
      </w:r>
      <w:r w:rsidR="00D84F6D" w:rsidRPr="0051089F">
        <w:rPr>
          <w:rFonts w:cs="B Nazanin"/>
          <w:sz w:val="32"/>
          <w:szCs w:val="32"/>
          <w:rtl/>
        </w:rPr>
        <w:t>پيشين</w:t>
      </w:r>
      <w:r w:rsidRPr="0051089F">
        <w:rPr>
          <w:rFonts w:cs="B Nazanin"/>
          <w:sz w:val="32"/>
          <w:szCs w:val="32"/>
          <w:rtl/>
        </w:rPr>
        <w:t>، به تدريج مردم را با اين موضوع آشنا ساخته، افكار را براي پذيرش آن آماده مي‏كردند.</w:t>
      </w:r>
    </w:p>
    <w:p w14:paraId="6BB8A362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 اين تلاش، در عصر امام هادي و </w:t>
      </w:r>
      <w:r w:rsidR="00D84F6D" w:rsidRPr="0051089F">
        <w:rPr>
          <w:rFonts w:cs="B Nazanin"/>
          <w:spacing w:val="-6"/>
          <w:sz w:val="32"/>
          <w:szCs w:val="32"/>
          <w:rtl/>
        </w:rPr>
        <w:t>عسکري(ع)</w:t>
      </w:r>
      <w:r w:rsidRPr="0051089F">
        <w:rPr>
          <w:rFonts w:cs="B Nazanin"/>
          <w:spacing w:val="-6"/>
          <w:sz w:val="32"/>
          <w:szCs w:val="32"/>
          <w:rtl/>
        </w:rPr>
        <w:t>، به صورت جدي‌تري به چشم مي‏خورد؛ چنان كه امام هادي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بعضي از كارها را به وسيلة نمايندگان انجام مي‏داد و خود كمتر با افراد تماس مي</w:t>
      </w:r>
      <w:r w:rsidRPr="0051089F">
        <w:rPr>
          <w:rFonts w:cs="B Nazanin"/>
          <w:spacing w:val="-6"/>
          <w:sz w:val="32"/>
          <w:szCs w:val="32"/>
          <w:rtl/>
        </w:rPr>
        <w:softHyphen/>
        <w:t>گرفت. اين امر در زمان امام عسكري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، جلوة بيشتري يافت؛ زيرا با وجود تأكيد بر تولد حضرت </w:t>
      </w:r>
      <w:r w:rsidR="00D84F6D" w:rsidRPr="0051089F">
        <w:rPr>
          <w:rFonts w:cs="B Nazanin"/>
          <w:spacing w:val="-6"/>
          <w:sz w:val="32"/>
          <w:szCs w:val="32"/>
          <w:rtl/>
        </w:rPr>
        <w:t>مهدي</w:t>
      </w:r>
      <w:r w:rsidR="00D84F6D" w:rsidRPr="0051089F">
        <w:rPr>
          <w:rFonts w:cs="B Nazanin" w:hint="cs"/>
          <w:spacing w:val="-6"/>
          <w:sz w:val="32"/>
          <w:szCs w:val="32"/>
          <w:rtl/>
        </w:rPr>
        <w:t>(عج)</w:t>
      </w:r>
      <w:r w:rsidRPr="0051089F">
        <w:rPr>
          <w:rFonts w:cs="B Nazanin"/>
          <w:spacing w:val="-6"/>
          <w:sz w:val="32"/>
          <w:szCs w:val="32"/>
          <w:rtl/>
        </w:rPr>
        <w:t>، او را فقط به شيعيان خاص و بسيار نزديك نشان مي</w:t>
      </w:r>
      <w:r w:rsidRPr="0051089F">
        <w:rPr>
          <w:rFonts w:cs="B Nazanin"/>
          <w:spacing w:val="-6"/>
          <w:sz w:val="32"/>
          <w:szCs w:val="32"/>
          <w:rtl/>
        </w:rPr>
        <w:softHyphen/>
        <w:t xml:space="preserve">داد. از سوي ديگر، تماس مستقيم شيعيان با خود آن حضرت نيز </w:t>
      </w:r>
      <w:r w:rsidR="00D84F6D" w:rsidRPr="0051089F">
        <w:rPr>
          <w:rFonts w:cs="B Nazanin"/>
          <w:spacing w:val="-6"/>
          <w:sz w:val="32"/>
          <w:szCs w:val="32"/>
          <w:rtl/>
        </w:rPr>
        <w:t>روز به روز محدودتر و كمتر مي‏شد</w:t>
      </w:r>
      <w:r w:rsidRPr="0051089F">
        <w:rPr>
          <w:rFonts w:cs="B Nazanin"/>
          <w:spacing w:val="-6"/>
          <w:sz w:val="32"/>
          <w:szCs w:val="32"/>
          <w:rtl/>
        </w:rPr>
        <w:t xml:space="preserve"> به گونه‌اي كه حتي در شهر سامرا از </w:t>
      </w:r>
      <w:r w:rsidR="00D84F6D" w:rsidRPr="0051089F">
        <w:rPr>
          <w:rFonts w:cs="B Nazanin"/>
          <w:spacing w:val="-6"/>
          <w:sz w:val="32"/>
          <w:szCs w:val="32"/>
          <w:rtl/>
        </w:rPr>
        <w:t>طريق نامه يا به وسيلة نمـايندگـ</w:t>
      </w:r>
      <w:r w:rsidRPr="0051089F">
        <w:rPr>
          <w:rFonts w:cs="B Nazanin"/>
          <w:spacing w:val="-6"/>
          <w:sz w:val="32"/>
          <w:szCs w:val="32"/>
          <w:rtl/>
        </w:rPr>
        <w:t>ان خويــش، بـه مردم پاسخ مي‏داد. بدين ترتيب، آنان را براي پذيرش اوضاع و شرايط عصر غيبت و ارتباط غير مستقيم با امام آماده مي‏ساخت. اين همان روشي است كه امام دوازدهم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در زمان غيبت صغرا در پيش گرفت و به تدريج شيعيان را براي دوران غيبت كبرا آماده ساخت.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15"/>
      </w:r>
    </w:p>
    <w:p w14:paraId="2560E8D4" w14:textId="77777777" w:rsidR="001C3C96" w:rsidRPr="000609C7" w:rsidRDefault="001C3C96" w:rsidP="0051089F">
      <w:pPr>
        <w:rPr>
          <w:rFonts w:cs="B Titr"/>
          <w:color w:val="FF0000"/>
          <w:sz w:val="32"/>
          <w:szCs w:val="32"/>
          <w:rtl/>
          <w:lang w:bidi="fa-IR"/>
        </w:rPr>
      </w:pPr>
      <w:bookmarkStart w:id="25" w:name="_Toc114878205"/>
      <w:bookmarkStart w:id="26" w:name="_Toc114878461"/>
      <w:bookmarkStart w:id="27" w:name="_Toc44902467"/>
      <w:r w:rsidRPr="000609C7">
        <w:rPr>
          <w:rFonts w:cs="B Titr"/>
          <w:color w:val="FF0000"/>
          <w:sz w:val="32"/>
          <w:szCs w:val="32"/>
          <w:rtl/>
        </w:rPr>
        <w:t>حوادث ناگوار پس از شهادت امام عسکري</w:t>
      </w:r>
      <w:bookmarkEnd w:id="25"/>
      <w:bookmarkEnd w:id="26"/>
      <w:bookmarkEnd w:id="27"/>
      <w:r w:rsidR="00EA5F5E" w:rsidRPr="000609C7">
        <w:rPr>
          <w:rFonts w:cs="B Titr"/>
          <w:color w:val="FF0000"/>
          <w:sz w:val="32"/>
          <w:szCs w:val="32"/>
          <w:rtl/>
        </w:rPr>
        <w:t>(ع)</w:t>
      </w:r>
    </w:p>
    <w:p w14:paraId="11D0DB2B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  <w:lang w:bidi="fa-IR"/>
        </w:rPr>
      </w:pPr>
      <w:r w:rsidRPr="0051089F">
        <w:rPr>
          <w:rFonts w:cs="B Nazanin"/>
          <w:spacing w:val="-6"/>
          <w:sz w:val="32"/>
          <w:szCs w:val="32"/>
          <w:rtl/>
        </w:rPr>
        <w:t>سوگمندانه پس از امام عسکري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>، پديده‌هاي ناگواري رخ داد که برخي بدين قرار است:</w:t>
      </w:r>
    </w:p>
    <w:p w14:paraId="1474C569" w14:textId="77777777" w:rsidR="001C3C96" w:rsidRPr="0051089F" w:rsidRDefault="001C3C96" w:rsidP="0051089F">
      <w:pPr>
        <w:rPr>
          <w:rStyle w:val="Char"/>
          <w:rFonts w:ascii="IRLotus" w:hAnsi="IRLotus"/>
          <w:sz w:val="32"/>
          <w:szCs w:val="32"/>
          <w:rtl/>
        </w:rPr>
      </w:pPr>
      <w:bookmarkStart w:id="28" w:name="_Toc114878206"/>
      <w:bookmarkStart w:id="29" w:name="_Toc114878462"/>
      <w:bookmarkStart w:id="30" w:name="_Toc44902468"/>
      <w:r w:rsidRPr="0051089F">
        <w:rPr>
          <w:rStyle w:val="Char"/>
          <w:rFonts w:ascii="IRLotus" w:hAnsi="IRLotus"/>
          <w:sz w:val="32"/>
          <w:szCs w:val="32"/>
          <w:rtl/>
        </w:rPr>
        <w:lastRenderedPageBreak/>
        <w:t>1. بازجويي حاكمان ستمگر از خانة آن حضرت، براي دستيابي به حضرت مهدي</w:t>
      </w:r>
      <w:r w:rsidR="00EA5F5E" w:rsidRPr="0051089F">
        <w:rPr>
          <w:rFonts w:cs="B Nazanin"/>
          <w:sz w:val="32"/>
          <w:szCs w:val="32"/>
          <w:rtl/>
        </w:rPr>
        <w:t>(ع)</w:t>
      </w:r>
      <w:bookmarkEnd w:id="28"/>
      <w:bookmarkEnd w:id="29"/>
      <w:bookmarkEnd w:id="30"/>
      <w:r w:rsidRPr="0051089F">
        <w:rPr>
          <w:rStyle w:val="StyleFootnoteReferenceComplexLotus14ptBoldCondensed1"/>
          <w:rFonts w:ascii="IRLotus" w:hAnsi="IRLotus" w:cs="B Nazanin"/>
          <w:sz w:val="32"/>
          <w:szCs w:val="32"/>
          <w:rtl/>
        </w:rPr>
        <w:footnoteReference w:id="16"/>
      </w:r>
    </w:p>
    <w:p w14:paraId="5EC5F6E1" w14:textId="77777777" w:rsidR="001C3C96" w:rsidRPr="0051089F" w:rsidRDefault="001C3C96" w:rsidP="0051089F">
      <w:pPr>
        <w:rPr>
          <w:rStyle w:val="Char"/>
          <w:rFonts w:ascii="IRLotus" w:hAnsi="IRLotus"/>
          <w:sz w:val="32"/>
          <w:szCs w:val="32"/>
          <w:rtl/>
        </w:rPr>
      </w:pPr>
      <w:bookmarkStart w:id="31" w:name="_Toc114878207"/>
      <w:bookmarkStart w:id="32" w:name="_Toc114878463"/>
      <w:bookmarkStart w:id="33" w:name="_Toc44902469"/>
      <w:r w:rsidRPr="0051089F">
        <w:rPr>
          <w:rStyle w:val="Char"/>
          <w:rFonts w:ascii="IRLotus" w:hAnsi="IRLotus"/>
          <w:sz w:val="32"/>
          <w:szCs w:val="32"/>
          <w:rtl/>
        </w:rPr>
        <w:t>2. برخورد جعفر کذّاب با مادر امام عسکري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Style w:val="Char"/>
          <w:rFonts w:ascii="IRLotus" w:hAnsi="IRLotus"/>
          <w:sz w:val="32"/>
          <w:szCs w:val="32"/>
          <w:rtl/>
        </w:rPr>
        <w:t xml:space="preserve"> بر سر ميراث</w:t>
      </w:r>
      <w:bookmarkEnd w:id="31"/>
      <w:bookmarkEnd w:id="32"/>
      <w:bookmarkEnd w:id="33"/>
    </w:p>
    <w:p w14:paraId="6B9CF63E" w14:textId="77777777" w:rsidR="001C3C96" w:rsidRPr="0051089F" w:rsidRDefault="001C3C96" w:rsidP="0051089F">
      <w:pPr>
        <w:rPr>
          <w:rStyle w:val="Char"/>
          <w:rFonts w:ascii="IRLotus" w:hAnsi="IRLotus"/>
          <w:sz w:val="32"/>
          <w:szCs w:val="32"/>
        </w:rPr>
      </w:pPr>
      <w:bookmarkStart w:id="34" w:name="_Toc114878209"/>
      <w:bookmarkStart w:id="35" w:name="_Toc114878465"/>
      <w:bookmarkStart w:id="36" w:name="_Toc44902471"/>
      <w:r w:rsidRPr="0051089F">
        <w:rPr>
          <w:rStyle w:val="Char"/>
          <w:rFonts w:ascii="IRLotus" w:hAnsi="IRLotus"/>
          <w:sz w:val="32"/>
          <w:szCs w:val="32"/>
          <w:rtl/>
        </w:rPr>
        <w:t>3. ترور، حبس، تهديد و اذيّت و آزار شيعيان</w:t>
      </w:r>
      <w:bookmarkEnd w:id="34"/>
      <w:bookmarkEnd w:id="35"/>
      <w:bookmarkEnd w:id="36"/>
    </w:p>
    <w:p w14:paraId="7F9FA6ED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 شيخ مفيد، تهديدات بر ضد شيعه پس از شهادت امام عسكري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را يکي از تلخ‌ترين فرازهاي تاريخ تشيّع ياد کرده است.</w:t>
      </w:r>
      <w:r w:rsidRPr="0051089F">
        <w:rPr>
          <w:rStyle w:val="StyleFootnoteReferenceComplexLotus14ptCondensedby0"/>
          <w:rFonts w:ascii="IRLotus" w:hAnsi="IRLotus" w:cs="B Nazanin"/>
          <w:sz w:val="32"/>
          <w:szCs w:val="32"/>
          <w:rtl/>
        </w:rPr>
        <w:footnoteReference w:id="17"/>
      </w:r>
    </w:p>
    <w:p w14:paraId="2AD3BC6C" w14:textId="77777777" w:rsidR="001C3C96" w:rsidRPr="0051089F" w:rsidRDefault="001C3C96" w:rsidP="0051089F">
      <w:pPr>
        <w:rPr>
          <w:rStyle w:val="Char"/>
          <w:rFonts w:ascii="IRLotus" w:hAnsi="IRLotus"/>
          <w:spacing w:val="-6"/>
          <w:sz w:val="32"/>
          <w:szCs w:val="32"/>
        </w:rPr>
      </w:pPr>
      <w:bookmarkStart w:id="37" w:name="_Toc114878210"/>
      <w:bookmarkStart w:id="38" w:name="_Toc114878466"/>
      <w:bookmarkStart w:id="39" w:name="_Toc44902472"/>
      <w:r w:rsidRPr="0051089F">
        <w:rPr>
          <w:rStyle w:val="Char"/>
          <w:rFonts w:ascii="IRLotus" w:hAnsi="IRLotus"/>
          <w:spacing w:val="-6"/>
          <w:sz w:val="32"/>
          <w:szCs w:val="32"/>
          <w:rtl/>
        </w:rPr>
        <w:t>4. اختلاف و چند دستگي بين شيعيان</w:t>
      </w:r>
      <w:bookmarkEnd w:id="37"/>
      <w:bookmarkEnd w:id="38"/>
      <w:bookmarkEnd w:id="39"/>
    </w:p>
    <w:p w14:paraId="17F04B7C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 xml:space="preserve"> يکي از حادثه‌هاي کمرشکن پس از شهادت امام عسکري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>، تفرقه‌اي بود که در ميان برخي از شيعيان پديد آمد و آن‌ها را از يکپارچگي خارج كرد. البته اين تفرق پيش از آن، از سوي امام عسکري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پيش‌بيني شده بود. ابوغانم مي‌گويد: از امام عسکري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Fonts w:cs="B Nazanin"/>
          <w:spacing w:val="-6"/>
          <w:sz w:val="32"/>
          <w:szCs w:val="32"/>
          <w:rtl/>
        </w:rPr>
        <w:t xml:space="preserve"> شنيدم که مي‌فرمود: 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«</w:t>
      </w:r>
      <w:r w:rsidRPr="0051089F">
        <w:rPr>
          <w:rFonts w:cs="B Nazanin"/>
          <w:spacing w:val="-6"/>
          <w:sz w:val="32"/>
          <w:szCs w:val="32"/>
          <w:rtl/>
        </w:rPr>
        <w:t>در سال 260 پيروانم فرقه فرقه مي‌شوند.</w:t>
      </w:r>
      <w:r w:rsidRPr="0051089F">
        <w:rPr>
          <w:rStyle w:val="Char10"/>
          <w:rFonts w:ascii="IRLotus" w:hAnsi="IRLotus" w:cs="B Nazanin"/>
          <w:sz w:val="32"/>
          <w:szCs w:val="32"/>
          <w:rtl/>
        </w:rPr>
        <w:t>»</w:t>
      </w:r>
      <w:r w:rsidRPr="0051089F">
        <w:rPr>
          <w:rFonts w:cs="B Nazanin"/>
          <w:spacing w:val="-6"/>
          <w:sz w:val="32"/>
          <w:szCs w:val="32"/>
          <w:rtl/>
        </w:rPr>
        <w:t xml:space="preserve"> </w:t>
      </w:r>
    </w:p>
    <w:p w14:paraId="788C9C20" w14:textId="77777777" w:rsidR="001C3C96" w:rsidRPr="0051089F" w:rsidRDefault="001C3C96" w:rsidP="0051089F">
      <w:pPr>
        <w:rPr>
          <w:rFonts w:cs="B Nazanin"/>
          <w:spacing w:val="-6"/>
          <w:sz w:val="32"/>
          <w:szCs w:val="32"/>
          <w:rtl/>
        </w:rPr>
      </w:pPr>
      <w:r w:rsidRPr="0051089F">
        <w:rPr>
          <w:rFonts w:cs="B Nazanin"/>
          <w:spacing w:val="-6"/>
          <w:sz w:val="32"/>
          <w:szCs w:val="32"/>
          <w:rtl/>
        </w:rPr>
        <w:t>آن گاه در ادامه ابوغانم مي</w:t>
      </w:r>
      <w:r w:rsidRPr="0051089F">
        <w:rPr>
          <w:rFonts w:cs="B Nazanin"/>
          <w:spacing w:val="-6"/>
          <w:sz w:val="32"/>
          <w:szCs w:val="32"/>
          <w:rtl/>
        </w:rPr>
        <w:softHyphen/>
        <w:t xml:space="preserve">گويد: </w:t>
      </w:r>
    </w:p>
    <w:p w14:paraId="454E6DC9" w14:textId="77777777" w:rsidR="001C3C96" w:rsidRPr="0051089F" w:rsidRDefault="001C3C96" w:rsidP="0051089F">
      <w:pPr>
        <w:rPr>
          <w:rStyle w:val="Char"/>
          <w:rFonts w:ascii="IRLotus" w:hAnsi="IRLotus"/>
          <w:sz w:val="32"/>
          <w:szCs w:val="32"/>
          <w:rtl/>
        </w:rPr>
      </w:pPr>
      <w:r w:rsidRPr="0051089F">
        <w:rPr>
          <w:rStyle w:val="Char"/>
          <w:rFonts w:ascii="IRLotus" w:hAnsi="IRLotus"/>
          <w:sz w:val="32"/>
          <w:szCs w:val="32"/>
          <w:rtl/>
        </w:rPr>
        <w:t>در آن سال امام عسکري</w:t>
      </w:r>
      <w:r w:rsidR="00EA5F5E" w:rsidRPr="0051089F">
        <w:rPr>
          <w:rFonts w:cs="B Nazanin"/>
          <w:sz w:val="32"/>
          <w:szCs w:val="32"/>
          <w:rtl/>
        </w:rPr>
        <w:t>(ع)</w:t>
      </w:r>
      <w:r w:rsidRPr="0051089F">
        <w:rPr>
          <w:rStyle w:val="Char"/>
          <w:rFonts w:ascii="IRLotus" w:hAnsi="IRLotus"/>
          <w:sz w:val="32"/>
          <w:szCs w:val="32"/>
          <w:rtl/>
        </w:rPr>
        <w:t xml:space="preserve"> رحلت فرمود و پيروان و يارانش متفرق شدند</w:t>
      </w:r>
      <w:r w:rsidR="00D84F6D" w:rsidRPr="0051089F">
        <w:rPr>
          <w:rStyle w:val="Char"/>
          <w:rFonts w:ascii="IRLotus" w:hAnsi="IRLotus" w:hint="cs"/>
          <w:sz w:val="32"/>
          <w:szCs w:val="32"/>
          <w:rtl/>
        </w:rPr>
        <w:t>،</w:t>
      </w:r>
      <w:r w:rsidRPr="0051089F">
        <w:rPr>
          <w:rStyle w:val="Char"/>
          <w:rFonts w:ascii="IRLotus" w:hAnsi="IRLotus"/>
          <w:sz w:val="32"/>
          <w:szCs w:val="32"/>
          <w:rtl/>
        </w:rPr>
        <w:t xml:space="preserve"> دسته‌اي خود را منتسب به جعفر ـ پسر امام دهم ـ کردند، گروهي سرگردان شدند، عده</w:t>
      </w:r>
      <w:r w:rsidRPr="0051089F">
        <w:rPr>
          <w:rStyle w:val="Char"/>
          <w:rFonts w:ascii="IRLotus" w:hAnsi="IRLotus"/>
          <w:sz w:val="32"/>
          <w:szCs w:val="32"/>
          <w:rtl/>
        </w:rPr>
        <w:softHyphen/>
        <w:t xml:space="preserve">اي به شک افتـادند، دستــه‌اي در حــالت سرگرداني ايستادند و جمعي ديگر به توفيق </w:t>
      </w:r>
      <w:r w:rsidR="00D84F6D" w:rsidRPr="0051089F">
        <w:rPr>
          <w:rStyle w:val="Char"/>
          <w:rFonts w:ascii="IRLotus" w:hAnsi="IRLotus"/>
          <w:sz w:val="32"/>
          <w:szCs w:val="32"/>
          <w:rtl/>
        </w:rPr>
        <w:t>خداي</w:t>
      </w:r>
      <w:r w:rsidRPr="0051089F">
        <w:rPr>
          <w:rStyle w:val="Char"/>
          <w:rFonts w:ascii="IRLotus" w:hAnsi="IRLotus"/>
          <w:sz w:val="32"/>
          <w:szCs w:val="32"/>
          <w:rtl/>
        </w:rPr>
        <w:t xml:space="preserve"> بر دين خود ثابت ماندند.</w:t>
      </w:r>
      <w:r w:rsidRPr="0051089F">
        <w:rPr>
          <w:rStyle w:val="StyleFootnoteReferenceComplexLotus14ptBoldCondensed1"/>
          <w:rFonts w:ascii="IRLotus" w:hAnsi="IRLotus" w:cs="B Nazanin"/>
          <w:sz w:val="32"/>
          <w:szCs w:val="32"/>
          <w:rtl/>
        </w:rPr>
        <w:footnoteReference w:id="18"/>
      </w:r>
      <w:r w:rsidRPr="0051089F">
        <w:rPr>
          <w:rStyle w:val="Char"/>
          <w:rFonts w:ascii="IRLotus" w:hAnsi="IRLotus"/>
          <w:sz w:val="32"/>
          <w:szCs w:val="32"/>
          <w:rtl/>
        </w:rPr>
        <w:t xml:space="preserve"> </w:t>
      </w:r>
    </w:p>
    <w:p w14:paraId="6CD6A317" w14:textId="77777777" w:rsidR="005E4D39" w:rsidRPr="0051089F" w:rsidRDefault="005E4D39" w:rsidP="0051089F">
      <w:pPr>
        <w:rPr>
          <w:rFonts w:cs="B Nazanin"/>
          <w:sz w:val="32"/>
          <w:szCs w:val="32"/>
        </w:rPr>
      </w:pPr>
    </w:p>
    <w:sectPr w:rsidR="005E4D39" w:rsidRPr="0051089F" w:rsidSect="001217E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9152" w14:textId="77777777" w:rsidR="000362DE" w:rsidRDefault="000362DE" w:rsidP="001C3C96">
      <w:r>
        <w:separator/>
      </w:r>
    </w:p>
  </w:endnote>
  <w:endnote w:type="continuationSeparator" w:id="0">
    <w:p w14:paraId="6EA7FA74" w14:textId="77777777" w:rsidR="000362DE" w:rsidRDefault="000362DE" w:rsidP="001C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RSAMI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aem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FDB0" w14:textId="77777777" w:rsidR="000362DE" w:rsidRDefault="000362DE" w:rsidP="001C3C96">
      <w:r>
        <w:separator/>
      </w:r>
    </w:p>
  </w:footnote>
  <w:footnote w:type="continuationSeparator" w:id="0">
    <w:p w14:paraId="7DAE9B64" w14:textId="77777777" w:rsidR="000362DE" w:rsidRDefault="000362DE" w:rsidP="001C3C96">
      <w:r>
        <w:continuationSeparator/>
      </w:r>
    </w:p>
  </w:footnote>
  <w:footnote w:id="1">
    <w:p w14:paraId="6D3A90A2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الکافي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ج1، ص503.</w:t>
      </w:r>
    </w:p>
  </w:footnote>
  <w:footnote w:id="2">
    <w:p w14:paraId="7ACB813F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علل الشرايع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ج1، باب176، ص230.</w:t>
      </w:r>
    </w:p>
  </w:footnote>
  <w:footnote w:id="3">
    <w:p w14:paraId="6C2A4B64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التهذيب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، ج6، ص92. </w:t>
      </w:r>
      <w:r w:rsidRPr="0051089F">
        <w:rPr>
          <w:rFonts w:ascii="Arabic Typesetting" w:hAnsi="Arabic Typesetting" w:cs="Arabic Typesetting"/>
          <w:iCs/>
          <w:sz w:val="20"/>
          <w:szCs w:val="20"/>
          <w:rtl/>
        </w:rPr>
        <w:t>سيرة پيشوايان</w:t>
      </w:r>
      <w:r w:rsidRPr="0051089F">
        <w:rPr>
          <w:rFonts w:ascii="Arabic Typesetting" w:hAnsi="Arabic Typesetting" w:cs="Arabic Typesetting"/>
          <w:sz w:val="20"/>
          <w:szCs w:val="20"/>
        </w:rPr>
        <w:sym w:font="Alaem" w:char="F03A"/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ص615.</w:t>
      </w:r>
    </w:p>
  </w:footnote>
  <w:footnote w:id="4">
    <w:p w14:paraId="2D9B1EC2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کمال الدين و تمام النعمة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ج1، مقدمه.</w:t>
      </w:r>
    </w:p>
  </w:footnote>
  <w:footnote w:id="5">
    <w:p w14:paraId="32F7D3D1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الارشاد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ص346.</w:t>
      </w:r>
    </w:p>
  </w:footnote>
  <w:footnote w:id="6">
    <w:p w14:paraId="6885BC82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  <w:rtl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رجال الطوسي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ص427 به بعد.</w:t>
      </w:r>
    </w:p>
  </w:footnote>
  <w:footnote w:id="7">
    <w:p w14:paraId="6D9DC148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حياة الامام العسكري</w:t>
      </w:r>
      <w:r w:rsidR="0051089F">
        <w:rPr>
          <w:rFonts w:ascii="Arabic Typesetting" w:hAnsi="Arabic Typesetting" w:cs="Arabic Typesetting" w:hint="cs"/>
          <w:sz w:val="20"/>
          <w:szCs w:val="20"/>
          <w:rtl/>
        </w:rPr>
        <w:t>(ع)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،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 ص333.</w:t>
      </w:r>
    </w:p>
  </w:footnote>
  <w:footnote w:id="8">
    <w:p w14:paraId="580CE33D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تحف العقول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ص486.</w:t>
      </w:r>
    </w:p>
  </w:footnote>
  <w:footnote w:id="9">
    <w:p w14:paraId="01766D36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  <w:rtl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كتاب الغيبة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ص214.</w:t>
      </w:r>
    </w:p>
  </w:footnote>
  <w:footnote w:id="10">
    <w:p w14:paraId="3748601F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الارشاد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، ص343؛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الكافي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ج‏1، ص508.</w:t>
      </w:r>
    </w:p>
  </w:footnote>
  <w:footnote w:id="11">
    <w:p w14:paraId="6E9C653E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  <w:rtl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الارشاد</w:t>
      </w:r>
      <w:r w:rsidRPr="0051089F">
        <w:rPr>
          <w:rFonts w:ascii="Arabic Typesetting" w:hAnsi="Arabic Typesetting" w:cs="Arabic Typesetting"/>
          <w:i/>
          <w:sz w:val="20"/>
          <w:szCs w:val="20"/>
          <w:rtl/>
        </w:rPr>
        <w:t>،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 ج2، ص348.</w:t>
      </w:r>
    </w:p>
  </w:footnote>
  <w:footnote w:id="12">
    <w:p w14:paraId="00E4FAFB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  <w:rtl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کمال الدين و تمام النعمة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ج2، ص524، ح4.</w:t>
      </w:r>
    </w:p>
  </w:footnote>
  <w:footnote w:id="13">
    <w:p w14:paraId="6B7D219C" w14:textId="77777777" w:rsidR="001C3C96" w:rsidRPr="0051089F" w:rsidRDefault="001C3C96" w:rsidP="001C3C96">
      <w:pPr>
        <w:pStyle w:val="a0"/>
        <w:rPr>
          <w:rFonts w:ascii="Arabic Typesetting" w:hAnsi="Arabic Typesetting" w:cs="Arabic Typesetting"/>
          <w:sz w:val="20"/>
          <w:szCs w:val="20"/>
          <w:rtl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>. همان، ص435، ح2.</w:t>
      </w:r>
    </w:p>
  </w:footnote>
  <w:footnote w:id="14">
    <w:p w14:paraId="3A7F40E1" w14:textId="77777777" w:rsidR="001C3C96" w:rsidRPr="0051089F" w:rsidRDefault="001C3C96" w:rsidP="001C3C96">
      <w:pPr>
        <w:pStyle w:val="a0"/>
        <w:rPr>
          <w:rFonts w:ascii="Arabic Typesetting" w:hAnsi="Arabic Typesetting" w:cs="Arabic Typesetting"/>
          <w:sz w:val="20"/>
          <w:szCs w:val="20"/>
          <w:rtl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>. همان، ص409، ح9.</w:t>
      </w:r>
    </w:p>
  </w:footnote>
  <w:footnote w:id="15">
    <w:p w14:paraId="3EE8C9A3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با استفاده از: مهدي پيشوايي،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سيره پيشوايان</w:t>
      </w:r>
      <w:r w:rsidR="0051089F">
        <w:rPr>
          <w:rFonts w:ascii="Arabic Typesetting" w:hAnsi="Arabic Typesetting" w:cs="Arabic Typesetting" w:hint="cs"/>
          <w:sz w:val="20"/>
          <w:szCs w:val="20"/>
          <w:rtl/>
        </w:rPr>
        <w:t>(ع)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ص615 ـ 662.</w:t>
      </w:r>
    </w:p>
  </w:footnote>
  <w:footnote w:id="16">
    <w:p w14:paraId="038C3A26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الکافي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، ج1، ص505؛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کمال الدين و تمام النعمه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ج1، ص43.</w:t>
      </w:r>
    </w:p>
  </w:footnote>
  <w:footnote w:id="17">
    <w:p w14:paraId="359F85AB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الارشاد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ص325؛</w:t>
      </w:r>
      <w:r w:rsidRPr="0051089F">
        <w:rPr>
          <w:rFonts w:ascii="Arabic Typesetting" w:hAnsi="Arabic Typesetting" w:cs="Arabic Typesetting"/>
          <w:i/>
          <w:sz w:val="20"/>
          <w:szCs w:val="20"/>
          <w:rtl/>
        </w:rPr>
        <w:t xml:space="preserve">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بحار الانوار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ج50، ص334.</w:t>
      </w:r>
    </w:p>
  </w:footnote>
  <w:footnote w:id="18">
    <w:p w14:paraId="43D7BDFF" w14:textId="77777777" w:rsidR="001C3C96" w:rsidRPr="0051089F" w:rsidRDefault="001C3C96" w:rsidP="0051089F">
      <w:pPr>
        <w:pStyle w:val="a0"/>
        <w:rPr>
          <w:rFonts w:ascii="Arabic Typesetting" w:hAnsi="Arabic Typesetting" w:cs="Arabic Typesetting"/>
          <w:sz w:val="20"/>
          <w:szCs w:val="20"/>
          <w:rtl/>
        </w:rPr>
      </w:pPr>
      <w:r w:rsidRPr="0051089F">
        <w:rPr>
          <w:rFonts w:ascii="Arabic Typesetting" w:hAnsi="Arabic Typesetting" w:cs="Arabic Typesetting"/>
          <w:sz w:val="20"/>
          <w:szCs w:val="20"/>
        </w:rPr>
        <w:footnoteRef/>
      </w:r>
      <w:r w:rsidRPr="0051089F">
        <w:rPr>
          <w:rFonts w:ascii="Arabic Typesetting" w:hAnsi="Arabic Typesetting" w:cs="Arabic Typesetting"/>
          <w:sz w:val="20"/>
          <w:szCs w:val="20"/>
          <w:rtl/>
        </w:rPr>
        <w:t xml:space="preserve">. </w:t>
      </w:r>
      <w:r w:rsidRPr="0051089F">
        <w:rPr>
          <w:rStyle w:val="Char1"/>
          <w:rFonts w:ascii="Arabic Typesetting" w:hAnsi="Arabic Typesetting" w:cs="Arabic Typesetting"/>
          <w:sz w:val="20"/>
          <w:szCs w:val="20"/>
          <w:rtl/>
        </w:rPr>
        <w:t>کمال الدين و تمام النعمة</w:t>
      </w:r>
      <w:r w:rsidRPr="0051089F">
        <w:rPr>
          <w:rFonts w:ascii="Arabic Typesetting" w:hAnsi="Arabic Typesetting" w:cs="Arabic Typesetting"/>
          <w:sz w:val="20"/>
          <w:szCs w:val="20"/>
          <w:rtl/>
        </w:rPr>
        <w:t>، ج2، ص408، ح6.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DF20" w14:textId="77777777" w:rsidR="001C3C96" w:rsidRPr="00140667" w:rsidRDefault="001C3C96" w:rsidP="00C43850">
    <w:pPr>
      <w:pStyle w:val="Header"/>
      <w:framePr w:wrap="around" w:vAnchor="text" w:hAnchor="margin" w:xAlign="inside" w:y="1"/>
      <w:rPr>
        <w:rFonts w:cs="B Nazanin"/>
        <w:sz w:val="16"/>
        <w:szCs w:val="18"/>
      </w:rPr>
    </w:pPr>
    <w:r w:rsidRPr="00140667">
      <w:rPr>
        <w:rFonts w:cs="B Nazanin"/>
        <w:sz w:val="16"/>
        <w:szCs w:val="18"/>
        <w:rtl/>
      </w:rPr>
      <w:fldChar w:fldCharType="begin"/>
    </w:r>
    <w:r w:rsidRPr="00140667">
      <w:rPr>
        <w:rFonts w:cs="B Nazanin"/>
        <w:sz w:val="16"/>
        <w:szCs w:val="18"/>
      </w:rPr>
      <w:instrText xml:space="preserve">PAGE  </w:instrText>
    </w:r>
    <w:r w:rsidRPr="00140667">
      <w:rPr>
        <w:rFonts w:cs="B Nazanin"/>
        <w:sz w:val="16"/>
        <w:szCs w:val="18"/>
        <w:rtl/>
      </w:rPr>
      <w:fldChar w:fldCharType="separate"/>
    </w:r>
    <w:r w:rsidR="005D5CF3">
      <w:rPr>
        <w:rFonts w:cs="B Nazanin"/>
        <w:noProof/>
        <w:sz w:val="16"/>
        <w:szCs w:val="18"/>
        <w:rtl/>
      </w:rPr>
      <w:t>5</w:t>
    </w:r>
    <w:r w:rsidRPr="00140667">
      <w:rPr>
        <w:rFonts w:cs="B Nazanin"/>
        <w:sz w:val="16"/>
        <w:szCs w:val="18"/>
        <w:rtl/>
      </w:rPr>
      <w:fldChar w:fldCharType="end"/>
    </w:r>
  </w:p>
  <w:p w14:paraId="5341C11D" w14:textId="77777777" w:rsidR="001C3C96" w:rsidRPr="00140667" w:rsidRDefault="001C3C96" w:rsidP="00596D16">
    <w:pPr>
      <w:pStyle w:val="Header"/>
      <w:pBdr>
        <w:bottom w:val="single" w:sz="4" w:space="1" w:color="auto"/>
      </w:pBdr>
      <w:spacing w:line="216" w:lineRule="auto"/>
      <w:jc w:val="left"/>
      <w:rPr>
        <w:rFonts w:cs="B Nazanin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2863"/>
    <w:multiLevelType w:val="hybridMultilevel"/>
    <w:tmpl w:val="11FEA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C96"/>
    <w:rsid w:val="000362DE"/>
    <w:rsid w:val="000609C7"/>
    <w:rsid w:val="001217EB"/>
    <w:rsid w:val="001C3C96"/>
    <w:rsid w:val="0051089F"/>
    <w:rsid w:val="005D5CF3"/>
    <w:rsid w:val="005E4D39"/>
    <w:rsid w:val="005F5718"/>
    <w:rsid w:val="007E5E1B"/>
    <w:rsid w:val="008D2C68"/>
    <w:rsid w:val="00A10F40"/>
    <w:rsid w:val="00AB38BA"/>
    <w:rsid w:val="00AC1966"/>
    <w:rsid w:val="00BD79E3"/>
    <w:rsid w:val="00C36771"/>
    <w:rsid w:val="00D0469F"/>
    <w:rsid w:val="00D84F6D"/>
    <w:rsid w:val="00DD31DF"/>
    <w:rsid w:val="00E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2F53"/>
  <w15:docId w15:val="{4C4C0AA6-C1ED-4A57-81D8-F0967361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basedOn w:val="Normal"/>
    <w:link w:val="Char"/>
    <w:rsid w:val="001C3C96"/>
    <w:pPr>
      <w:widowControl w:val="0"/>
      <w:spacing w:after="60" w:line="209" w:lineRule="auto"/>
      <w:ind w:firstLine="170"/>
      <w:contextualSpacing/>
      <w:jc w:val="both"/>
    </w:pPr>
    <w:rPr>
      <w:rFonts w:cs="B Nazanin"/>
      <w:sz w:val="21"/>
      <w:szCs w:val="25"/>
    </w:rPr>
  </w:style>
  <w:style w:type="character" w:customStyle="1" w:styleId="Char">
    <w:name w:val="متن Char"/>
    <w:basedOn w:val="DefaultParagraphFont"/>
    <w:link w:val="a"/>
    <w:rsid w:val="001C3C96"/>
    <w:rPr>
      <w:rFonts w:ascii="Times New Roman" w:eastAsia="Times New Roman" w:hAnsi="Times New Roman" w:cs="B Nazanin"/>
      <w:sz w:val="21"/>
      <w:szCs w:val="25"/>
    </w:rPr>
  </w:style>
  <w:style w:type="paragraph" w:customStyle="1" w:styleId="a0">
    <w:name w:val="پاورقي"/>
    <w:basedOn w:val="FootnoteText"/>
    <w:link w:val="Char0"/>
    <w:rsid w:val="001C3C96"/>
    <w:pPr>
      <w:widowControl w:val="0"/>
      <w:spacing w:line="190" w:lineRule="auto"/>
      <w:jc w:val="both"/>
    </w:pPr>
    <w:rPr>
      <w:rFonts w:cs="PARSAMIT"/>
      <w:sz w:val="18"/>
      <w:szCs w:val="21"/>
      <w:lang w:bidi="fa-IR"/>
    </w:rPr>
  </w:style>
  <w:style w:type="character" w:customStyle="1" w:styleId="Char0">
    <w:name w:val="پاورقي Char"/>
    <w:basedOn w:val="DefaultParagraphFont"/>
    <w:link w:val="a0"/>
    <w:rsid w:val="001C3C96"/>
    <w:rPr>
      <w:rFonts w:ascii="Times New Roman" w:eastAsia="Times New Roman" w:hAnsi="Times New Roman" w:cs="PARSAMIT"/>
      <w:sz w:val="18"/>
      <w:szCs w:val="21"/>
      <w:lang w:bidi="fa-IR"/>
    </w:rPr>
  </w:style>
  <w:style w:type="paragraph" w:customStyle="1" w:styleId="22">
    <w:name w:val="22"/>
    <w:basedOn w:val="a"/>
    <w:link w:val="22Char"/>
    <w:rsid w:val="001C3C96"/>
    <w:pPr>
      <w:keepNext/>
      <w:spacing w:before="300"/>
      <w:ind w:firstLine="0"/>
      <w:contextualSpacing w:val="0"/>
      <w:jc w:val="left"/>
    </w:pPr>
    <w:rPr>
      <w:rFonts w:cs="B Mitra"/>
      <w:bCs/>
      <w:szCs w:val="24"/>
    </w:rPr>
  </w:style>
  <w:style w:type="paragraph" w:customStyle="1" w:styleId="a1">
    <w:name w:val="دفتر"/>
    <w:basedOn w:val="a0"/>
    <w:link w:val="Char1"/>
    <w:rsid w:val="001C3C96"/>
    <w:rPr>
      <w:bCs/>
      <w:iCs/>
      <w:szCs w:val="16"/>
    </w:rPr>
  </w:style>
  <w:style w:type="character" w:customStyle="1" w:styleId="Char1">
    <w:name w:val="دفتر Char"/>
    <w:basedOn w:val="Char0"/>
    <w:link w:val="a1"/>
    <w:rsid w:val="001C3C96"/>
    <w:rPr>
      <w:rFonts w:ascii="Times New Roman" w:eastAsia="Times New Roman" w:hAnsi="Times New Roman" w:cs="PARSAMIT"/>
      <w:bCs/>
      <w:iCs/>
      <w:sz w:val="18"/>
      <w:szCs w:val="16"/>
      <w:lang w:bidi="fa-IR"/>
    </w:rPr>
  </w:style>
  <w:style w:type="paragraph" w:customStyle="1" w:styleId="33">
    <w:name w:val="33"/>
    <w:basedOn w:val="22"/>
    <w:rsid w:val="001C3C96"/>
    <w:pPr>
      <w:widowControl/>
      <w:spacing w:before="120" w:after="0"/>
    </w:pPr>
    <w:rPr>
      <w:sz w:val="20"/>
      <w:szCs w:val="21"/>
    </w:rPr>
  </w:style>
  <w:style w:type="paragraph" w:styleId="Header">
    <w:name w:val="header"/>
    <w:basedOn w:val="Normal"/>
    <w:link w:val="HeaderChar"/>
    <w:rsid w:val="001C3C96"/>
    <w:pPr>
      <w:tabs>
        <w:tab w:val="center" w:pos="4153"/>
        <w:tab w:val="right" w:pos="8306"/>
      </w:tabs>
      <w:spacing w:line="264" w:lineRule="auto"/>
      <w:jc w:val="both"/>
    </w:pPr>
    <w:rPr>
      <w:rFonts w:cs="B Yagut"/>
      <w:bCs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C3C96"/>
    <w:rPr>
      <w:rFonts w:ascii="Times New Roman" w:eastAsia="Times New Roman" w:hAnsi="Times New Roman" w:cs="B Yagut"/>
      <w:bCs/>
      <w:sz w:val="18"/>
      <w:szCs w:val="20"/>
    </w:rPr>
  </w:style>
  <w:style w:type="paragraph" w:customStyle="1" w:styleId="a2">
    <w:name w:val="عربی"/>
    <w:basedOn w:val="Normal"/>
    <w:link w:val="Char10"/>
    <w:rsid w:val="001C3C96"/>
    <w:pPr>
      <w:spacing w:line="209" w:lineRule="auto"/>
      <w:jc w:val="both"/>
    </w:pPr>
    <w:rPr>
      <w:rFonts w:cs="PARSAMIT"/>
      <w:bCs/>
      <w:sz w:val="21"/>
      <w:szCs w:val="21"/>
    </w:rPr>
  </w:style>
  <w:style w:type="character" w:customStyle="1" w:styleId="Char10">
    <w:name w:val="عربی Char1"/>
    <w:basedOn w:val="DefaultParagraphFont"/>
    <w:link w:val="a2"/>
    <w:rsid w:val="001C3C96"/>
    <w:rPr>
      <w:rFonts w:ascii="Times New Roman" w:eastAsia="Times New Roman" w:hAnsi="Times New Roman" w:cs="PARSAMIT"/>
      <w:bCs/>
      <w:sz w:val="21"/>
      <w:szCs w:val="21"/>
    </w:rPr>
  </w:style>
  <w:style w:type="paragraph" w:customStyle="1" w:styleId="77">
    <w:name w:val="77"/>
    <w:basedOn w:val="Normal"/>
    <w:link w:val="77Char"/>
    <w:rsid w:val="001C3C96"/>
    <w:pPr>
      <w:widowControl w:val="0"/>
      <w:spacing w:line="204" w:lineRule="auto"/>
      <w:jc w:val="both"/>
    </w:pPr>
    <w:rPr>
      <w:rFonts w:cs="B Lotus"/>
      <w:bCs/>
      <w:color w:val="000000"/>
      <w:spacing w:val="-4"/>
      <w:sz w:val="22"/>
    </w:rPr>
  </w:style>
  <w:style w:type="character" w:customStyle="1" w:styleId="StyleFootnoteReferenceComplexLotus14ptCondensedby0">
    <w:name w:val="Style Footnote Reference + (Complex) Lotus 14 pt Condensed by  0...."/>
    <w:basedOn w:val="FootnoteReference"/>
    <w:rsid w:val="001C3C96"/>
    <w:rPr>
      <w:rFonts w:cs="Lotus"/>
      <w:spacing w:val="-6"/>
      <w:sz w:val="22"/>
      <w:szCs w:val="25"/>
      <w:vertAlign w:val="superscript"/>
    </w:rPr>
  </w:style>
  <w:style w:type="character" w:customStyle="1" w:styleId="22Char">
    <w:name w:val="22 Char"/>
    <w:basedOn w:val="Char"/>
    <w:link w:val="22"/>
    <w:rsid w:val="001C3C96"/>
    <w:rPr>
      <w:rFonts w:ascii="Times New Roman" w:eastAsia="Times New Roman" w:hAnsi="Times New Roman" w:cs="B Mitra"/>
      <w:bCs/>
      <w:sz w:val="21"/>
      <w:szCs w:val="24"/>
    </w:rPr>
  </w:style>
  <w:style w:type="paragraph" w:customStyle="1" w:styleId="Style77Auto">
    <w:name w:val="Style 77 + Auto"/>
    <w:basedOn w:val="77"/>
    <w:link w:val="Style77AutoChar"/>
    <w:rsid w:val="001C3C96"/>
    <w:pPr>
      <w:keepNext/>
      <w:spacing w:line="192" w:lineRule="auto"/>
    </w:pPr>
  </w:style>
  <w:style w:type="character" w:customStyle="1" w:styleId="77Char">
    <w:name w:val="77 Char"/>
    <w:basedOn w:val="DefaultParagraphFont"/>
    <w:link w:val="77"/>
    <w:rsid w:val="001C3C96"/>
    <w:rPr>
      <w:rFonts w:ascii="Times New Roman" w:eastAsia="Times New Roman" w:hAnsi="Times New Roman" w:cs="B Lotus"/>
      <w:bCs/>
      <w:color w:val="000000"/>
      <w:spacing w:val="-4"/>
      <w:szCs w:val="24"/>
    </w:rPr>
  </w:style>
  <w:style w:type="character" w:customStyle="1" w:styleId="Style77AutoChar">
    <w:name w:val="Style 77 + Auto Char"/>
    <w:basedOn w:val="77Char"/>
    <w:link w:val="Style77Auto"/>
    <w:rsid w:val="001C3C96"/>
    <w:rPr>
      <w:rFonts w:ascii="Times New Roman" w:eastAsia="Times New Roman" w:hAnsi="Times New Roman" w:cs="B Lotus"/>
      <w:bCs/>
      <w:color w:val="000000"/>
      <w:spacing w:val="-4"/>
      <w:szCs w:val="24"/>
    </w:rPr>
  </w:style>
  <w:style w:type="paragraph" w:customStyle="1" w:styleId="a3">
    <w:name w:val="متن عربي"/>
    <w:basedOn w:val="a"/>
    <w:link w:val="Char2"/>
    <w:rsid w:val="001C3C96"/>
    <w:pPr>
      <w:spacing w:line="204" w:lineRule="auto"/>
      <w:ind w:firstLine="0"/>
    </w:pPr>
    <w:rPr>
      <w:rFonts w:cs="PARSAMIT"/>
      <w:lang w:bidi="fa-IR"/>
    </w:rPr>
  </w:style>
  <w:style w:type="character" w:customStyle="1" w:styleId="Char2">
    <w:name w:val="متن عربي Char"/>
    <w:basedOn w:val="Char"/>
    <w:link w:val="a3"/>
    <w:rsid w:val="001C3C96"/>
    <w:rPr>
      <w:rFonts w:ascii="Times New Roman" w:eastAsia="Times New Roman" w:hAnsi="Times New Roman" w:cs="PARSAMIT"/>
      <w:sz w:val="21"/>
      <w:szCs w:val="25"/>
      <w:lang w:bidi="fa-IR"/>
    </w:rPr>
  </w:style>
  <w:style w:type="character" w:customStyle="1" w:styleId="StyleFootnoteReferenceComplexLotus14ptBoldCondensed1">
    <w:name w:val="Style Footnote Reference + (Complex) Lotus 14 pt Bold Condensed ...1"/>
    <w:basedOn w:val="FootnoteReference"/>
    <w:rsid w:val="001C3C96"/>
    <w:rPr>
      <w:rFonts w:cs="Lotus"/>
      <w:spacing w:val="-6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C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C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C9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36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7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7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7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10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8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EAD3-D894-4F5E-BBAB-788ED101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Pasokhgoian2</dc:creator>
  <cp:keywords/>
  <dc:description/>
  <cp:lastModifiedBy>Taghi Hatami</cp:lastModifiedBy>
  <cp:revision>12</cp:revision>
  <dcterms:created xsi:type="dcterms:W3CDTF">2018-10-20T07:21:00Z</dcterms:created>
  <dcterms:modified xsi:type="dcterms:W3CDTF">2023-09-13T05:50:00Z</dcterms:modified>
</cp:coreProperties>
</file>