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D01BB" w:rsidRDefault="008D01BB" w:rsidP="008D01BB">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500659299" w:history="1">
        <w:r w:rsidRPr="003536F3">
          <w:rPr>
            <w:rStyle w:val="Hyperlink"/>
            <w:rFonts w:hint="eastAsia"/>
            <w:noProof/>
            <w:rtl/>
          </w:rPr>
          <w:t>تقد</w:t>
        </w:r>
        <w:r w:rsidRPr="003536F3">
          <w:rPr>
            <w:rStyle w:val="Hyperlink"/>
            <w:rFonts w:hint="cs"/>
            <w:noProof/>
            <w:rtl/>
          </w:rPr>
          <w:t>ی</w:t>
        </w:r>
        <w:r w:rsidRPr="003536F3">
          <w:rPr>
            <w:rStyle w:val="Hyperlink"/>
            <w:rFonts w:hint="eastAsia"/>
            <w:noProof/>
            <w:rtl/>
          </w:rPr>
          <w:t>م</w:t>
        </w:r>
        <w:r w:rsidRPr="003536F3">
          <w:rPr>
            <w:rStyle w:val="Hyperlink"/>
            <w:noProof/>
            <w:rtl/>
          </w:rPr>
          <w:t xml:space="preserve"> </w:t>
        </w:r>
        <w:r w:rsidRPr="003536F3">
          <w:rPr>
            <w:rStyle w:val="Hyperlink"/>
            <w:rFonts w:hint="eastAsia"/>
            <w:noProof/>
            <w:rtl/>
          </w:rPr>
          <w:t>غذا</w:t>
        </w:r>
        <w:r w:rsidRPr="003536F3">
          <w:rPr>
            <w:rStyle w:val="Hyperlink"/>
            <w:rFonts w:hint="cs"/>
            <w:noProof/>
            <w:rtl/>
          </w:rPr>
          <w:t>ی</w:t>
        </w:r>
        <w:r w:rsidRPr="003536F3">
          <w:rPr>
            <w:rStyle w:val="Hyperlink"/>
            <w:noProof/>
            <w:rtl/>
          </w:rPr>
          <w:t xml:space="preserve"> </w:t>
        </w:r>
        <w:r w:rsidRPr="003536F3">
          <w:rPr>
            <w:rStyle w:val="Hyperlink"/>
            <w:rFonts w:hint="eastAsia"/>
            <w:noProof/>
            <w:rtl/>
          </w:rPr>
          <w:t>مسموم</w:t>
        </w:r>
        <w:r w:rsidRPr="003536F3">
          <w:rPr>
            <w:rStyle w:val="Hyperlink"/>
            <w:noProof/>
            <w:rtl/>
          </w:rPr>
          <w:t xml:space="preserve"> </w:t>
        </w:r>
        <w:r w:rsidRPr="003536F3">
          <w:rPr>
            <w:rStyle w:val="Hyperlink"/>
            <w:rFonts w:hint="eastAsia"/>
            <w:noProof/>
            <w:rtl/>
          </w:rPr>
          <w:t>به</w:t>
        </w:r>
        <w:r w:rsidRPr="003536F3">
          <w:rPr>
            <w:rStyle w:val="Hyperlink"/>
            <w:noProof/>
            <w:rtl/>
          </w:rPr>
          <w:t xml:space="preserve"> </w:t>
        </w:r>
        <w:r w:rsidRPr="003536F3">
          <w:rPr>
            <w:rStyle w:val="Hyperlink"/>
            <w:rFonts w:hint="eastAsia"/>
            <w:noProof/>
            <w:rtl/>
          </w:rPr>
          <w:t>واسطه</w:t>
        </w:r>
        <w:r w:rsidRPr="003536F3">
          <w:rPr>
            <w:rStyle w:val="Hyperlink"/>
            <w:noProof/>
            <w:rtl/>
          </w:rPr>
          <w:t xml:space="preserve">: </w:t>
        </w:r>
        <w:r w:rsidRPr="003536F3">
          <w:rPr>
            <w:rStyle w:val="Hyperlink"/>
            <w:rFonts w:hint="eastAsia"/>
            <w:noProof/>
            <w:rtl/>
          </w:rPr>
          <w:t>ترتب</w:t>
        </w:r>
        <w:r w:rsidRPr="003536F3">
          <w:rPr>
            <w:rStyle w:val="Hyperlink"/>
            <w:noProof/>
            <w:rtl/>
          </w:rPr>
          <w:t xml:space="preserve"> </w:t>
        </w:r>
        <w:r w:rsidRPr="003536F3">
          <w:rPr>
            <w:rStyle w:val="Hyperlink"/>
            <w:rFonts w:hint="eastAsia"/>
            <w:noProof/>
            <w:rtl/>
          </w:rPr>
          <w:t>قصاص</w:t>
        </w:r>
        <w:r w:rsidRPr="003536F3">
          <w:rPr>
            <w:rStyle w:val="Hyperlink"/>
            <w:noProof/>
            <w:rtl/>
          </w:rPr>
          <w:t xml:space="preserve"> </w:t>
        </w:r>
        <w:r w:rsidRPr="003536F3">
          <w:rPr>
            <w:rStyle w:val="Hyperlink"/>
            <w:rFonts w:hint="eastAsia"/>
            <w:noProof/>
            <w:rtl/>
          </w:rPr>
          <w:t>بر</w:t>
        </w:r>
        <w:r w:rsidRPr="003536F3">
          <w:rPr>
            <w:rStyle w:val="Hyperlink"/>
            <w:noProof/>
            <w:rtl/>
          </w:rPr>
          <w:t xml:space="preserve"> </w:t>
        </w:r>
        <w:r w:rsidRPr="003536F3">
          <w:rPr>
            <w:rStyle w:val="Hyperlink"/>
            <w:rFonts w:hint="eastAsia"/>
            <w:noProof/>
            <w:rtl/>
          </w:rPr>
          <w:t>ملق</w:t>
        </w:r>
        <w:r w:rsidRPr="003536F3">
          <w:rPr>
            <w:rStyle w:val="Hyperlink"/>
            <w:rFonts w:hint="cs"/>
            <w:noProof/>
            <w:rtl/>
          </w:rPr>
          <w:t>ی</w:t>
        </w:r>
        <w:r w:rsidRPr="003536F3">
          <w:rPr>
            <w:rStyle w:val="Hyperlink"/>
            <w:noProof/>
            <w:rtl/>
          </w:rPr>
          <w:t xml:space="preserve"> </w:t>
        </w:r>
        <w:r w:rsidRPr="003536F3">
          <w:rPr>
            <w:rStyle w:val="Hyperlink"/>
            <w:rFonts w:hint="eastAsia"/>
            <w:noProof/>
            <w:rtl/>
          </w:rPr>
          <w:t>سم</w:t>
        </w:r>
        <w:r w:rsidRPr="003536F3">
          <w:rPr>
            <w:rStyle w:val="Hyperlink"/>
            <w:noProof/>
            <w:rtl/>
          </w:rPr>
          <w:t xml:space="preserve"> </w:t>
        </w:r>
        <w:r w:rsidRPr="003536F3">
          <w:rPr>
            <w:rStyle w:val="Hyperlink"/>
            <w:rFonts w:hint="eastAsia"/>
            <w:noProof/>
            <w:rtl/>
          </w:rPr>
          <w:t>در</w:t>
        </w:r>
        <w:r w:rsidRPr="003536F3">
          <w:rPr>
            <w:rStyle w:val="Hyperlink"/>
            <w:noProof/>
            <w:rtl/>
          </w:rPr>
          <w:t xml:space="preserve"> </w:t>
        </w:r>
        <w:r w:rsidRPr="003536F3">
          <w:rPr>
            <w:rStyle w:val="Hyperlink"/>
            <w:rFonts w:hint="eastAsia"/>
            <w:noProof/>
            <w:rtl/>
          </w:rPr>
          <w:t>صورت</w:t>
        </w:r>
        <w:r w:rsidRPr="003536F3">
          <w:rPr>
            <w:rStyle w:val="Hyperlink"/>
            <w:noProof/>
            <w:rtl/>
          </w:rPr>
          <w:t xml:space="preserve"> </w:t>
        </w:r>
        <w:r w:rsidRPr="003536F3">
          <w:rPr>
            <w:rStyle w:val="Hyperlink"/>
            <w:rFonts w:hint="eastAsia"/>
            <w:noProof/>
            <w:rtl/>
          </w:rPr>
          <w:t>جهل</w:t>
        </w:r>
        <w:r w:rsidRPr="003536F3">
          <w:rPr>
            <w:rStyle w:val="Hyperlink"/>
            <w:noProof/>
            <w:rtl/>
          </w:rPr>
          <w:t xml:space="preserve"> </w:t>
        </w:r>
        <w:r w:rsidRPr="003536F3">
          <w:rPr>
            <w:rStyle w:val="Hyperlink"/>
            <w:rFonts w:hint="eastAsia"/>
            <w:noProof/>
            <w:rtl/>
          </w:rPr>
          <w:t>واسطه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500659299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D01BB" w:rsidRDefault="008D01BB" w:rsidP="008D01BB">
      <w:pPr>
        <w:pStyle w:val="TOC3"/>
        <w:tabs>
          <w:tab w:val="right" w:leader="dot" w:pos="10194"/>
        </w:tabs>
        <w:rPr>
          <w:rFonts w:asciiTheme="minorHAnsi" w:eastAsiaTheme="minorEastAsia" w:hAnsiTheme="minorHAnsi" w:cstheme="minorBidi"/>
          <w:bCs w:val="0"/>
          <w:iCs w:val="0"/>
          <w:noProof/>
          <w:color w:val="auto"/>
          <w:szCs w:val="22"/>
          <w:rtl/>
        </w:rPr>
      </w:pPr>
      <w:hyperlink w:anchor="_Toc500659300" w:history="1">
        <w:r w:rsidRPr="003536F3">
          <w:rPr>
            <w:rStyle w:val="Hyperlink"/>
            <w:rFonts w:hint="eastAsia"/>
            <w:noProof/>
            <w:rtl/>
          </w:rPr>
          <w:t>جهل</w:t>
        </w:r>
        <w:r w:rsidRPr="003536F3">
          <w:rPr>
            <w:rStyle w:val="Hyperlink"/>
            <w:noProof/>
            <w:rtl/>
          </w:rPr>
          <w:t xml:space="preserve"> </w:t>
        </w:r>
        <w:r w:rsidRPr="003536F3">
          <w:rPr>
            <w:rStyle w:val="Hyperlink"/>
            <w:rFonts w:hint="eastAsia"/>
            <w:noProof/>
            <w:rtl/>
          </w:rPr>
          <w:t>واسطه</w:t>
        </w:r>
        <w:r w:rsidRPr="003536F3">
          <w:rPr>
            <w:rStyle w:val="Hyperlink"/>
            <w:noProof/>
            <w:rtl/>
          </w:rPr>
          <w:t xml:space="preserve"> </w:t>
        </w:r>
        <w:r w:rsidRPr="003536F3">
          <w:rPr>
            <w:rStyle w:val="Hyperlink"/>
            <w:rFonts w:hint="eastAsia"/>
            <w:noProof/>
            <w:rtl/>
          </w:rPr>
          <w:t>سبب</w:t>
        </w:r>
        <w:r w:rsidRPr="003536F3">
          <w:rPr>
            <w:rStyle w:val="Hyperlink"/>
            <w:noProof/>
            <w:rtl/>
          </w:rPr>
          <w:t xml:space="preserve"> </w:t>
        </w:r>
        <w:r w:rsidRPr="003536F3">
          <w:rPr>
            <w:rStyle w:val="Hyperlink"/>
            <w:rFonts w:hint="eastAsia"/>
            <w:noProof/>
            <w:rtl/>
          </w:rPr>
          <w:t>نف</w:t>
        </w:r>
        <w:r w:rsidRPr="003536F3">
          <w:rPr>
            <w:rStyle w:val="Hyperlink"/>
            <w:rFonts w:hint="cs"/>
            <w:noProof/>
            <w:rtl/>
          </w:rPr>
          <w:t>ی</w:t>
        </w:r>
        <w:r w:rsidRPr="003536F3">
          <w:rPr>
            <w:rStyle w:val="Hyperlink"/>
            <w:noProof/>
            <w:rtl/>
          </w:rPr>
          <w:t xml:space="preserve"> </w:t>
        </w:r>
        <w:r w:rsidRPr="003536F3">
          <w:rPr>
            <w:rStyle w:val="Hyperlink"/>
            <w:rFonts w:hint="eastAsia"/>
            <w:noProof/>
            <w:rtl/>
          </w:rPr>
          <w:t>غرور</w:t>
        </w:r>
        <w:r w:rsidRPr="003536F3">
          <w:rPr>
            <w:rStyle w:val="Hyperlink"/>
            <w:noProof/>
            <w:rtl/>
          </w:rPr>
          <w:t xml:space="preserve"> </w:t>
        </w:r>
        <w:r w:rsidRPr="003536F3">
          <w:rPr>
            <w:rStyle w:val="Hyperlink"/>
            <w:rFonts w:hint="eastAsia"/>
            <w:noProof/>
            <w:rtl/>
          </w:rPr>
          <w:t>از</w:t>
        </w:r>
        <w:r w:rsidRPr="003536F3">
          <w:rPr>
            <w:rStyle w:val="Hyperlink"/>
            <w:noProof/>
            <w:rtl/>
          </w:rPr>
          <w:t xml:space="preserve"> </w:t>
        </w:r>
        <w:r w:rsidRPr="003536F3">
          <w:rPr>
            <w:rStyle w:val="Hyperlink"/>
            <w:rFonts w:hint="eastAsia"/>
            <w:noProof/>
            <w:rtl/>
          </w:rPr>
          <w:t>و</w:t>
        </w:r>
        <w:r w:rsidRPr="003536F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500659300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D01BB" w:rsidRDefault="008D01BB" w:rsidP="008D01BB">
      <w:pPr>
        <w:pStyle w:val="TOC2"/>
        <w:tabs>
          <w:tab w:val="right" w:leader="dot" w:pos="10194"/>
        </w:tabs>
        <w:rPr>
          <w:rFonts w:asciiTheme="minorHAnsi" w:eastAsiaTheme="minorEastAsia" w:hAnsiTheme="minorHAnsi" w:cstheme="minorBidi"/>
          <w:bCs w:val="0"/>
          <w:noProof/>
          <w:color w:val="auto"/>
          <w:szCs w:val="22"/>
          <w:rtl/>
        </w:rPr>
      </w:pPr>
      <w:hyperlink w:anchor="_Toc500659301" w:history="1">
        <w:r w:rsidRPr="003536F3">
          <w:rPr>
            <w:rStyle w:val="Hyperlink"/>
            <w:rFonts w:hint="eastAsia"/>
            <w:noProof/>
            <w:rtl/>
          </w:rPr>
          <w:t>مسموم</w:t>
        </w:r>
        <w:r w:rsidRPr="003536F3">
          <w:rPr>
            <w:rStyle w:val="Hyperlink"/>
            <w:noProof/>
            <w:rtl/>
          </w:rPr>
          <w:t xml:space="preserve"> </w:t>
        </w:r>
        <w:r w:rsidRPr="003536F3">
          <w:rPr>
            <w:rStyle w:val="Hyperlink"/>
            <w:rFonts w:hint="eastAsia"/>
            <w:noProof/>
            <w:rtl/>
          </w:rPr>
          <w:t>کردن</w:t>
        </w:r>
        <w:r w:rsidRPr="003536F3">
          <w:rPr>
            <w:rStyle w:val="Hyperlink"/>
            <w:noProof/>
            <w:rtl/>
          </w:rPr>
          <w:t xml:space="preserve"> </w:t>
        </w:r>
        <w:r w:rsidRPr="003536F3">
          <w:rPr>
            <w:rStyle w:val="Hyperlink"/>
            <w:rFonts w:hint="eastAsia"/>
            <w:noProof/>
            <w:rtl/>
          </w:rPr>
          <w:t>غذا</w:t>
        </w:r>
        <w:r w:rsidRPr="003536F3">
          <w:rPr>
            <w:rStyle w:val="Hyperlink"/>
            <w:rFonts w:hint="cs"/>
            <w:noProof/>
            <w:rtl/>
          </w:rPr>
          <w:t>ی</w:t>
        </w:r>
        <w:r w:rsidRPr="003536F3">
          <w:rPr>
            <w:rStyle w:val="Hyperlink"/>
            <w:noProof/>
            <w:rtl/>
          </w:rPr>
          <w:t xml:space="preserve"> </w:t>
        </w:r>
        <w:r w:rsidRPr="003536F3">
          <w:rPr>
            <w:rStyle w:val="Hyperlink"/>
            <w:rFonts w:hint="eastAsia"/>
            <w:noProof/>
            <w:rtl/>
          </w:rPr>
          <w:t>صاحب</w:t>
        </w:r>
        <w:r w:rsidRPr="003536F3">
          <w:rPr>
            <w:rStyle w:val="Hyperlink"/>
            <w:noProof/>
            <w:rtl/>
          </w:rPr>
          <w:t xml:space="preserve"> </w:t>
        </w:r>
        <w:r w:rsidRPr="003536F3">
          <w:rPr>
            <w:rStyle w:val="Hyperlink"/>
            <w:rFonts w:hint="eastAsia"/>
            <w:noProof/>
            <w:rtl/>
          </w:rPr>
          <w:t>خانه</w:t>
        </w:r>
        <w:r w:rsidRPr="003536F3">
          <w:rPr>
            <w:rStyle w:val="Hyperlink"/>
            <w:noProof/>
            <w:rtl/>
          </w:rPr>
          <w:t xml:space="preserve"> </w:t>
        </w:r>
        <w:r w:rsidRPr="003536F3">
          <w:rPr>
            <w:rStyle w:val="Hyperlink"/>
            <w:rFonts w:hint="eastAsia"/>
            <w:noProof/>
            <w:rtl/>
          </w:rPr>
          <w:t>توسط</w:t>
        </w:r>
        <w:r w:rsidRPr="003536F3">
          <w:rPr>
            <w:rStyle w:val="Hyperlink"/>
            <w:noProof/>
            <w:rtl/>
          </w:rPr>
          <w:t xml:space="preserve"> </w:t>
        </w:r>
        <w:r w:rsidRPr="003536F3">
          <w:rPr>
            <w:rStyle w:val="Hyperlink"/>
            <w:rFonts w:hint="eastAsia"/>
            <w:noProof/>
            <w:rtl/>
          </w:rPr>
          <w:t>م</w:t>
        </w:r>
        <w:r w:rsidRPr="003536F3">
          <w:rPr>
            <w:rStyle w:val="Hyperlink"/>
            <w:rFonts w:hint="cs"/>
            <w:noProof/>
            <w:rtl/>
          </w:rPr>
          <w:t>ی</w:t>
        </w:r>
        <w:r w:rsidRPr="003536F3">
          <w:rPr>
            <w:rStyle w:val="Hyperlink"/>
            <w:rFonts w:hint="eastAsia"/>
            <w:noProof/>
            <w:rtl/>
          </w:rPr>
          <w:t>زبان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500659301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D01BB" w:rsidRDefault="008D01BB" w:rsidP="008D01BB">
      <w:pPr>
        <w:pStyle w:val="TOC3"/>
        <w:tabs>
          <w:tab w:val="right" w:leader="dot" w:pos="10194"/>
        </w:tabs>
        <w:rPr>
          <w:rFonts w:asciiTheme="minorHAnsi" w:eastAsiaTheme="minorEastAsia" w:hAnsiTheme="minorHAnsi" w:cstheme="minorBidi"/>
          <w:bCs w:val="0"/>
          <w:iCs w:val="0"/>
          <w:noProof/>
          <w:color w:val="auto"/>
          <w:szCs w:val="22"/>
          <w:rtl/>
        </w:rPr>
      </w:pPr>
      <w:hyperlink w:anchor="_Toc500659302" w:history="1">
        <w:r w:rsidRPr="003536F3">
          <w:rPr>
            <w:rStyle w:val="Hyperlink"/>
            <w:rFonts w:hint="eastAsia"/>
            <w:noProof/>
            <w:rtl/>
          </w:rPr>
          <w:t>اشکال</w:t>
        </w:r>
        <w:r w:rsidRPr="003536F3">
          <w:rPr>
            <w:rStyle w:val="Hyperlink"/>
            <w:noProof/>
            <w:rtl/>
          </w:rPr>
          <w:t xml:space="preserve">: </w:t>
        </w:r>
        <w:r w:rsidRPr="003536F3">
          <w:rPr>
            <w:rStyle w:val="Hyperlink"/>
            <w:rFonts w:hint="eastAsia"/>
            <w:noProof/>
            <w:rtl/>
          </w:rPr>
          <w:t>وحدت</w:t>
        </w:r>
        <w:r w:rsidRPr="003536F3">
          <w:rPr>
            <w:rStyle w:val="Hyperlink"/>
            <w:noProof/>
            <w:rtl/>
          </w:rPr>
          <w:t xml:space="preserve"> </w:t>
        </w:r>
        <w:r w:rsidRPr="003536F3">
          <w:rPr>
            <w:rStyle w:val="Hyperlink"/>
            <w:rFonts w:hint="eastAsia"/>
            <w:noProof/>
            <w:rtl/>
          </w:rPr>
          <w:t>ملاک</w:t>
        </w:r>
        <w:r w:rsidRPr="003536F3">
          <w:rPr>
            <w:rStyle w:val="Hyperlink"/>
            <w:noProof/>
            <w:rtl/>
          </w:rPr>
          <w:t xml:space="preserve"> </w:t>
        </w:r>
        <w:r w:rsidRPr="003536F3">
          <w:rPr>
            <w:rStyle w:val="Hyperlink"/>
            <w:rFonts w:hint="eastAsia"/>
            <w:noProof/>
            <w:rtl/>
          </w:rPr>
          <w:t>در</w:t>
        </w:r>
        <w:r w:rsidRPr="003536F3">
          <w:rPr>
            <w:rStyle w:val="Hyperlink"/>
            <w:noProof/>
            <w:rtl/>
          </w:rPr>
          <w:t xml:space="preserve"> </w:t>
        </w:r>
        <w:r w:rsidRPr="003536F3">
          <w:rPr>
            <w:rStyle w:val="Hyperlink"/>
            <w:rFonts w:hint="eastAsia"/>
            <w:noProof/>
            <w:rtl/>
          </w:rPr>
          <w:t>قصاص</w:t>
        </w:r>
        <w:r w:rsidRPr="003536F3">
          <w:rPr>
            <w:rStyle w:val="Hyperlink"/>
            <w:noProof/>
            <w:rtl/>
          </w:rPr>
          <w:t xml:space="preserve"> </w:t>
        </w:r>
        <w:r w:rsidRPr="003536F3">
          <w:rPr>
            <w:rStyle w:val="Hyperlink"/>
            <w:rFonts w:hint="eastAsia"/>
            <w:noProof/>
            <w:rtl/>
          </w:rPr>
          <w:t>و</w:t>
        </w:r>
        <w:r w:rsidRPr="003536F3">
          <w:rPr>
            <w:rStyle w:val="Hyperlink"/>
            <w:noProof/>
            <w:rtl/>
          </w:rPr>
          <w:t xml:space="preserve"> </w:t>
        </w:r>
        <w:r w:rsidRPr="003536F3">
          <w:rPr>
            <w:rStyle w:val="Hyperlink"/>
            <w:rFonts w:hint="eastAsia"/>
            <w:noProof/>
            <w:rtl/>
          </w:rPr>
          <w:t>د</w:t>
        </w:r>
        <w:r w:rsidRPr="003536F3">
          <w:rPr>
            <w:rStyle w:val="Hyperlink"/>
            <w:rFonts w:hint="cs"/>
            <w:noProof/>
            <w:rtl/>
          </w:rPr>
          <w:t>ی</w:t>
        </w:r>
        <w:r w:rsidRPr="003536F3">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500659302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D01BB" w:rsidRDefault="008D01BB" w:rsidP="008D01BB">
      <w:pPr>
        <w:pStyle w:val="TOC3"/>
        <w:tabs>
          <w:tab w:val="right" w:leader="dot" w:pos="10194"/>
        </w:tabs>
        <w:rPr>
          <w:rFonts w:asciiTheme="minorHAnsi" w:eastAsiaTheme="minorEastAsia" w:hAnsiTheme="minorHAnsi" w:cstheme="minorBidi"/>
          <w:bCs w:val="0"/>
          <w:iCs w:val="0"/>
          <w:noProof/>
          <w:color w:val="auto"/>
          <w:szCs w:val="22"/>
          <w:rtl/>
        </w:rPr>
      </w:pPr>
      <w:hyperlink w:anchor="_Toc500659303" w:history="1">
        <w:r w:rsidRPr="003536F3">
          <w:rPr>
            <w:rStyle w:val="Hyperlink"/>
            <w:rFonts w:hint="eastAsia"/>
            <w:noProof/>
            <w:rtl/>
          </w:rPr>
          <w:t>وجه</w:t>
        </w:r>
        <w:r w:rsidRPr="003536F3">
          <w:rPr>
            <w:rStyle w:val="Hyperlink"/>
            <w:noProof/>
            <w:rtl/>
          </w:rPr>
          <w:t xml:space="preserve"> </w:t>
        </w:r>
        <w:r w:rsidRPr="003536F3">
          <w:rPr>
            <w:rStyle w:val="Hyperlink"/>
            <w:rFonts w:hint="eastAsia"/>
            <w:noProof/>
            <w:rtl/>
          </w:rPr>
          <w:t>اختلاف</w:t>
        </w:r>
        <w:r w:rsidRPr="003536F3">
          <w:rPr>
            <w:rStyle w:val="Hyperlink"/>
            <w:noProof/>
            <w:rtl/>
          </w:rPr>
          <w:t xml:space="preserve"> </w:t>
        </w:r>
        <w:r w:rsidRPr="003536F3">
          <w:rPr>
            <w:rStyle w:val="Hyperlink"/>
            <w:rFonts w:hint="eastAsia"/>
            <w:noProof/>
            <w:rtl/>
          </w:rPr>
          <w:t>حکم</w:t>
        </w:r>
        <w:r w:rsidRPr="003536F3">
          <w:rPr>
            <w:rStyle w:val="Hyperlink"/>
            <w:noProof/>
            <w:rtl/>
          </w:rPr>
          <w:t xml:space="preserve"> </w:t>
        </w:r>
        <w:r w:rsidRPr="003536F3">
          <w:rPr>
            <w:rStyle w:val="Hyperlink"/>
            <w:rFonts w:hint="eastAsia"/>
            <w:noProof/>
            <w:rtl/>
          </w:rPr>
          <w:t>در</w:t>
        </w:r>
        <w:r w:rsidRPr="003536F3">
          <w:rPr>
            <w:rStyle w:val="Hyperlink"/>
            <w:noProof/>
            <w:rtl/>
          </w:rPr>
          <w:t xml:space="preserve"> </w:t>
        </w:r>
        <w:r w:rsidRPr="003536F3">
          <w:rPr>
            <w:rStyle w:val="Hyperlink"/>
            <w:rFonts w:hint="eastAsia"/>
            <w:noProof/>
            <w:rtl/>
          </w:rPr>
          <w:t>مسموم</w:t>
        </w:r>
        <w:r w:rsidRPr="003536F3">
          <w:rPr>
            <w:rStyle w:val="Hyperlink"/>
            <w:noProof/>
            <w:rtl/>
          </w:rPr>
          <w:t xml:space="preserve"> </w:t>
        </w:r>
        <w:r w:rsidRPr="003536F3">
          <w:rPr>
            <w:rStyle w:val="Hyperlink"/>
            <w:rFonts w:hint="eastAsia"/>
            <w:noProof/>
            <w:rtl/>
          </w:rPr>
          <w:t>کردن</w:t>
        </w:r>
        <w:r w:rsidRPr="003536F3">
          <w:rPr>
            <w:rStyle w:val="Hyperlink"/>
            <w:noProof/>
            <w:rtl/>
          </w:rPr>
          <w:t xml:space="preserve"> </w:t>
        </w:r>
        <w:r w:rsidRPr="003536F3">
          <w:rPr>
            <w:rStyle w:val="Hyperlink"/>
            <w:rFonts w:hint="eastAsia"/>
            <w:noProof/>
            <w:rtl/>
          </w:rPr>
          <w:t>غذا</w:t>
        </w:r>
        <w:r w:rsidRPr="003536F3">
          <w:rPr>
            <w:rStyle w:val="Hyperlink"/>
            <w:rFonts w:hint="cs"/>
            <w:noProof/>
            <w:rtl/>
          </w:rPr>
          <w:t>ی</w:t>
        </w:r>
        <w:r w:rsidRPr="003536F3">
          <w:rPr>
            <w:rStyle w:val="Hyperlink"/>
            <w:noProof/>
            <w:rtl/>
          </w:rPr>
          <w:t xml:space="preserve"> </w:t>
        </w:r>
        <w:r w:rsidRPr="003536F3">
          <w:rPr>
            <w:rStyle w:val="Hyperlink"/>
            <w:rFonts w:hint="eastAsia"/>
            <w:noProof/>
            <w:rtl/>
          </w:rPr>
          <w:t>مهمان</w:t>
        </w:r>
        <w:r w:rsidRPr="003536F3">
          <w:rPr>
            <w:rStyle w:val="Hyperlink"/>
            <w:noProof/>
            <w:rtl/>
          </w:rPr>
          <w:t xml:space="preserve"> </w:t>
        </w:r>
        <w:r w:rsidRPr="003536F3">
          <w:rPr>
            <w:rStyle w:val="Hyperlink"/>
            <w:rFonts w:hint="eastAsia"/>
            <w:noProof/>
            <w:rtl/>
          </w:rPr>
          <w:t>با</w:t>
        </w:r>
        <w:r w:rsidRPr="003536F3">
          <w:rPr>
            <w:rStyle w:val="Hyperlink"/>
            <w:noProof/>
            <w:rtl/>
          </w:rPr>
          <w:t xml:space="preserve"> </w:t>
        </w:r>
        <w:r w:rsidRPr="003536F3">
          <w:rPr>
            <w:rStyle w:val="Hyperlink"/>
            <w:rFonts w:hint="eastAsia"/>
            <w:noProof/>
            <w:rtl/>
          </w:rPr>
          <w:t>م</w:t>
        </w:r>
        <w:r w:rsidRPr="003536F3">
          <w:rPr>
            <w:rStyle w:val="Hyperlink"/>
            <w:rFonts w:hint="cs"/>
            <w:noProof/>
            <w:rtl/>
          </w:rPr>
          <w:t>ی</w:t>
        </w:r>
        <w:r w:rsidRPr="003536F3">
          <w:rPr>
            <w:rStyle w:val="Hyperlink"/>
            <w:rFonts w:hint="eastAsia"/>
            <w:noProof/>
            <w:rtl/>
          </w:rPr>
          <w:t>زبان</w:t>
        </w:r>
        <w:r w:rsidRPr="003536F3">
          <w:rPr>
            <w:rStyle w:val="Hyperlink"/>
            <w:noProof/>
            <w:rtl/>
          </w:rPr>
          <w:t xml:space="preserve"> </w:t>
        </w:r>
        <w:r w:rsidRPr="003536F3">
          <w:rPr>
            <w:rStyle w:val="Hyperlink"/>
            <w:rFonts w:hint="eastAsia"/>
            <w:noProof/>
            <w:rtl/>
          </w:rPr>
          <w:t>در</w:t>
        </w:r>
        <w:r w:rsidRPr="003536F3">
          <w:rPr>
            <w:rStyle w:val="Hyperlink"/>
            <w:noProof/>
            <w:rtl/>
          </w:rPr>
          <w:t xml:space="preserve"> </w:t>
        </w:r>
        <w:r w:rsidRPr="003536F3">
          <w:rPr>
            <w:rStyle w:val="Hyperlink"/>
            <w:rFonts w:hint="eastAsia"/>
            <w:noProof/>
            <w:rtl/>
          </w:rPr>
          <w:t>کلام</w:t>
        </w:r>
        <w:r w:rsidRPr="003536F3">
          <w:rPr>
            <w:rStyle w:val="Hyperlink"/>
            <w:noProof/>
            <w:rtl/>
          </w:rPr>
          <w:t xml:space="preserve"> </w:t>
        </w:r>
        <w:r w:rsidRPr="003536F3">
          <w:rPr>
            <w:rStyle w:val="Hyperlink"/>
            <w:rFonts w:hint="eastAsia"/>
            <w:noProof/>
            <w:rtl/>
          </w:rPr>
          <w:t>مرحوم</w:t>
        </w:r>
        <w:r w:rsidRPr="003536F3">
          <w:rPr>
            <w:rStyle w:val="Hyperlink"/>
            <w:noProof/>
            <w:rtl/>
          </w:rPr>
          <w:t xml:space="preserve"> </w:t>
        </w:r>
        <w:r w:rsidRPr="003536F3">
          <w:rPr>
            <w:rStyle w:val="Hyperlink"/>
            <w:rFonts w:hint="eastAsia"/>
            <w:noProof/>
            <w:rtl/>
          </w:rPr>
          <w:t>محقق</w:t>
        </w:r>
        <w:r w:rsidRPr="003536F3">
          <w:rPr>
            <w:rStyle w:val="Hyperlink"/>
            <w:noProof/>
            <w:rtl/>
          </w:rPr>
          <w:t xml:space="preserve"> </w:t>
        </w:r>
        <w:r w:rsidRPr="003536F3">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500659303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8D01BB"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5F09BE">
        <w:rPr>
          <w:rFonts w:hint="cs"/>
          <w:rtl/>
        </w:rPr>
        <w:t>مراتب</w:t>
      </w:r>
      <w:r w:rsidR="005F09BE">
        <w:rPr>
          <w:rtl/>
        </w:rPr>
        <w:t xml:space="preserve"> </w:t>
      </w:r>
      <w:r w:rsidR="005F09BE">
        <w:rPr>
          <w:rFonts w:hint="cs"/>
          <w:rtl/>
        </w:rPr>
        <w:t>تسبیب</w:t>
      </w:r>
      <w:r w:rsidR="00025B70">
        <w:rPr>
          <w:rFonts w:hint="cs"/>
          <w:rtl/>
        </w:rPr>
        <w:t xml:space="preserve"> </w:t>
      </w:r>
      <w:r w:rsidR="00386C11" w:rsidRPr="00A6366F">
        <w:rPr>
          <w:rFonts w:hint="cs"/>
          <w:rtl/>
        </w:rPr>
        <w:t>/</w:t>
      </w:r>
      <w:bookmarkStart w:id="1" w:name="BokSabj_d"/>
      <w:bookmarkEnd w:id="1"/>
      <w:r w:rsidR="005F09BE">
        <w:rPr>
          <w:rFonts w:hint="cs"/>
          <w:rtl/>
        </w:rPr>
        <w:t>موجبات</w:t>
      </w:r>
      <w:r w:rsidR="005F09BE">
        <w:rPr>
          <w:rtl/>
        </w:rPr>
        <w:t xml:space="preserve"> </w:t>
      </w:r>
      <w:r w:rsidR="005F09BE">
        <w:rPr>
          <w:rFonts w:hint="cs"/>
          <w:rtl/>
        </w:rPr>
        <w:t>قصاص</w:t>
      </w:r>
      <w:r w:rsidR="00386C11" w:rsidRPr="00A6366F">
        <w:rPr>
          <w:rFonts w:hint="cs"/>
          <w:rtl/>
        </w:rPr>
        <w:t xml:space="preserve"> /</w:t>
      </w:r>
      <w:bookmarkStart w:id="2" w:name="Bokkolli"/>
      <w:bookmarkEnd w:id="2"/>
      <w:r w:rsidR="005F09BE">
        <w:rPr>
          <w:rFonts w:hint="cs"/>
          <w:rtl/>
        </w:rPr>
        <w:t>کتاب</w:t>
      </w:r>
      <w:r w:rsidR="005F09BE">
        <w:rPr>
          <w:rtl/>
        </w:rPr>
        <w:t xml:space="preserve"> </w:t>
      </w:r>
      <w:r w:rsidR="005F09BE">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A26E06" w:rsidP="003A6148">
      <w:pPr>
        <w:pBdr>
          <w:bottom w:val="double" w:sz="6" w:space="1" w:color="auto"/>
        </w:pBdr>
        <w:rPr>
          <w:rtl/>
        </w:rPr>
      </w:pPr>
      <w:r>
        <w:rPr>
          <w:rFonts w:hint="cs"/>
          <w:rtl/>
        </w:rPr>
        <w:t>بحث در راستای اثبات قصاص به واسطه تسبیب به مراتب تسبیب و بیان حکم قصاص و ضمان در هر یک از آن ها رسید.</w:t>
      </w:r>
    </w:p>
    <w:p w:rsidR="00247D2F" w:rsidRPr="003A6148" w:rsidRDefault="00247D2F" w:rsidP="003A6148">
      <w:pPr>
        <w:pBdr>
          <w:bottom w:val="double" w:sz="6" w:space="1" w:color="auto"/>
        </w:pBdr>
      </w:pPr>
    </w:p>
    <w:p w:rsidR="0007152E" w:rsidRPr="00A26E06" w:rsidRDefault="0007152E" w:rsidP="00A26E06">
      <w:pPr>
        <w:spacing w:line="240" w:lineRule="auto"/>
        <w:rPr>
          <w:rFonts w:ascii="IRNazanin" w:eastAsia="Times New Roman" w:hAnsi="IRNazanin" w:cs="IRNazanin"/>
          <w:color w:val="000000"/>
          <w:sz w:val="36"/>
          <w:szCs w:val="36"/>
          <w:rtl/>
        </w:rPr>
      </w:pPr>
    </w:p>
    <w:p w:rsidR="0007152E" w:rsidRPr="0007152E" w:rsidRDefault="0007152E" w:rsidP="0007152E">
      <w:pPr>
        <w:rPr>
          <w:rtl/>
        </w:rPr>
      </w:pPr>
      <w:r w:rsidRPr="0007152E">
        <w:rPr>
          <w:rtl/>
        </w:rPr>
        <w:t>بحث در مورد تسبیب و وجوه اثبات و ترتب قصاص بر سبب بود که ادله ای هم در این راستا بیان شد.</w:t>
      </w:r>
    </w:p>
    <w:p w:rsidR="0007152E" w:rsidRPr="0007152E" w:rsidRDefault="0007152E" w:rsidP="0007152E">
      <w:pPr>
        <w:rPr>
          <w:rtl/>
        </w:rPr>
      </w:pPr>
      <w:r w:rsidRPr="0007152E">
        <w:rPr>
          <w:rtl/>
        </w:rPr>
        <w:t>گفته شد که تسبیب دارای مراتب چهارگانه ای است که در این میان، مرحله اول آن جایی است که اراده غیر جانی موثر در تحقق قتل نباشد، مثل جایی که مجنی علیه را در آتش سوزان انداخته شود، اما مرحله دوم تسبیب جایی است که علاوه بر جانی، اراده خود مجنی علیه هم در تحقق قتل و جنایت موثر باشد، مثل فرضی که غذای مسمومی به مجنی علیه تقدیم شود و او در اثر جهل به این مسمومیت غذا آن را مصرف کند، سومین مرحله از مراتب تسبیب هم در جایی است که اراده شخص ثالثی در تحقق جنایت تأثیر داشته باشد، و مرحله چهارم تسبیب هم مربوط به جایی است که اراده حیوانی در وقوع قتل و جنایت دخیل باشد.</w:t>
      </w:r>
    </w:p>
    <w:p w:rsidR="0007152E" w:rsidRPr="0007152E" w:rsidRDefault="0007152E" w:rsidP="0007152E">
      <w:pPr>
        <w:rPr>
          <w:rtl/>
        </w:rPr>
      </w:pPr>
      <w:r w:rsidRPr="0007152E">
        <w:rPr>
          <w:rtl/>
        </w:rPr>
        <w:t>در راستای این فروض جا داشت که فرض اکراه نیز مطرح می شد اما با توجه به این که در متن و متون محوری این بحث در جای دیگری آمده است، محول به همان موضع می شود.</w:t>
      </w:r>
    </w:p>
    <w:p w:rsidR="00A26E06" w:rsidRDefault="00A26E06" w:rsidP="00A26E06">
      <w:pPr>
        <w:pStyle w:val="Heading2"/>
        <w:rPr>
          <w:rtl/>
        </w:rPr>
      </w:pPr>
      <w:bookmarkStart w:id="3" w:name="_Toc500659299"/>
      <w:r>
        <w:rPr>
          <w:rFonts w:hint="cs"/>
          <w:rtl/>
        </w:rPr>
        <w:t>تقدیم غذای مسموم به واسطه: ترتب قصاص بر ملقی سم در صورت جهل واسطه</w:t>
      </w:r>
      <w:bookmarkEnd w:id="3"/>
    </w:p>
    <w:p w:rsidR="0007152E" w:rsidRDefault="0007152E" w:rsidP="0007152E">
      <w:pPr>
        <w:rPr>
          <w:rtl/>
        </w:rPr>
      </w:pPr>
      <w:r w:rsidRPr="0007152E">
        <w:rPr>
          <w:rtl/>
        </w:rPr>
        <w:t xml:space="preserve">مرحوم صاحب جواهر قده در ذیل مرحله دوم، یعنی فرض تأثیر اراده مقتول در قتل، فرض دیگری را مطرح می کند و می فرماید که اگر فردی غذایی مسموم را به شخصی بدهد تا او آن را به مجنی علیه تقدیم کند؛ در این صورت اگر واسطه و مجنی علیه جاهل به مسموم بودن این غذا باشند، قتل به همان شخصی که غذا را مسموم کرده است منتسب شده و قصاص هم بر </w:t>
      </w:r>
      <w:r w:rsidRPr="0007152E">
        <w:rPr>
          <w:rtl/>
        </w:rPr>
        <w:lastRenderedPageBreak/>
        <w:t>گردن او می آید، اما در صورتی که این واسطه از مسمومیت طعام آگاهی داشته باشد، قتل به او منتسب و از او قصاص می شود.</w:t>
      </w:r>
    </w:p>
    <w:p w:rsidR="00A26E06" w:rsidRPr="0007152E" w:rsidRDefault="00A26E06" w:rsidP="00A26E06">
      <w:pPr>
        <w:pStyle w:val="Heading3"/>
        <w:rPr>
          <w:rtl/>
        </w:rPr>
      </w:pPr>
      <w:bookmarkStart w:id="4" w:name="_Toc500659300"/>
      <w:r>
        <w:rPr>
          <w:rFonts w:hint="cs"/>
          <w:rtl/>
        </w:rPr>
        <w:t>جهل واسطه سبب نفی غرور از وی</w:t>
      </w:r>
      <w:bookmarkEnd w:id="4"/>
    </w:p>
    <w:p w:rsidR="0007152E" w:rsidRPr="0007152E" w:rsidRDefault="0007152E" w:rsidP="0007152E">
      <w:pPr>
        <w:rPr>
          <w:rtl/>
        </w:rPr>
      </w:pPr>
      <w:r w:rsidRPr="0007152E">
        <w:rPr>
          <w:rtl/>
        </w:rPr>
        <w:t>ضابطه حکم این است که هر گاه وسائط متعدد شد، در صورتی که همه این وسائط عالم به قضیه باشند؛ استناد از وسائط سابق و اولیه منقطع می شود و به واسطه اخیر منتسب می شود که این انتساب یا از باب استناد است و یا از باب تسبیب.</w:t>
      </w:r>
    </w:p>
    <w:p w:rsidR="0007152E" w:rsidRPr="0007152E" w:rsidRDefault="0007152E" w:rsidP="00330808">
      <w:pPr>
        <w:rPr>
          <w:rtl/>
        </w:rPr>
      </w:pPr>
      <w:r w:rsidRPr="0007152E">
        <w:rPr>
          <w:rtl/>
        </w:rPr>
        <w:t>در واقع جهل وسائط به غرور منشأ سقوط حکم مباشرت که همان استناد است می شود و به عبارتی استناد را از مباشر منقطع می کند.</w:t>
      </w:r>
    </w:p>
    <w:p w:rsidR="0007152E" w:rsidRPr="0007152E" w:rsidRDefault="0007152E" w:rsidP="00330808">
      <w:pPr>
        <w:rPr>
          <w:rtl/>
        </w:rPr>
      </w:pPr>
      <w:r w:rsidRPr="0007152E">
        <w:rPr>
          <w:rtl/>
        </w:rPr>
        <w:t>و پر واضح است که در این بحث نیز، موضوع معطوف به استناد و عدم استناد است نه بحث عمد و خطا.</w:t>
      </w:r>
      <w:r w:rsidR="00A26E06">
        <w:rPr>
          <w:rStyle w:val="FootnoteReference"/>
          <w:rtl/>
        </w:rPr>
        <w:footnoteReference w:id="1"/>
      </w:r>
    </w:p>
    <w:p w:rsidR="0007152E" w:rsidRPr="0007152E" w:rsidRDefault="0007152E" w:rsidP="00330808">
      <w:pPr>
        <w:rPr>
          <w:rtl/>
        </w:rPr>
      </w:pPr>
      <w:r w:rsidRPr="0007152E">
        <w:rPr>
          <w:rtl/>
        </w:rPr>
        <w:t>مرحوم صاحب جواهر قده فرض دیگری را هم مطرح نموده است که مربوط به جایی است که فرد مسموم کننده غذا این طعام را به دیگری بدهد به خیال این که زید است در حالی که بعد از جنایت معلوم می شود که مجنی علیه و خورنده این غذا عمرو بوده است، به نظر ایشان، این قتل خطایی است و البته جهت بحث در این فرض، بحث عمد و خطا است نه استناد.</w:t>
      </w:r>
    </w:p>
    <w:p w:rsidR="0007152E" w:rsidRPr="0007152E" w:rsidRDefault="0007152E" w:rsidP="00330808">
      <w:pPr>
        <w:rPr>
          <w:rtl/>
        </w:rPr>
      </w:pPr>
      <w:r w:rsidRPr="0007152E">
        <w:rPr>
          <w:rtl/>
        </w:rPr>
        <w:t xml:space="preserve">در این فرض بحث در این است که چنین جنایتی قتلی خطایی محسوب می شود یا این که قتل عمد به حساب می آید که ان شاء الله بحث از آن خواهد آمد و بیان می شود که مرحوم آقای خویی ره در این مسأله قائل به تفصیل شده است بین این که مجنی علیه محقون الدم باشد یا مهدور الدم ، به این نحو که اگر مجنی علیه محقون الدم بوده باشد، قصاص ثابت است، اما در صورتی که مهدور الدم باشد، قصاص منتفی است و قتل خطایی محسوب می شود. </w:t>
      </w:r>
    </w:p>
    <w:p w:rsidR="0007152E" w:rsidRDefault="0007152E" w:rsidP="00330808">
      <w:pPr>
        <w:rPr>
          <w:rtl/>
        </w:rPr>
      </w:pPr>
      <w:r w:rsidRPr="0007152E">
        <w:rPr>
          <w:rtl/>
        </w:rPr>
        <w:t>از آن جا که این فرض مربوط به بحث عمد و خطا می شود، ذکر آن در مقام مناسب نیست؛ چرا که در این جا بحث بر سر استناد و عدم آن است.</w:t>
      </w:r>
    </w:p>
    <w:p w:rsidR="00330808" w:rsidRPr="0007152E" w:rsidRDefault="00330808" w:rsidP="00330808">
      <w:pPr>
        <w:pStyle w:val="Heading2"/>
        <w:rPr>
          <w:rtl/>
        </w:rPr>
      </w:pPr>
      <w:bookmarkStart w:id="5" w:name="_Toc500659301"/>
      <w:r>
        <w:rPr>
          <w:rFonts w:hint="cs"/>
          <w:rtl/>
        </w:rPr>
        <w:t>مسموم کردن غذای صاحب خانه توسط میزبان</w:t>
      </w:r>
      <w:bookmarkEnd w:id="5"/>
    </w:p>
    <w:p w:rsidR="0007152E" w:rsidRPr="0007152E" w:rsidRDefault="0007152E" w:rsidP="00330808">
      <w:pPr>
        <w:rPr>
          <w:rtl/>
        </w:rPr>
      </w:pPr>
      <w:r w:rsidRPr="0007152E">
        <w:rPr>
          <w:rtl/>
        </w:rPr>
        <w:t xml:space="preserve">تا حالا بحث در تقدیم غذای مسموم به مهمان بود، اما ششمین صورتی که در کلام مرحوم صاحب جواهر قده مطرح شده است و البته در کلامات مرحوم محقق و قبل از ایشان نیز دیده می شود، مربوط به موردی است که در آن فرد غذای صاحب خانه را مسموم کند، که در این فرض مرحوم محقق ره به مرحوم شیخ طوسی قدس سره نسبت داده است که ایشان فردی را که سم را </w:t>
      </w:r>
      <w:r w:rsidRPr="0007152E">
        <w:rPr>
          <w:rtl/>
        </w:rPr>
        <w:lastRenderedPageBreak/>
        <w:t>در طعام میزبان ریخته است، قاتل عمد می داند، در حالی که خود مرحوم محقق ره به این حکم اشکال کرده است و استناد را در مقام منتفی می داند؛ چرا که در فروض قبل، اراده صاحب خانه در وقوع قتل مؤثر بود ولو این که در آن فروض نیز اراده مقتول مؤثر بود، اما در مورد مهمان نوعی الجاء و اجبار به اکل طعام تصویر می شود که در مورد اکل صاحب خانه وجود ندارد.</w:t>
      </w:r>
    </w:p>
    <w:p w:rsidR="0007152E" w:rsidRPr="0007152E" w:rsidRDefault="00330808" w:rsidP="008D01BB">
      <w:pPr>
        <w:rPr>
          <w:rtl/>
        </w:rPr>
      </w:pPr>
      <w:r w:rsidRPr="00330808">
        <w:rPr>
          <w:rStyle w:val="a3"/>
          <w:rFonts w:hint="cs"/>
          <w:rtl/>
        </w:rPr>
        <w:t>«</w:t>
      </w:r>
      <w:r w:rsidR="0007152E" w:rsidRPr="00330808">
        <w:rPr>
          <w:rStyle w:val="a3"/>
          <w:rtl/>
        </w:rPr>
        <w:t>و لو جعل السم في طعام صاحب المنزل فوجده‌ صاحبه فأكله فمات قال في الخلاف و المبسوط عليه القود و فيه إشكال.</w:t>
      </w:r>
      <w:r w:rsidRPr="00330808">
        <w:rPr>
          <w:rStyle w:val="a3"/>
          <w:rFonts w:hint="cs"/>
          <w:rtl/>
        </w:rPr>
        <w:t>»</w:t>
      </w:r>
      <w:r w:rsidR="008D01BB">
        <w:rPr>
          <w:rStyle w:val="FootnoteReference"/>
          <w:b/>
          <w:bCs/>
          <w:color w:val="000080"/>
          <w:sz w:val="20"/>
          <w:rtl/>
        </w:rPr>
        <w:footnoteReference w:id="2"/>
      </w:r>
    </w:p>
    <w:p w:rsidR="0007152E" w:rsidRPr="0007152E" w:rsidRDefault="0007152E" w:rsidP="00330808">
      <w:pPr>
        <w:rPr>
          <w:rtl/>
        </w:rPr>
      </w:pPr>
      <w:r w:rsidRPr="0007152E">
        <w:rPr>
          <w:rtl/>
        </w:rPr>
        <w:t>مرحوم صاحب جواهر بعد از تصویر این فرض می فرماید که در مقام با وجود عدم ثبوت قصاص، دیه ثابت است؛ چرا که جانی و کسی که سم را در غذا ریخته است، سبب در قتل است و باید دیه دهد تا خود مسلمان به هدر نرفته باشد، در حالی که بر اساس نقل ایشان، برخی از اهل سنت در چنین موردی چیزی را بر عهده مسموم کننده و جانی ثابت نمی دانند.</w:t>
      </w:r>
    </w:p>
    <w:p w:rsidR="0007152E" w:rsidRPr="00330808" w:rsidRDefault="00330808" w:rsidP="008D01BB">
      <w:pPr>
        <w:rPr>
          <w:rStyle w:val="a3"/>
          <w:rtl/>
        </w:rPr>
      </w:pPr>
      <w:r w:rsidRPr="00330808">
        <w:rPr>
          <w:rStyle w:val="a3"/>
          <w:rFonts w:hint="cs"/>
          <w:rtl/>
        </w:rPr>
        <w:t>«</w:t>
      </w:r>
      <w:r w:rsidR="0007152E" w:rsidRPr="00330808">
        <w:rPr>
          <w:rStyle w:val="a3"/>
          <w:rtl/>
        </w:rPr>
        <w:t>نعم تثبت الدية لترتب القتل على فعله و عدم بطلان دم امرء مسلم، فهو حينئذ كحفر البئر إن لم يكن أقوى و إن كان لا يخفى عليك ما فيه بعد الإحاطة بما ذكرناه. و أضعف منه ما عن بعض العامة من القول‌</w:t>
      </w:r>
      <w:r w:rsidR="008D01BB">
        <w:rPr>
          <w:rStyle w:val="a3"/>
          <w:rFonts w:hint="cs"/>
          <w:rtl/>
        </w:rPr>
        <w:t xml:space="preserve"> </w:t>
      </w:r>
      <w:r w:rsidR="0007152E" w:rsidRPr="00330808">
        <w:rPr>
          <w:rStyle w:val="a3"/>
          <w:rtl/>
        </w:rPr>
        <w:t>بانتفاء الضمان رأسا.</w:t>
      </w:r>
      <w:r w:rsidRPr="00330808">
        <w:rPr>
          <w:rStyle w:val="a3"/>
          <w:rFonts w:hint="cs"/>
          <w:rtl/>
        </w:rPr>
        <w:t>»</w:t>
      </w:r>
      <w:r w:rsidR="008D01BB">
        <w:rPr>
          <w:rStyle w:val="FootnoteReference"/>
          <w:b/>
          <w:bCs/>
          <w:color w:val="000080"/>
          <w:sz w:val="20"/>
          <w:rtl/>
        </w:rPr>
        <w:footnoteReference w:id="3"/>
      </w:r>
    </w:p>
    <w:p w:rsidR="0007152E" w:rsidRPr="0007152E" w:rsidRDefault="0007152E" w:rsidP="00330808">
      <w:pPr>
        <w:pStyle w:val="Heading3"/>
        <w:rPr>
          <w:rtl/>
        </w:rPr>
      </w:pPr>
      <w:bookmarkStart w:id="6" w:name="_Toc500659302"/>
      <w:r w:rsidRPr="0007152E">
        <w:rPr>
          <w:rtl/>
        </w:rPr>
        <w:t>اشکال: وحدت ملاک در قصاص و دیه</w:t>
      </w:r>
      <w:bookmarkEnd w:id="6"/>
    </w:p>
    <w:p w:rsidR="0007152E" w:rsidRPr="0007152E" w:rsidRDefault="0007152E" w:rsidP="00330808">
      <w:pPr>
        <w:rPr>
          <w:rtl/>
        </w:rPr>
      </w:pPr>
      <w:r w:rsidRPr="0007152E">
        <w:rPr>
          <w:rtl/>
        </w:rPr>
        <w:t>نکته ای که جا دارد در این جا خدمت مرحوم  صاحب جواهر عرض کرد این است که اگر کسی در مقام به قصاص اشکال نمود، می بایست به دیه نیز اشکال کند؛ چرا که هم در قصاص و هم در دیه بحث بر سر استناد یا تسبیب است و اگر در جایی استناد محقق نبود، دیه هم به همراه قصاص منتفی خواهد شد.</w:t>
      </w:r>
    </w:p>
    <w:p w:rsidR="0007152E" w:rsidRPr="0007152E" w:rsidRDefault="0007152E" w:rsidP="00330808">
      <w:pPr>
        <w:rPr>
          <w:rtl/>
        </w:rPr>
      </w:pPr>
      <w:r w:rsidRPr="0007152E">
        <w:rPr>
          <w:rtl/>
        </w:rPr>
        <w:t>بنابراین، نسبت مرحوم صاحب جواهر  ره به مرحوم محقق ره در مورد این تفصیل قابل التزام نیست.</w:t>
      </w:r>
    </w:p>
    <w:p w:rsidR="0007152E" w:rsidRPr="0007152E" w:rsidRDefault="0007152E" w:rsidP="00330808">
      <w:pPr>
        <w:pStyle w:val="Heading3"/>
        <w:rPr>
          <w:rtl/>
        </w:rPr>
      </w:pPr>
      <w:bookmarkStart w:id="7" w:name="_Toc500659303"/>
      <w:r w:rsidRPr="0007152E">
        <w:rPr>
          <w:rtl/>
        </w:rPr>
        <w:t>وجه اختلاف حکم در مسموم کردن غذای مهمان با میزبان در کلام مرحوم محقق</w:t>
      </w:r>
      <w:r w:rsidR="00330808">
        <w:rPr>
          <w:rFonts w:hint="cs"/>
          <w:rtl/>
        </w:rPr>
        <w:t xml:space="preserve"> ره</w:t>
      </w:r>
      <w:bookmarkEnd w:id="7"/>
    </w:p>
    <w:p w:rsidR="0007152E" w:rsidRPr="0007152E" w:rsidRDefault="0007152E" w:rsidP="0007152E">
      <w:pPr>
        <w:rPr>
          <w:rtl/>
        </w:rPr>
      </w:pPr>
      <w:r w:rsidRPr="0007152E">
        <w:rPr>
          <w:rtl/>
        </w:rPr>
        <w:t xml:space="preserve">  سوال مهمی که در مقام باقی می ماند این است که وجه این که مرحوم محقق ره در جایی که غذای مهمان توسط صاحب خانه مسموم شده است قائل به قصاص شده است و حال آن که در فرض مسموم نمودن غذای صاحب خانه توسط مهمان قائل به قصاص نشده است، چیست؟ در حالی که ظاهرا در هر دو فرض تسبیب و غرور وجود دارد و در هیچ کدام الجاء نیست.</w:t>
      </w:r>
    </w:p>
    <w:p w:rsidR="0007152E" w:rsidRPr="0007152E" w:rsidRDefault="0007152E" w:rsidP="0007152E">
      <w:pPr>
        <w:rPr>
          <w:rtl/>
        </w:rPr>
      </w:pPr>
      <w:r w:rsidRPr="0007152E">
        <w:rPr>
          <w:rtl/>
        </w:rPr>
        <w:lastRenderedPageBreak/>
        <w:t xml:space="preserve"> به نظر می رسد که مراد ایشان از این اختلاف این است که در فرضی که غذای مهمان توسط صاحب خانه مسموم می شود، با توجه به تقدیم و تعارف غذا به مهمان، نوعی تغریر و غرور فرض می شود در حالی که در فرض مسموم نمودن غذای صاحب خانه این تقدیم و به تبع آن تغریر و غرور فرض نمی شود، لذا چنین اختلافی در حکم به وجود آمده است، کما این که در ادامه ایشان فرضی را که شخص با علم به این که کسی بدون اجازه و عدوانی وارد خانه اش می شود، غذایی را که ممکن است او تناول کند، مسموم کند، قصاص را ثابت ندانسته است. </w:t>
      </w:r>
    </w:p>
    <w:p w:rsidR="0007152E" w:rsidRPr="0007152E" w:rsidRDefault="0007152E" w:rsidP="0007152E">
      <w:pPr>
        <w:rPr>
          <w:rtl/>
        </w:rPr>
      </w:pPr>
      <w:r w:rsidRPr="0007152E">
        <w:rPr>
          <w:rFonts w:ascii="Cambria" w:hAnsi="Cambria" w:cs="Cambria" w:hint="cs"/>
          <w:rtl/>
        </w:rPr>
        <w:t> </w:t>
      </w:r>
    </w:p>
    <w:p w:rsidR="0007152E" w:rsidRPr="0007152E" w:rsidRDefault="0007152E" w:rsidP="0007152E">
      <w:pPr>
        <w:spacing w:line="240" w:lineRule="auto"/>
        <w:rPr>
          <w:rFonts w:ascii="IRNazanin" w:eastAsia="Times New Roman" w:hAnsi="IRNazanin" w:cs="IRNazanin"/>
          <w:color w:val="000000"/>
          <w:sz w:val="36"/>
          <w:szCs w:val="36"/>
          <w:rtl/>
        </w:rPr>
      </w:pPr>
      <w:r w:rsidRPr="0007152E">
        <w:rPr>
          <w:rFonts w:ascii="Cambria" w:eastAsia="Times New Roman" w:hAnsi="Cambria" w:cs="Cambria" w:hint="cs"/>
          <w:color w:val="000000"/>
          <w:sz w:val="36"/>
          <w:szCs w:val="36"/>
          <w:rtl/>
        </w:rPr>
        <w:t> </w:t>
      </w:r>
    </w:p>
    <w:p w:rsidR="001A1EA5" w:rsidRPr="006162A2" w:rsidRDefault="001A1EA5" w:rsidP="006162A2">
      <w:pPr>
        <w:rPr>
          <w:rtl/>
        </w:rPr>
      </w:pPr>
      <w:bookmarkStart w:id="8" w:name="_GoBack"/>
      <w:bookmarkEnd w:id="8"/>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36A9" w:rsidRDefault="003D36A9" w:rsidP="008B750B">
      <w:pPr>
        <w:spacing w:line="240" w:lineRule="auto"/>
      </w:pPr>
      <w:r>
        <w:separator/>
      </w:r>
    </w:p>
  </w:endnote>
  <w:endnote w:type="continuationSeparator" w:id="0">
    <w:p w:rsidR="003D36A9" w:rsidRDefault="003D36A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D01BB" w:rsidRPr="008D01B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5F09BE" w:rsidP="001B6799">
          <w:pPr>
            <w:pStyle w:val="Footer"/>
            <w:bidi w:val="0"/>
            <w:rPr>
              <w:color w:val="808080" w:themeColor="background1" w:themeShade="80"/>
              <w:rtl/>
            </w:rPr>
          </w:pPr>
          <w:bookmarkStart w:id="16" w:name="BokAdres"/>
          <w:bookmarkEnd w:id="16"/>
          <w:r>
            <w:rPr>
              <w:color w:val="808080" w:themeColor="background1" w:themeShade="80"/>
            </w:rPr>
            <w:t>F1mq1_13960809-024_ar1_mfeb.ir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36A9" w:rsidRDefault="003D36A9" w:rsidP="008B750B">
      <w:pPr>
        <w:spacing w:line="240" w:lineRule="auto"/>
      </w:pPr>
      <w:r>
        <w:separator/>
      </w:r>
    </w:p>
  </w:footnote>
  <w:footnote w:type="continuationSeparator" w:id="0">
    <w:p w:rsidR="003D36A9" w:rsidRDefault="003D36A9" w:rsidP="008B750B">
      <w:pPr>
        <w:spacing w:line="240" w:lineRule="auto"/>
      </w:pPr>
      <w:r>
        <w:continuationSeparator/>
      </w:r>
    </w:p>
  </w:footnote>
  <w:footnote w:id="1">
    <w:p w:rsidR="00A26E06" w:rsidRDefault="00A26E06">
      <w:pPr>
        <w:pStyle w:val="FootnoteText"/>
        <w:rPr>
          <w:rtl/>
        </w:rPr>
      </w:pPr>
      <w:r>
        <w:rPr>
          <w:rStyle w:val="FootnoteReference"/>
        </w:rPr>
        <w:footnoteRef/>
      </w:r>
      <w:r>
        <w:rPr>
          <w:rtl/>
        </w:rPr>
        <w:t xml:space="preserve"> </w:t>
      </w:r>
      <w:r>
        <w:rPr>
          <w:rFonts w:hint="cs"/>
          <w:rtl/>
        </w:rPr>
        <w:t xml:space="preserve">. </w:t>
      </w:r>
      <w:r w:rsidRPr="00A26E06">
        <w:rPr>
          <w:rFonts w:hint="cs"/>
          <w:rtl/>
        </w:rPr>
        <w:t>جواهر</w:t>
      </w:r>
      <w:r w:rsidRPr="00A26E06">
        <w:rPr>
          <w:rtl/>
        </w:rPr>
        <w:t xml:space="preserve"> </w:t>
      </w:r>
      <w:r w:rsidRPr="00A26E06">
        <w:rPr>
          <w:rFonts w:hint="cs"/>
          <w:rtl/>
        </w:rPr>
        <w:t>الكلام</w:t>
      </w:r>
      <w:r w:rsidRPr="00A26E06">
        <w:rPr>
          <w:rtl/>
        </w:rPr>
        <w:t xml:space="preserve"> </w:t>
      </w:r>
      <w:r w:rsidRPr="00A26E06">
        <w:rPr>
          <w:rFonts w:hint="cs"/>
          <w:rtl/>
        </w:rPr>
        <w:t>في</w:t>
      </w:r>
      <w:r w:rsidRPr="00A26E06">
        <w:rPr>
          <w:rtl/>
        </w:rPr>
        <w:t xml:space="preserve"> </w:t>
      </w:r>
      <w:r w:rsidRPr="00A26E06">
        <w:rPr>
          <w:rFonts w:hint="cs"/>
          <w:rtl/>
        </w:rPr>
        <w:t>شرح</w:t>
      </w:r>
      <w:r w:rsidRPr="00A26E06">
        <w:rPr>
          <w:rtl/>
        </w:rPr>
        <w:t xml:space="preserve"> </w:t>
      </w:r>
      <w:r w:rsidRPr="00A26E06">
        <w:rPr>
          <w:rFonts w:hint="cs"/>
          <w:rtl/>
        </w:rPr>
        <w:t>شرائع</w:t>
      </w:r>
      <w:r w:rsidRPr="00A26E06">
        <w:rPr>
          <w:rtl/>
        </w:rPr>
        <w:t xml:space="preserve"> </w:t>
      </w:r>
      <w:r w:rsidRPr="00A26E06">
        <w:rPr>
          <w:rFonts w:hint="cs"/>
          <w:rtl/>
        </w:rPr>
        <w:t>الإسلام،</w:t>
      </w:r>
      <w:r w:rsidRPr="00A26E06">
        <w:rPr>
          <w:rtl/>
        </w:rPr>
        <w:t xml:space="preserve"> </w:t>
      </w:r>
      <w:r w:rsidRPr="00A26E06">
        <w:rPr>
          <w:rFonts w:hint="cs"/>
          <w:rtl/>
        </w:rPr>
        <w:t>ج‌</w:t>
      </w:r>
      <w:r w:rsidRPr="00A26E06">
        <w:rPr>
          <w:rtl/>
        </w:rPr>
        <w:t>42</w:t>
      </w:r>
      <w:r w:rsidRPr="00A26E06">
        <w:rPr>
          <w:rFonts w:hint="cs"/>
          <w:rtl/>
        </w:rPr>
        <w:t>،</w:t>
      </w:r>
      <w:r w:rsidRPr="00A26E06">
        <w:rPr>
          <w:rtl/>
        </w:rPr>
        <w:t xml:space="preserve"> </w:t>
      </w:r>
      <w:r w:rsidRPr="00A26E06">
        <w:rPr>
          <w:rFonts w:hint="cs"/>
          <w:rtl/>
        </w:rPr>
        <w:t>ص</w:t>
      </w:r>
      <w:r w:rsidRPr="00A26E06">
        <w:rPr>
          <w:rtl/>
        </w:rPr>
        <w:t>: 36</w:t>
      </w:r>
    </w:p>
  </w:footnote>
  <w:footnote w:id="2">
    <w:p w:rsidR="008D01BB" w:rsidRPr="008D01BB" w:rsidRDefault="008D01BB" w:rsidP="008D01BB">
      <w:pPr>
        <w:pStyle w:val="FootnoteText"/>
        <w:rPr>
          <w:rFonts w:hint="cs"/>
          <w:rtl/>
        </w:rPr>
      </w:pPr>
      <w:r w:rsidRPr="008D01BB">
        <w:footnoteRef/>
      </w:r>
      <w:r>
        <w:rPr>
          <w:rFonts w:hint="cs"/>
          <w:rtl/>
        </w:rPr>
        <w:t>.</w:t>
      </w:r>
      <w:r w:rsidRPr="008D01BB">
        <w:rPr>
          <w:rtl/>
        </w:rPr>
        <w:t xml:space="preserve"> </w:t>
      </w:r>
      <w:hyperlink r:id="rId1" w:history="1">
        <w:r w:rsidRPr="008D01BB">
          <w:rPr>
            <w:rStyle w:val="Hyperlink"/>
            <w:rFonts w:hint="cs"/>
            <w:rtl/>
          </w:rPr>
          <w:t>شرائع</w:t>
        </w:r>
        <w:r w:rsidRPr="008D01BB">
          <w:rPr>
            <w:rStyle w:val="Hyperlink"/>
            <w:rtl/>
          </w:rPr>
          <w:t xml:space="preserve"> </w:t>
        </w:r>
        <w:r w:rsidRPr="008D01BB">
          <w:rPr>
            <w:rStyle w:val="Hyperlink"/>
            <w:rFonts w:hint="cs"/>
            <w:rtl/>
          </w:rPr>
          <w:t>الإسلام</w:t>
        </w:r>
        <w:r w:rsidRPr="008D01BB">
          <w:rPr>
            <w:rStyle w:val="Hyperlink"/>
            <w:rtl/>
          </w:rPr>
          <w:t xml:space="preserve"> </w:t>
        </w:r>
        <w:r w:rsidRPr="008D01BB">
          <w:rPr>
            <w:rStyle w:val="Hyperlink"/>
            <w:rFonts w:hint="cs"/>
            <w:rtl/>
          </w:rPr>
          <w:t>،</w:t>
        </w:r>
        <w:r w:rsidRPr="008D01BB">
          <w:rPr>
            <w:rStyle w:val="Hyperlink"/>
            <w:rtl/>
          </w:rPr>
          <w:t xml:space="preserve"> </w:t>
        </w:r>
        <w:r w:rsidRPr="008D01BB">
          <w:rPr>
            <w:rStyle w:val="Hyperlink"/>
            <w:rFonts w:hint="cs"/>
            <w:rtl/>
          </w:rPr>
          <w:t>محقق</w:t>
        </w:r>
        <w:r w:rsidRPr="008D01BB">
          <w:rPr>
            <w:rStyle w:val="Hyperlink"/>
            <w:rtl/>
          </w:rPr>
          <w:t xml:space="preserve"> </w:t>
        </w:r>
        <w:r w:rsidRPr="008D01BB">
          <w:rPr>
            <w:rStyle w:val="Hyperlink"/>
            <w:rFonts w:hint="cs"/>
            <w:rtl/>
          </w:rPr>
          <w:t>حلی،</w:t>
        </w:r>
        <w:r w:rsidRPr="008D01BB">
          <w:rPr>
            <w:rStyle w:val="Hyperlink"/>
            <w:rtl/>
          </w:rPr>
          <w:t xml:space="preserve"> </w:t>
        </w:r>
        <w:r w:rsidRPr="008D01BB">
          <w:rPr>
            <w:rStyle w:val="Hyperlink"/>
            <w:rFonts w:hint="cs"/>
            <w:rtl/>
          </w:rPr>
          <w:t>ج</w:t>
        </w:r>
        <w:r w:rsidRPr="008D01BB">
          <w:rPr>
            <w:rStyle w:val="Hyperlink"/>
            <w:rtl/>
          </w:rPr>
          <w:t>4</w:t>
        </w:r>
        <w:r w:rsidRPr="008D01BB">
          <w:rPr>
            <w:rStyle w:val="Hyperlink"/>
            <w:rFonts w:hint="cs"/>
            <w:rtl/>
          </w:rPr>
          <w:t>،</w:t>
        </w:r>
        <w:r w:rsidRPr="008D01BB">
          <w:rPr>
            <w:rStyle w:val="Hyperlink"/>
            <w:rtl/>
          </w:rPr>
          <w:t xml:space="preserve"> </w:t>
        </w:r>
        <w:r w:rsidRPr="008D01BB">
          <w:rPr>
            <w:rStyle w:val="Hyperlink"/>
            <w:rFonts w:hint="cs"/>
            <w:rtl/>
          </w:rPr>
          <w:t>ص</w:t>
        </w:r>
        <w:r w:rsidRPr="008D01BB">
          <w:rPr>
            <w:rStyle w:val="Hyperlink"/>
            <w:rtl/>
          </w:rPr>
          <w:t>182.</w:t>
        </w:r>
      </w:hyperlink>
    </w:p>
  </w:footnote>
  <w:footnote w:id="3">
    <w:p w:rsidR="008D01BB" w:rsidRPr="008D01BB" w:rsidRDefault="008D01BB" w:rsidP="008D01BB">
      <w:pPr>
        <w:pStyle w:val="FootnoteText"/>
        <w:rPr>
          <w:rFonts w:hint="cs"/>
          <w:rtl/>
        </w:rPr>
      </w:pPr>
      <w:r w:rsidRPr="008D01BB">
        <w:footnoteRef/>
      </w:r>
      <w:r>
        <w:rPr>
          <w:rFonts w:hint="cs"/>
          <w:rtl/>
        </w:rPr>
        <w:t>.</w:t>
      </w:r>
      <w:r w:rsidRPr="008D01BB">
        <w:rPr>
          <w:rtl/>
        </w:rPr>
        <w:t xml:space="preserve"> </w:t>
      </w:r>
      <w:hyperlink r:id="rId2" w:history="1">
        <w:r w:rsidRPr="008D01BB">
          <w:rPr>
            <w:rStyle w:val="Hyperlink"/>
            <w:rFonts w:hint="cs"/>
            <w:rtl/>
          </w:rPr>
          <w:t>جواهر</w:t>
        </w:r>
        <w:r w:rsidRPr="008D01BB">
          <w:rPr>
            <w:rStyle w:val="Hyperlink"/>
            <w:rtl/>
          </w:rPr>
          <w:t xml:space="preserve"> </w:t>
        </w:r>
        <w:r w:rsidRPr="008D01BB">
          <w:rPr>
            <w:rStyle w:val="Hyperlink"/>
            <w:rFonts w:hint="cs"/>
            <w:rtl/>
          </w:rPr>
          <w:t>الکلام،</w:t>
        </w:r>
        <w:r w:rsidRPr="008D01BB">
          <w:rPr>
            <w:rStyle w:val="Hyperlink"/>
            <w:rtl/>
          </w:rPr>
          <w:t xml:space="preserve"> </w:t>
        </w:r>
        <w:r w:rsidRPr="008D01BB">
          <w:rPr>
            <w:rStyle w:val="Hyperlink"/>
            <w:rFonts w:hint="cs"/>
            <w:rtl/>
          </w:rPr>
          <w:t>محمد</w:t>
        </w:r>
        <w:r w:rsidRPr="008D01BB">
          <w:rPr>
            <w:rStyle w:val="Hyperlink"/>
            <w:rtl/>
          </w:rPr>
          <w:t xml:space="preserve"> </w:t>
        </w:r>
        <w:r w:rsidRPr="008D01BB">
          <w:rPr>
            <w:rStyle w:val="Hyperlink"/>
            <w:rFonts w:hint="cs"/>
            <w:rtl/>
          </w:rPr>
          <w:t>حسن</w:t>
        </w:r>
        <w:r w:rsidRPr="008D01BB">
          <w:rPr>
            <w:rStyle w:val="Hyperlink"/>
            <w:rtl/>
          </w:rPr>
          <w:t xml:space="preserve"> </w:t>
        </w:r>
        <w:r w:rsidRPr="008D01BB">
          <w:rPr>
            <w:rStyle w:val="Hyperlink"/>
            <w:rFonts w:hint="cs"/>
            <w:rtl/>
          </w:rPr>
          <w:t>نجفی،</w:t>
        </w:r>
        <w:r w:rsidRPr="008D01BB">
          <w:rPr>
            <w:rStyle w:val="Hyperlink"/>
            <w:rtl/>
          </w:rPr>
          <w:t xml:space="preserve"> </w:t>
        </w:r>
        <w:r w:rsidRPr="008D01BB">
          <w:rPr>
            <w:rStyle w:val="Hyperlink"/>
            <w:rFonts w:hint="cs"/>
            <w:rtl/>
          </w:rPr>
          <w:t>ج</w:t>
        </w:r>
        <w:r w:rsidRPr="008D01BB">
          <w:rPr>
            <w:rStyle w:val="Hyperlink"/>
            <w:rtl/>
          </w:rPr>
          <w:t>42</w:t>
        </w:r>
        <w:r w:rsidRPr="008D01BB">
          <w:rPr>
            <w:rStyle w:val="Hyperlink"/>
            <w:rFonts w:hint="cs"/>
            <w:rtl/>
          </w:rPr>
          <w:t>،</w:t>
        </w:r>
        <w:r w:rsidRPr="008D01BB">
          <w:rPr>
            <w:rStyle w:val="Hyperlink"/>
            <w:rtl/>
          </w:rPr>
          <w:t xml:space="preserve"> </w:t>
        </w:r>
        <w:r w:rsidRPr="008D01BB">
          <w:rPr>
            <w:rStyle w:val="Hyperlink"/>
            <w:rFonts w:hint="cs"/>
            <w:rtl/>
          </w:rPr>
          <w:t>ص</w:t>
        </w:r>
        <w:r w:rsidRPr="008D01BB">
          <w:rPr>
            <w:rStyle w:val="Hyperlink"/>
            <w:rtl/>
          </w:rPr>
          <w:t>38.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5F09BE">
      <w:rPr>
        <w:b/>
        <w:bCs/>
        <w:sz w:val="20"/>
        <w:szCs w:val="24"/>
        <w:rtl/>
      </w:rPr>
      <w:t>024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5F09B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5F09BE">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5F09BE">
      <w:rPr>
        <w:sz w:val="24"/>
        <w:szCs w:val="24"/>
        <w:rtl/>
      </w:rPr>
      <w:t>9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5F09BE">
      <w:rPr>
        <w:rFonts w:hint="cs"/>
        <w:sz w:val="24"/>
        <w:szCs w:val="24"/>
        <w:rtl/>
      </w:rPr>
      <w:t>موجبات</w:t>
    </w:r>
    <w:r w:rsidR="005F09BE">
      <w:rPr>
        <w:sz w:val="24"/>
        <w:szCs w:val="24"/>
        <w:rtl/>
      </w:rPr>
      <w:t xml:space="preserve"> </w:t>
    </w:r>
    <w:r w:rsidR="005F09BE">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5F09BE">
      <w:rPr>
        <w:rFonts w:hint="cs"/>
        <w:sz w:val="24"/>
        <w:szCs w:val="24"/>
        <w:rtl/>
      </w:rPr>
      <w:t>سيدعلي</w:t>
    </w:r>
    <w:r w:rsidR="005F09BE">
      <w:rPr>
        <w:sz w:val="24"/>
        <w:szCs w:val="24"/>
        <w:rtl/>
      </w:rPr>
      <w:t xml:space="preserve"> </w:t>
    </w:r>
    <w:r w:rsidR="005F09BE">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5F09BE">
      <w:rPr>
        <w:rFonts w:hint="cs"/>
        <w:sz w:val="24"/>
        <w:szCs w:val="24"/>
        <w:rtl/>
      </w:rPr>
      <w:t>مراتب</w:t>
    </w:r>
    <w:r w:rsidR="005F09BE">
      <w:rPr>
        <w:sz w:val="24"/>
        <w:szCs w:val="24"/>
        <w:rtl/>
      </w:rPr>
      <w:t xml:space="preserve"> </w:t>
    </w:r>
    <w:r w:rsidR="005F09BE">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152E"/>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0808"/>
    <w:rsid w:val="0033402C"/>
    <w:rsid w:val="00340521"/>
    <w:rsid w:val="00345C73"/>
    <w:rsid w:val="00354A99"/>
    <w:rsid w:val="00360311"/>
    <w:rsid w:val="00361922"/>
    <w:rsid w:val="0037339B"/>
    <w:rsid w:val="00386C11"/>
    <w:rsid w:val="00397466"/>
    <w:rsid w:val="003A6148"/>
    <w:rsid w:val="003C33F6"/>
    <w:rsid w:val="003C3D2E"/>
    <w:rsid w:val="003C43A5"/>
    <w:rsid w:val="003D36A9"/>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9BE"/>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A7198"/>
    <w:rsid w:val="008B4464"/>
    <w:rsid w:val="008B750B"/>
    <w:rsid w:val="008C3162"/>
    <w:rsid w:val="008D01BB"/>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26E06"/>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20372190">
      <w:bodyDiv w:val="1"/>
      <w:marLeft w:val="0"/>
      <w:marRight w:val="0"/>
      <w:marTop w:val="0"/>
      <w:marBottom w:val="0"/>
      <w:divBdr>
        <w:top w:val="none" w:sz="0" w:space="0" w:color="auto"/>
        <w:left w:val="none" w:sz="0" w:space="0" w:color="auto"/>
        <w:bottom w:val="none" w:sz="0" w:space="0" w:color="auto"/>
        <w:right w:val="none" w:sz="0" w:space="0" w:color="auto"/>
      </w:divBdr>
      <w:divsChild>
        <w:div w:id="363555952">
          <w:marLeft w:val="0"/>
          <w:marRight w:val="0"/>
          <w:marTop w:val="0"/>
          <w:marBottom w:val="0"/>
          <w:divBdr>
            <w:top w:val="none" w:sz="0" w:space="0" w:color="auto"/>
            <w:left w:val="none" w:sz="0" w:space="0" w:color="auto"/>
            <w:bottom w:val="none" w:sz="0" w:space="0" w:color="auto"/>
            <w:right w:val="none" w:sz="0" w:space="0" w:color="auto"/>
          </w:divBdr>
          <w:divsChild>
            <w:div w:id="1205947218">
              <w:marLeft w:val="0"/>
              <w:marRight w:val="0"/>
              <w:marTop w:val="0"/>
              <w:marBottom w:val="0"/>
              <w:divBdr>
                <w:top w:val="none" w:sz="0" w:space="0" w:color="auto"/>
                <w:left w:val="none" w:sz="0" w:space="0" w:color="auto"/>
                <w:bottom w:val="none" w:sz="0" w:space="0" w:color="auto"/>
                <w:right w:val="none" w:sz="0" w:space="0" w:color="auto"/>
              </w:divBdr>
              <w:divsChild>
                <w:div w:id="2003046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2/38/" TargetMode="External"/><Relationship Id="rId1" Type="http://schemas.openxmlformats.org/officeDocument/2006/relationships/hyperlink" Target="http://lib.eshia.ir/71613/4/18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58689-FC01-4C0F-806D-D71799CCF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1299</TotalTime>
  <Pages>4</Pages>
  <Words>887</Words>
  <Characters>5061</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5937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6</cp:revision>
  <dcterms:created xsi:type="dcterms:W3CDTF">2017-11-19T15:39:00Z</dcterms:created>
  <dcterms:modified xsi:type="dcterms:W3CDTF">2017-12-10T05:24:00Z</dcterms:modified>
  <cp:contentStatus>ویرایش 2.3</cp:contentStatus>
  <cp:version>2.3</cp:version>
</cp:coreProperties>
</file>