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56D25" w:rsidRDefault="00956D25" w:rsidP="00956D25">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500660133" w:history="1">
        <w:r w:rsidRPr="00126DC9">
          <w:rPr>
            <w:rStyle w:val="Hyperlink"/>
            <w:rFonts w:hint="eastAsia"/>
            <w:noProof/>
            <w:rtl/>
          </w:rPr>
          <w:t>عدم</w:t>
        </w:r>
        <w:r w:rsidRPr="00126DC9">
          <w:rPr>
            <w:rStyle w:val="Hyperlink"/>
            <w:noProof/>
            <w:rtl/>
          </w:rPr>
          <w:t xml:space="preserve"> </w:t>
        </w:r>
        <w:r w:rsidRPr="00126DC9">
          <w:rPr>
            <w:rStyle w:val="Hyperlink"/>
            <w:rFonts w:hint="eastAsia"/>
            <w:noProof/>
            <w:rtl/>
          </w:rPr>
          <w:t>تناف</w:t>
        </w:r>
        <w:r w:rsidRPr="00126DC9">
          <w:rPr>
            <w:rStyle w:val="Hyperlink"/>
            <w:rFonts w:hint="cs"/>
            <w:noProof/>
            <w:rtl/>
          </w:rPr>
          <w:t>ی</w:t>
        </w:r>
        <w:r w:rsidRPr="00126DC9">
          <w:rPr>
            <w:rStyle w:val="Hyperlink"/>
            <w:noProof/>
            <w:rtl/>
          </w:rPr>
          <w:t xml:space="preserve"> </w:t>
        </w:r>
        <w:r w:rsidRPr="00126DC9">
          <w:rPr>
            <w:rStyle w:val="Hyperlink"/>
            <w:rFonts w:hint="eastAsia"/>
            <w:noProof/>
            <w:rtl/>
          </w:rPr>
          <w:t>ب</w:t>
        </w:r>
        <w:r w:rsidRPr="00126DC9">
          <w:rPr>
            <w:rStyle w:val="Hyperlink"/>
            <w:rFonts w:hint="cs"/>
            <w:noProof/>
            <w:rtl/>
          </w:rPr>
          <w:t>ی</w:t>
        </w:r>
        <w:r w:rsidRPr="00126DC9">
          <w:rPr>
            <w:rStyle w:val="Hyperlink"/>
            <w:rFonts w:hint="eastAsia"/>
            <w:noProof/>
            <w:rtl/>
          </w:rPr>
          <w:t>ن</w:t>
        </w:r>
        <w:r w:rsidRPr="00126DC9">
          <w:rPr>
            <w:rStyle w:val="Hyperlink"/>
            <w:noProof/>
            <w:rtl/>
          </w:rPr>
          <w:t xml:space="preserve"> </w:t>
        </w:r>
        <w:r w:rsidRPr="00126DC9">
          <w:rPr>
            <w:rStyle w:val="Hyperlink"/>
            <w:rFonts w:hint="eastAsia"/>
            <w:noProof/>
            <w:rtl/>
          </w:rPr>
          <w:t>عدم</w:t>
        </w:r>
        <w:r w:rsidRPr="00126DC9">
          <w:rPr>
            <w:rStyle w:val="Hyperlink"/>
            <w:noProof/>
            <w:rtl/>
          </w:rPr>
          <w:t xml:space="preserve"> </w:t>
        </w:r>
        <w:r w:rsidRPr="00126DC9">
          <w:rPr>
            <w:rStyle w:val="Hyperlink"/>
            <w:rFonts w:hint="eastAsia"/>
            <w:noProof/>
            <w:rtl/>
          </w:rPr>
          <w:t>ضمان</w:t>
        </w:r>
        <w:r w:rsidRPr="00126DC9">
          <w:rPr>
            <w:rStyle w:val="Hyperlink"/>
            <w:noProof/>
            <w:rtl/>
          </w:rPr>
          <w:t xml:space="preserve"> </w:t>
        </w:r>
        <w:r w:rsidRPr="00126DC9">
          <w:rPr>
            <w:rStyle w:val="Hyperlink"/>
            <w:rFonts w:hint="eastAsia"/>
            <w:noProof/>
            <w:rtl/>
          </w:rPr>
          <w:t>با</w:t>
        </w:r>
        <w:r w:rsidRPr="00126DC9">
          <w:rPr>
            <w:rStyle w:val="Hyperlink"/>
            <w:noProof/>
            <w:rtl/>
          </w:rPr>
          <w:t xml:space="preserve"> </w:t>
        </w:r>
        <w:r w:rsidRPr="00126DC9">
          <w:rPr>
            <w:rStyle w:val="Hyperlink"/>
            <w:rFonts w:hint="eastAsia"/>
            <w:noProof/>
            <w:rtl/>
          </w:rPr>
          <w:t>ملاک</w:t>
        </w:r>
        <w:r w:rsidRPr="00126DC9">
          <w:rPr>
            <w:rStyle w:val="Hyperlink"/>
            <w:noProof/>
            <w:rtl/>
          </w:rPr>
          <w:t xml:space="preserve"> </w:t>
        </w:r>
        <w:r w:rsidRPr="00126DC9">
          <w:rPr>
            <w:rStyle w:val="Hyperlink"/>
            <w:rFonts w:hint="eastAsia"/>
            <w:noProof/>
            <w:rtl/>
          </w:rPr>
          <w:t>عمد</w:t>
        </w:r>
        <w:r w:rsidRPr="00126DC9">
          <w:rPr>
            <w:rStyle w:val="Hyperlink"/>
            <w:noProof/>
            <w:rtl/>
          </w:rPr>
          <w:t xml:space="preserve"> </w:t>
        </w:r>
        <w:r w:rsidRPr="00126DC9">
          <w:rPr>
            <w:rStyle w:val="Hyperlink"/>
            <w:rFonts w:hint="eastAsia"/>
            <w:noProof/>
            <w:rtl/>
          </w:rPr>
          <w:t>در</w:t>
        </w:r>
        <w:r w:rsidRPr="00126DC9">
          <w:rPr>
            <w:rStyle w:val="Hyperlink"/>
            <w:noProof/>
            <w:rtl/>
          </w:rPr>
          <w:t xml:space="preserve"> </w:t>
        </w:r>
        <w:r w:rsidRPr="00126DC9">
          <w:rPr>
            <w:rStyle w:val="Hyperlink"/>
            <w:rFonts w:hint="eastAsia"/>
            <w:noProof/>
            <w:rtl/>
          </w:rPr>
          <w:t>جواهر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500660133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56D25" w:rsidRDefault="00956D25" w:rsidP="00956D25">
      <w:pPr>
        <w:pStyle w:val="TOC2"/>
        <w:tabs>
          <w:tab w:val="right" w:leader="dot" w:pos="10194"/>
        </w:tabs>
        <w:rPr>
          <w:rFonts w:asciiTheme="minorHAnsi" w:eastAsiaTheme="minorEastAsia" w:hAnsiTheme="minorHAnsi" w:cstheme="minorBidi"/>
          <w:bCs w:val="0"/>
          <w:noProof/>
          <w:color w:val="auto"/>
          <w:szCs w:val="22"/>
          <w:rtl/>
        </w:rPr>
      </w:pPr>
      <w:hyperlink w:anchor="_Toc500660134" w:history="1">
        <w:r w:rsidRPr="00126DC9">
          <w:rPr>
            <w:rStyle w:val="Hyperlink"/>
            <w:rFonts w:hint="eastAsia"/>
            <w:noProof/>
            <w:rtl/>
          </w:rPr>
          <w:t>خلط</w:t>
        </w:r>
        <w:r w:rsidRPr="00126DC9">
          <w:rPr>
            <w:rStyle w:val="Hyperlink"/>
            <w:noProof/>
            <w:rtl/>
          </w:rPr>
          <w:t xml:space="preserve"> </w:t>
        </w:r>
        <w:r w:rsidRPr="00126DC9">
          <w:rPr>
            <w:rStyle w:val="Hyperlink"/>
            <w:rFonts w:hint="eastAsia"/>
            <w:noProof/>
            <w:rtl/>
          </w:rPr>
          <w:t>در</w:t>
        </w:r>
        <w:r w:rsidRPr="00126DC9">
          <w:rPr>
            <w:rStyle w:val="Hyperlink"/>
            <w:noProof/>
            <w:rtl/>
          </w:rPr>
          <w:t xml:space="preserve"> </w:t>
        </w:r>
        <w:r w:rsidRPr="00126DC9">
          <w:rPr>
            <w:rStyle w:val="Hyperlink"/>
            <w:rFonts w:hint="eastAsia"/>
            <w:noProof/>
            <w:rtl/>
          </w:rPr>
          <w:t>کلام</w:t>
        </w:r>
        <w:r w:rsidRPr="00126DC9">
          <w:rPr>
            <w:rStyle w:val="Hyperlink"/>
            <w:noProof/>
            <w:rtl/>
          </w:rPr>
          <w:t xml:space="preserve"> </w:t>
        </w:r>
        <w:r w:rsidRPr="00126DC9">
          <w:rPr>
            <w:rStyle w:val="Hyperlink"/>
            <w:rFonts w:hint="eastAsia"/>
            <w:noProof/>
            <w:rtl/>
          </w:rPr>
          <w:t>جواهر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500660134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56D25" w:rsidRDefault="00956D25" w:rsidP="00956D25">
      <w:pPr>
        <w:pStyle w:val="TOC2"/>
        <w:tabs>
          <w:tab w:val="right" w:leader="dot" w:pos="10194"/>
        </w:tabs>
        <w:rPr>
          <w:rFonts w:asciiTheme="minorHAnsi" w:eastAsiaTheme="minorEastAsia" w:hAnsiTheme="minorHAnsi" w:cstheme="minorBidi"/>
          <w:bCs w:val="0"/>
          <w:noProof/>
          <w:color w:val="auto"/>
          <w:szCs w:val="22"/>
          <w:rtl/>
        </w:rPr>
      </w:pPr>
      <w:hyperlink w:anchor="_Toc500660135" w:history="1">
        <w:r w:rsidRPr="00126DC9">
          <w:rPr>
            <w:rStyle w:val="Hyperlink"/>
            <w:rFonts w:hint="eastAsia"/>
            <w:noProof/>
            <w:rtl/>
          </w:rPr>
          <w:t>مسموم</w:t>
        </w:r>
        <w:r w:rsidRPr="00126DC9">
          <w:rPr>
            <w:rStyle w:val="Hyperlink"/>
            <w:noProof/>
            <w:rtl/>
          </w:rPr>
          <w:t xml:space="preserve"> </w:t>
        </w:r>
        <w:r w:rsidRPr="00126DC9">
          <w:rPr>
            <w:rStyle w:val="Hyperlink"/>
            <w:rFonts w:hint="eastAsia"/>
            <w:noProof/>
            <w:rtl/>
          </w:rPr>
          <w:t>نمودن</w:t>
        </w:r>
        <w:r w:rsidRPr="00126DC9">
          <w:rPr>
            <w:rStyle w:val="Hyperlink"/>
            <w:noProof/>
            <w:rtl/>
          </w:rPr>
          <w:t xml:space="preserve"> </w:t>
        </w:r>
        <w:r w:rsidRPr="00126DC9">
          <w:rPr>
            <w:rStyle w:val="Hyperlink"/>
            <w:rFonts w:hint="eastAsia"/>
            <w:noProof/>
            <w:rtl/>
          </w:rPr>
          <w:t>طعام</w:t>
        </w:r>
        <w:r w:rsidRPr="00126DC9">
          <w:rPr>
            <w:rStyle w:val="Hyperlink"/>
            <w:noProof/>
            <w:rtl/>
          </w:rPr>
          <w:t xml:space="preserve"> </w:t>
        </w:r>
        <w:r w:rsidRPr="00126DC9">
          <w:rPr>
            <w:rStyle w:val="Hyperlink"/>
            <w:rFonts w:hint="eastAsia"/>
            <w:noProof/>
            <w:rtl/>
          </w:rPr>
          <w:t>خود</w:t>
        </w:r>
        <w:r w:rsidRPr="00126DC9">
          <w:rPr>
            <w:rStyle w:val="Hyperlink"/>
            <w:noProof/>
            <w:rtl/>
          </w:rPr>
          <w:t xml:space="preserve"> </w:t>
        </w:r>
        <w:r w:rsidRPr="00126DC9">
          <w:rPr>
            <w:rStyle w:val="Hyperlink"/>
            <w:rFonts w:hint="eastAsia"/>
            <w:noProof/>
            <w:rtl/>
          </w:rPr>
          <w:t>و</w:t>
        </w:r>
        <w:r w:rsidRPr="00126DC9">
          <w:rPr>
            <w:rStyle w:val="Hyperlink"/>
            <w:noProof/>
            <w:rtl/>
          </w:rPr>
          <w:t xml:space="preserve"> </w:t>
        </w:r>
        <w:r w:rsidRPr="00126DC9">
          <w:rPr>
            <w:rStyle w:val="Hyperlink"/>
            <w:rFonts w:hint="eastAsia"/>
            <w:noProof/>
            <w:rtl/>
          </w:rPr>
          <w:t>جعل</w:t>
        </w:r>
        <w:r w:rsidRPr="00126DC9">
          <w:rPr>
            <w:rStyle w:val="Hyperlink"/>
            <w:noProof/>
            <w:rtl/>
          </w:rPr>
          <w:t xml:space="preserve"> </w:t>
        </w:r>
        <w:r w:rsidRPr="00126DC9">
          <w:rPr>
            <w:rStyle w:val="Hyperlink"/>
            <w:rFonts w:hint="eastAsia"/>
            <w:noProof/>
            <w:rtl/>
          </w:rPr>
          <w:t>آن</w:t>
        </w:r>
        <w:r w:rsidRPr="00126DC9">
          <w:rPr>
            <w:rStyle w:val="Hyperlink"/>
            <w:noProof/>
            <w:rtl/>
          </w:rPr>
          <w:t xml:space="preserve"> </w:t>
        </w:r>
        <w:r w:rsidRPr="00126DC9">
          <w:rPr>
            <w:rStyle w:val="Hyperlink"/>
            <w:rFonts w:hint="eastAsia"/>
            <w:noProof/>
            <w:rtl/>
          </w:rPr>
          <w:t>در</w:t>
        </w:r>
        <w:r w:rsidRPr="00126DC9">
          <w:rPr>
            <w:rStyle w:val="Hyperlink"/>
            <w:noProof/>
            <w:rtl/>
          </w:rPr>
          <w:t xml:space="preserve"> </w:t>
        </w:r>
        <w:r w:rsidRPr="00126DC9">
          <w:rPr>
            <w:rStyle w:val="Hyperlink"/>
            <w:rFonts w:hint="eastAsia"/>
            <w:noProof/>
            <w:rtl/>
          </w:rPr>
          <w:t>خانه</w:t>
        </w:r>
        <w:r w:rsidRPr="00126DC9">
          <w:rPr>
            <w:rStyle w:val="Hyperlink"/>
            <w:noProof/>
            <w:rtl/>
          </w:rPr>
          <w:t xml:space="preserve"> </w:t>
        </w:r>
        <w:r w:rsidRPr="00126DC9">
          <w:rPr>
            <w:rStyle w:val="Hyperlink"/>
            <w:rFonts w:hint="eastAsia"/>
            <w:noProof/>
            <w:rtl/>
          </w:rPr>
          <w:t>د</w:t>
        </w:r>
        <w:r w:rsidRPr="00126DC9">
          <w:rPr>
            <w:rStyle w:val="Hyperlink"/>
            <w:rFonts w:hint="cs"/>
            <w:noProof/>
            <w:rtl/>
          </w:rPr>
          <w:t>ی</w:t>
        </w:r>
        <w:r w:rsidRPr="00126DC9">
          <w:rPr>
            <w:rStyle w:val="Hyperlink"/>
            <w:rFonts w:hint="eastAsia"/>
            <w:noProof/>
            <w:rtl/>
          </w:rPr>
          <w:t>گر</w:t>
        </w:r>
        <w:r w:rsidRPr="00126DC9">
          <w:rPr>
            <w:rStyle w:val="Hyperlink"/>
            <w:rFonts w:hint="cs"/>
            <w:noProof/>
            <w:rtl/>
          </w:rPr>
          <w:t>ی</w:t>
        </w:r>
        <w:r w:rsidRPr="00126DC9">
          <w:rPr>
            <w:rStyle w:val="Hyperlink"/>
            <w:noProof/>
            <w:rtl/>
          </w:rPr>
          <w:t xml:space="preserve"> </w:t>
        </w:r>
        <w:r w:rsidRPr="00126DC9">
          <w:rPr>
            <w:rStyle w:val="Hyperlink"/>
            <w:rFonts w:hint="eastAsia"/>
            <w:noProof/>
            <w:rtl/>
          </w:rPr>
          <w:t>بدون</w:t>
        </w:r>
        <w:r w:rsidRPr="00126DC9">
          <w:rPr>
            <w:rStyle w:val="Hyperlink"/>
            <w:noProof/>
            <w:rtl/>
          </w:rPr>
          <w:t xml:space="preserve"> </w:t>
        </w:r>
        <w:r w:rsidRPr="00126DC9">
          <w:rPr>
            <w:rStyle w:val="Hyperlink"/>
            <w:rFonts w:hint="eastAsia"/>
            <w:noProof/>
            <w:rtl/>
          </w:rPr>
          <w:t>اشتباه</w:t>
        </w:r>
        <w:r w:rsidRPr="00126DC9">
          <w:rPr>
            <w:rStyle w:val="Hyperlink"/>
            <w:noProof/>
            <w:rtl/>
          </w:rPr>
          <w:t xml:space="preserve"> </w:t>
        </w:r>
        <w:r w:rsidRPr="00126DC9">
          <w:rPr>
            <w:rStyle w:val="Hyperlink"/>
            <w:rFonts w:hint="eastAsia"/>
            <w:noProof/>
            <w:rtl/>
          </w:rPr>
          <w:t>با</w:t>
        </w:r>
        <w:r w:rsidRPr="00126DC9">
          <w:rPr>
            <w:rStyle w:val="Hyperlink"/>
            <w:noProof/>
            <w:rtl/>
          </w:rPr>
          <w:t xml:space="preserve"> </w:t>
        </w:r>
        <w:r w:rsidRPr="00126DC9">
          <w:rPr>
            <w:rStyle w:val="Hyperlink"/>
            <w:rFonts w:hint="eastAsia"/>
            <w:noProof/>
            <w:rtl/>
          </w:rPr>
          <w:t>طعام</w:t>
        </w:r>
        <w:r w:rsidRPr="00126DC9">
          <w:rPr>
            <w:rStyle w:val="Hyperlink"/>
            <w:noProof/>
            <w:rtl/>
          </w:rPr>
          <w:t xml:space="preserve"> </w:t>
        </w:r>
        <w:r w:rsidRPr="00126DC9">
          <w:rPr>
            <w:rStyle w:val="Hyperlink"/>
            <w:rFonts w:hint="eastAsia"/>
            <w:noProof/>
            <w:rtl/>
          </w:rPr>
          <w:t>او</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500660135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56D25" w:rsidRDefault="00956D25" w:rsidP="00956D25">
      <w:pPr>
        <w:pStyle w:val="TOC2"/>
        <w:tabs>
          <w:tab w:val="right" w:leader="dot" w:pos="10194"/>
        </w:tabs>
        <w:rPr>
          <w:rFonts w:asciiTheme="minorHAnsi" w:eastAsiaTheme="minorEastAsia" w:hAnsiTheme="minorHAnsi" w:cstheme="minorBidi"/>
          <w:bCs w:val="0"/>
          <w:noProof/>
          <w:color w:val="auto"/>
          <w:szCs w:val="22"/>
          <w:rtl/>
        </w:rPr>
      </w:pPr>
      <w:hyperlink w:anchor="_Toc500660136" w:history="1">
        <w:r w:rsidRPr="00126DC9">
          <w:rPr>
            <w:rStyle w:val="Hyperlink"/>
            <w:rFonts w:hint="eastAsia"/>
            <w:noProof/>
            <w:rtl/>
          </w:rPr>
          <w:t>صحت</w:t>
        </w:r>
        <w:r w:rsidRPr="00126DC9">
          <w:rPr>
            <w:rStyle w:val="Hyperlink"/>
            <w:noProof/>
            <w:rtl/>
          </w:rPr>
          <w:t xml:space="preserve"> </w:t>
        </w:r>
        <w:r w:rsidRPr="00126DC9">
          <w:rPr>
            <w:rStyle w:val="Hyperlink"/>
            <w:rFonts w:hint="eastAsia"/>
            <w:noProof/>
            <w:rtl/>
          </w:rPr>
          <w:t>کلام</w:t>
        </w:r>
        <w:r w:rsidRPr="00126DC9">
          <w:rPr>
            <w:rStyle w:val="Hyperlink"/>
            <w:noProof/>
            <w:rtl/>
          </w:rPr>
          <w:t xml:space="preserve"> </w:t>
        </w:r>
        <w:r w:rsidRPr="00126DC9">
          <w:rPr>
            <w:rStyle w:val="Hyperlink"/>
            <w:rFonts w:hint="eastAsia"/>
            <w:noProof/>
            <w:rtl/>
          </w:rPr>
          <w:t>مرحوم</w:t>
        </w:r>
        <w:r w:rsidRPr="00126DC9">
          <w:rPr>
            <w:rStyle w:val="Hyperlink"/>
            <w:noProof/>
            <w:rtl/>
          </w:rPr>
          <w:t xml:space="preserve"> </w:t>
        </w:r>
        <w:r w:rsidRPr="00126DC9">
          <w:rPr>
            <w:rStyle w:val="Hyperlink"/>
            <w:rFonts w:hint="eastAsia"/>
            <w:noProof/>
            <w:rtl/>
          </w:rPr>
          <w:t>صاحب</w:t>
        </w:r>
        <w:r w:rsidRPr="00126DC9">
          <w:rPr>
            <w:rStyle w:val="Hyperlink"/>
            <w:noProof/>
            <w:rtl/>
          </w:rPr>
          <w:t xml:space="preserve"> </w:t>
        </w:r>
        <w:r w:rsidRPr="00126DC9">
          <w:rPr>
            <w:rStyle w:val="Hyperlink"/>
            <w:rFonts w:hint="eastAsia"/>
            <w:noProof/>
            <w:rtl/>
          </w:rPr>
          <w:t>جواهر</w:t>
        </w:r>
        <w:r w:rsidRPr="00126DC9">
          <w:rPr>
            <w:rStyle w:val="Hyperlink"/>
            <w:noProof/>
            <w:rtl/>
          </w:rPr>
          <w:t xml:space="preserve"> </w:t>
        </w:r>
        <w:r w:rsidRPr="00126DC9">
          <w:rPr>
            <w:rStyle w:val="Hyperlink"/>
            <w:rFonts w:hint="eastAsia"/>
            <w:noProof/>
            <w:rtl/>
          </w:rPr>
          <w:t>ره</w:t>
        </w:r>
        <w:r w:rsidRPr="00126DC9">
          <w:rPr>
            <w:rStyle w:val="Hyperlink"/>
            <w:noProof/>
            <w:rtl/>
          </w:rPr>
          <w:t xml:space="preserve"> </w:t>
        </w:r>
        <w:r w:rsidRPr="00126DC9">
          <w:rPr>
            <w:rStyle w:val="Hyperlink"/>
            <w:rFonts w:hint="eastAsia"/>
            <w:noProof/>
            <w:rtl/>
          </w:rPr>
          <w:t>و</w:t>
        </w:r>
        <w:r w:rsidRPr="00126DC9">
          <w:rPr>
            <w:rStyle w:val="Hyperlink"/>
            <w:noProof/>
            <w:rtl/>
          </w:rPr>
          <w:t xml:space="preserve"> </w:t>
        </w:r>
        <w:r w:rsidRPr="00126DC9">
          <w:rPr>
            <w:rStyle w:val="Hyperlink"/>
            <w:rFonts w:hint="eastAsia"/>
            <w:noProof/>
            <w:rtl/>
          </w:rPr>
          <w:t>ملاک</w:t>
        </w:r>
        <w:r w:rsidRPr="00126DC9">
          <w:rPr>
            <w:rStyle w:val="Hyperlink"/>
            <w:rFonts w:hint="cs"/>
            <w:noProof/>
            <w:rtl/>
          </w:rPr>
          <w:t>ی</w:t>
        </w:r>
        <w:r w:rsidRPr="00126DC9">
          <w:rPr>
            <w:rStyle w:val="Hyperlink"/>
            <w:rFonts w:hint="eastAsia"/>
            <w:noProof/>
            <w:rtl/>
          </w:rPr>
          <w:t>ت</w:t>
        </w:r>
        <w:r w:rsidRPr="00126DC9">
          <w:rPr>
            <w:rStyle w:val="Hyperlink"/>
            <w:noProof/>
            <w:rtl/>
          </w:rPr>
          <w:t xml:space="preserve"> </w:t>
        </w:r>
        <w:r w:rsidRPr="00126DC9">
          <w:rPr>
            <w:rStyle w:val="Hyperlink"/>
            <w:rFonts w:hint="eastAsia"/>
            <w:noProof/>
            <w:rtl/>
          </w:rPr>
          <w:t>استناد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500660136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956D25" w:rsidRDefault="00956D25" w:rsidP="00956D25">
      <w:pPr>
        <w:pStyle w:val="TOC3"/>
        <w:tabs>
          <w:tab w:val="right" w:leader="dot" w:pos="10194"/>
        </w:tabs>
        <w:rPr>
          <w:rFonts w:asciiTheme="minorHAnsi" w:eastAsiaTheme="minorEastAsia" w:hAnsiTheme="minorHAnsi" w:cstheme="minorBidi"/>
          <w:bCs w:val="0"/>
          <w:iCs w:val="0"/>
          <w:noProof/>
          <w:color w:val="auto"/>
          <w:szCs w:val="22"/>
          <w:rtl/>
        </w:rPr>
      </w:pPr>
      <w:hyperlink w:anchor="_Toc500660137" w:history="1">
        <w:r w:rsidRPr="00126DC9">
          <w:rPr>
            <w:rStyle w:val="Hyperlink"/>
            <w:rFonts w:hint="eastAsia"/>
            <w:noProof/>
            <w:rtl/>
          </w:rPr>
          <w:t>بقا</w:t>
        </w:r>
        <w:r w:rsidRPr="00126DC9">
          <w:rPr>
            <w:rStyle w:val="Hyperlink"/>
            <w:rFonts w:hint="cs"/>
            <w:noProof/>
            <w:rtl/>
          </w:rPr>
          <w:t>ی</w:t>
        </w:r>
        <w:r w:rsidRPr="00126DC9">
          <w:rPr>
            <w:rStyle w:val="Hyperlink"/>
            <w:noProof/>
            <w:rtl/>
          </w:rPr>
          <w:t xml:space="preserve"> </w:t>
        </w:r>
        <w:r w:rsidRPr="00126DC9">
          <w:rPr>
            <w:rStyle w:val="Hyperlink"/>
            <w:rFonts w:hint="eastAsia"/>
            <w:noProof/>
            <w:rtl/>
          </w:rPr>
          <w:t>اشکال</w:t>
        </w:r>
        <w:r w:rsidRPr="00126DC9">
          <w:rPr>
            <w:rStyle w:val="Hyperlink"/>
            <w:noProof/>
            <w:rtl/>
          </w:rPr>
          <w:t xml:space="preserve"> </w:t>
        </w:r>
        <w:r w:rsidRPr="00126DC9">
          <w:rPr>
            <w:rStyle w:val="Hyperlink"/>
            <w:rFonts w:hint="eastAsia"/>
            <w:noProof/>
            <w:rtl/>
          </w:rPr>
          <w:t>بر</w:t>
        </w:r>
        <w:r w:rsidRPr="00126DC9">
          <w:rPr>
            <w:rStyle w:val="Hyperlink"/>
            <w:noProof/>
            <w:rtl/>
          </w:rPr>
          <w:t xml:space="preserve"> </w:t>
        </w:r>
        <w:r w:rsidRPr="00126DC9">
          <w:rPr>
            <w:rStyle w:val="Hyperlink"/>
            <w:rFonts w:hint="eastAsia"/>
            <w:noProof/>
            <w:rtl/>
          </w:rPr>
          <w:t>تفک</w:t>
        </w:r>
        <w:r w:rsidRPr="00126DC9">
          <w:rPr>
            <w:rStyle w:val="Hyperlink"/>
            <w:rFonts w:hint="cs"/>
            <w:noProof/>
            <w:rtl/>
          </w:rPr>
          <w:t>ی</w:t>
        </w:r>
        <w:r w:rsidRPr="00126DC9">
          <w:rPr>
            <w:rStyle w:val="Hyperlink"/>
            <w:rFonts w:hint="eastAsia"/>
            <w:noProof/>
            <w:rtl/>
          </w:rPr>
          <w:t>ک</w:t>
        </w:r>
        <w:r w:rsidRPr="00126DC9">
          <w:rPr>
            <w:rStyle w:val="Hyperlink"/>
            <w:noProof/>
            <w:rtl/>
          </w:rPr>
          <w:t xml:space="preserve"> </w:t>
        </w:r>
        <w:r w:rsidRPr="00126DC9">
          <w:rPr>
            <w:rStyle w:val="Hyperlink"/>
            <w:rFonts w:hint="eastAsia"/>
            <w:noProof/>
            <w:rtl/>
          </w:rPr>
          <w:t>ب</w:t>
        </w:r>
        <w:r w:rsidRPr="00126DC9">
          <w:rPr>
            <w:rStyle w:val="Hyperlink"/>
            <w:rFonts w:hint="cs"/>
            <w:noProof/>
            <w:rtl/>
          </w:rPr>
          <w:t>ی</w:t>
        </w:r>
        <w:r w:rsidRPr="00126DC9">
          <w:rPr>
            <w:rStyle w:val="Hyperlink"/>
            <w:rFonts w:hint="eastAsia"/>
            <w:noProof/>
            <w:rtl/>
          </w:rPr>
          <w:t>ن</w:t>
        </w:r>
        <w:r w:rsidRPr="00126DC9">
          <w:rPr>
            <w:rStyle w:val="Hyperlink"/>
            <w:noProof/>
            <w:rtl/>
          </w:rPr>
          <w:t xml:space="preserve"> </w:t>
        </w:r>
        <w:r w:rsidRPr="00126DC9">
          <w:rPr>
            <w:rStyle w:val="Hyperlink"/>
            <w:rFonts w:hint="eastAsia"/>
            <w:noProof/>
            <w:rtl/>
          </w:rPr>
          <w:t>د</w:t>
        </w:r>
        <w:r w:rsidRPr="00126DC9">
          <w:rPr>
            <w:rStyle w:val="Hyperlink"/>
            <w:rFonts w:hint="cs"/>
            <w:noProof/>
            <w:rtl/>
          </w:rPr>
          <w:t>ی</w:t>
        </w:r>
        <w:r w:rsidRPr="00126DC9">
          <w:rPr>
            <w:rStyle w:val="Hyperlink"/>
            <w:rFonts w:hint="eastAsia"/>
            <w:noProof/>
            <w:rtl/>
          </w:rPr>
          <w:t>ه</w:t>
        </w:r>
        <w:r w:rsidRPr="00126DC9">
          <w:rPr>
            <w:rStyle w:val="Hyperlink"/>
            <w:noProof/>
            <w:rtl/>
          </w:rPr>
          <w:t xml:space="preserve"> </w:t>
        </w:r>
        <w:r w:rsidRPr="00126DC9">
          <w:rPr>
            <w:rStyle w:val="Hyperlink"/>
            <w:rFonts w:hint="eastAsia"/>
            <w:noProof/>
            <w:rtl/>
          </w:rPr>
          <w:t>و</w:t>
        </w:r>
        <w:r w:rsidRPr="00126DC9">
          <w:rPr>
            <w:rStyle w:val="Hyperlink"/>
            <w:noProof/>
            <w:rtl/>
          </w:rPr>
          <w:t xml:space="preserve"> </w:t>
        </w:r>
        <w:r w:rsidRPr="00126DC9">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500660137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956D25"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8F5D11">
        <w:rPr>
          <w:rFonts w:hint="cs"/>
          <w:rtl/>
        </w:rPr>
        <w:t>مراتب</w:t>
      </w:r>
      <w:r w:rsidR="008F5D11">
        <w:rPr>
          <w:rtl/>
        </w:rPr>
        <w:t xml:space="preserve"> </w:t>
      </w:r>
      <w:r w:rsidR="008F5D11">
        <w:rPr>
          <w:rFonts w:hint="cs"/>
          <w:rtl/>
        </w:rPr>
        <w:t>تسبیب</w:t>
      </w:r>
      <w:r w:rsidR="00025B70">
        <w:rPr>
          <w:rFonts w:hint="cs"/>
          <w:rtl/>
        </w:rPr>
        <w:t xml:space="preserve"> </w:t>
      </w:r>
      <w:r w:rsidR="00386C11" w:rsidRPr="00A6366F">
        <w:rPr>
          <w:rFonts w:hint="cs"/>
          <w:rtl/>
        </w:rPr>
        <w:t>/</w:t>
      </w:r>
      <w:bookmarkStart w:id="1" w:name="BokSabj_d"/>
      <w:bookmarkEnd w:id="1"/>
      <w:r w:rsidR="008F5D11">
        <w:rPr>
          <w:rFonts w:hint="cs"/>
          <w:rtl/>
        </w:rPr>
        <w:t>موجبات</w:t>
      </w:r>
      <w:r w:rsidR="008F5D11">
        <w:rPr>
          <w:rtl/>
        </w:rPr>
        <w:t xml:space="preserve"> </w:t>
      </w:r>
      <w:r w:rsidR="008F5D11">
        <w:rPr>
          <w:rFonts w:hint="cs"/>
          <w:rtl/>
        </w:rPr>
        <w:t>قصاص</w:t>
      </w:r>
      <w:r w:rsidR="00386C11" w:rsidRPr="00A6366F">
        <w:rPr>
          <w:rFonts w:hint="cs"/>
          <w:rtl/>
        </w:rPr>
        <w:t xml:space="preserve"> /</w:t>
      </w:r>
      <w:bookmarkStart w:id="2" w:name="Bokkolli"/>
      <w:bookmarkEnd w:id="2"/>
      <w:r w:rsidR="008F5D11">
        <w:rPr>
          <w:rFonts w:hint="cs"/>
          <w:rtl/>
        </w:rPr>
        <w:t>کتاب</w:t>
      </w:r>
      <w:r w:rsidR="008F5D11">
        <w:rPr>
          <w:rtl/>
        </w:rPr>
        <w:t xml:space="preserve"> </w:t>
      </w:r>
      <w:r w:rsidR="008F5D11">
        <w:rPr>
          <w:rFonts w:hint="cs"/>
          <w:rtl/>
        </w:rPr>
        <w:t>القصاص</w:t>
      </w:r>
      <w:r w:rsidR="008F5D11">
        <w:rPr>
          <w:rtl/>
        </w:rPr>
        <w:t xml:space="preserve"> </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0B25E2" w:rsidP="003A6148">
      <w:pPr>
        <w:pBdr>
          <w:bottom w:val="double" w:sz="6" w:space="1" w:color="auto"/>
        </w:pBdr>
        <w:rPr>
          <w:rtl/>
        </w:rPr>
      </w:pPr>
      <w:r>
        <w:rPr>
          <w:rFonts w:hint="cs"/>
          <w:rtl/>
        </w:rPr>
        <w:t>بحث در مراتب تسبیب به فرض مسموم نمودن غذای غیر یا غذای خود شخص و احکام آن از حیث ضمان و قصاص و دیه رسید.</w:t>
      </w:r>
    </w:p>
    <w:p w:rsidR="00247D2F" w:rsidRPr="003A6148" w:rsidRDefault="00247D2F" w:rsidP="003A6148">
      <w:pPr>
        <w:pBdr>
          <w:bottom w:val="double" w:sz="6" w:space="1" w:color="auto"/>
        </w:pBdr>
      </w:pPr>
    </w:p>
    <w:p w:rsidR="008F5B4D" w:rsidRDefault="008F5B4D" w:rsidP="000B25E2"/>
    <w:p w:rsidR="000B25E2" w:rsidRPr="000B25E2" w:rsidRDefault="000B25E2" w:rsidP="000B25E2">
      <w:r>
        <w:rPr>
          <w:rFonts w:hint="cs"/>
          <w:rtl/>
        </w:rPr>
        <w:t>مرحوم صاحب جواهر فرمود که</w:t>
      </w:r>
      <w:r w:rsidRPr="000B25E2">
        <w:rPr>
          <w:rFonts w:hint="cs"/>
          <w:rtl/>
        </w:rPr>
        <w:t xml:space="preserve"> اگر فرد غذایی را مسموم کند و به کسی تقدیم کند در این صورت محکوم به قصاص است اما اگر غذا را مسموم کند ولی به کسی تقدیم نکند، مثلا غذای خود صاحب خانه را مسموم کند، در این صورت مرحوم محقق حکم کردند محکوم به قصاص نیست.</w:t>
      </w:r>
    </w:p>
    <w:p w:rsidR="000B25E2" w:rsidRPr="000B25E2" w:rsidRDefault="000B25E2" w:rsidP="000B25E2">
      <w:r w:rsidRPr="000B25E2">
        <w:rPr>
          <w:rFonts w:hint="cs"/>
          <w:rtl/>
        </w:rPr>
        <w:t>مرحوم صاحب جواهر ره در فرضی که طعام مسموم به مجنی علیه تقدیم شود، حکم به قصاص نموده است در حالی که اگر فرد غذای صاحب خانه را مسموم کند، با توجه به این که تقدیمی در کار نیست بر خلاف مسموم نمودن غذای مهمان توسط میزبان، مرحوم محقق ره قائل به عدم تحقق قصاص شده است.</w:t>
      </w:r>
    </w:p>
    <w:p w:rsidR="000B25E2" w:rsidRPr="000B25E2" w:rsidRDefault="000B25E2" w:rsidP="000B25E2">
      <w:r w:rsidRPr="000B25E2">
        <w:rPr>
          <w:rFonts w:hint="cs"/>
          <w:rtl/>
        </w:rPr>
        <w:t>همان طور که بیان شد، ملاک حکم در مقام، استناد و عدم آن است، و با توجه به این که  از نظر ایشان، استناد متقوم به تقدیم است، در موارد مسمومیت غذای مهمان این تقدیم وجود دارد، لذا حکم به قصاص در آن  علی القاعده است، و حکم مباشرت به واسطه غرور ساقط می شود، بر خلاف مواردی که غذای میزبان مسموم شده است و تقدیمی در آن متصور نیست.</w:t>
      </w:r>
    </w:p>
    <w:p w:rsidR="000B25E2" w:rsidRPr="000B25E2" w:rsidRDefault="000B25E2" w:rsidP="000B25E2">
      <w:r w:rsidRPr="000B25E2">
        <w:rPr>
          <w:rFonts w:hint="cs"/>
          <w:rtl/>
        </w:rPr>
        <w:t>در واقع تقدیم طعام نوعی وادار نمودن فرد به خوردن است، اما به هر حال مرحوم محقق ره قائل به ثبوت دیه در این جا شده است و منکر قصاص شده است.</w:t>
      </w:r>
    </w:p>
    <w:p w:rsidR="000B25E2" w:rsidRPr="000B25E2" w:rsidRDefault="000B25E2" w:rsidP="000B25E2">
      <w:r w:rsidRPr="000B25E2">
        <w:rPr>
          <w:rFonts w:hint="cs"/>
          <w:rtl/>
        </w:rPr>
        <w:t xml:space="preserve">مرحوم صاحب جواهر ره به مرحوم محقق اشکال نموده است که در این جا نیز قصاص ثابت است و تقدیم غذا در حکم دخلی ندارد و عدم الجا در هر دو فرض مسلم است، بنابراین چه در مورد تقدیم و چه در غیر آن قصاص ثابت است. البته ممکن است حکم بین موارد و فروض مختلف تفاوت هایی داشته باشد، کما این که در فرضی که شخص طعام خود را مسموم </w:t>
      </w:r>
      <w:r w:rsidRPr="000B25E2">
        <w:rPr>
          <w:rFonts w:hint="cs"/>
          <w:rtl/>
        </w:rPr>
        <w:lastRenderedPageBreak/>
        <w:t>کرده و به قصد قتل شخصی که عدوانا وارد خانه او خواهد شد در خانه خود قرار می دهد، در این صورت وقوع قتل باز هم قصاص ثابت نیست.</w:t>
      </w:r>
    </w:p>
    <w:p w:rsidR="000B25E2" w:rsidRDefault="000B25E2" w:rsidP="000B25E2">
      <w:pPr>
        <w:pStyle w:val="Heading2"/>
        <w:rPr>
          <w:rtl/>
        </w:rPr>
      </w:pPr>
      <w:bookmarkStart w:id="3" w:name="_Toc500660133"/>
      <w:r>
        <w:rPr>
          <w:rFonts w:hint="cs"/>
          <w:rtl/>
        </w:rPr>
        <w:t>عدم تنافی بین عدم ضمان با ملاک عمد در جواهر</w:t>
      </w:r>
      <w:bookmarkEnd w:id="3"/>
    </w:p>
    <w:p w:rsidR="000B25E2" w:rsidRPr="000B25E2" w:rsidRDefault="000B25E2" w:rsidP="000B25E2">
      <w:r w:rsidRPr="000B25E2">
        <w:rPr>
          <w:rFonts w:hint="cs"/>
          <w:rtl/>
        </w:rPr>
        <w:t>و قطعا این حکم با ضابطه مورد نظر ایشان در عمد منافات ندارد؛ چرا که ملاک و ضابطه حکم در نظر ایشان قصد قتل یا غلبه کشندگی فعل در فرض استناد بود، در حالی که در مقام استناد محقق نیست، لذا ولو این که قتلی روی داده است و فرضا قصد قتل و یا غلبه فعل در کشندگی هم وجود داشته است، اما چون استناد محقق نیست حکم به قصاص ساقط می شود.</w:t>
      </w:r>
    </w:p>
    <w:p w:rsidR="000B25E2" w:rsidRPr="000B25E2" w:rsidRDefault="000B25E2" w:rsidP="000B25E2">
      <w:r w:rsidRPr="000B25E2">
        <w:rPr>
          <w:rFonts w:hint="cs"/>
          <w:rtl/>
        </w:rPr>
        <w:t>البته در جواهر قیدی اضافه شده است که این حکم به عدم قصاص در این فرض را مقید به موردی می داند که دفع این آکل بدون این فعل ممکن نباشد، و الا همان حکم قصاص با توجه به تحقق استناد بار می شود.</w:t>
      </w:r>
    </w:p>
    <w:p w:rsidR="000B25E2" w:rsidRDefault="000B25E2" w:rsidP="00956D25">
      <w:pPr>
        <w:rPr>
          <w:rFonts w:ascii="IRNazanin" w:eastAsia="Times New Roman" w:hAnsi="IRNazanin" w:cs="IRNazanin"/>
          <w:color w:val="000000"/>
          <w:sz w:val="36"/>
          <w:szCs w:val="36"/>
          <w:rtl/>
        </w:rPr>
      </w:pPr>
      <w:r w:rsidRPr="000B25E2">
        <w:rPr>
          <w:rStyle w:val="a3"/>
          <w:rFonts w:hint="cs"/>
          <w:rtl/>
        </w:rPr>
        <w:t>«نعم هو كذلك لو جعل السم في طعام نفسه و جعل في منزله فدخل إنسان فأكله عاديا، فلا ضمان بقصاص و لا دية، للأصل بعد أن كان الآكل متعديا بدخول دار غيره و أكله من طعامه، بل لو قصد قتله بذلك لم يكن عليه شي‌ء، مثل أن يعلم أن ظالما يريد هجوم دار فيترك السم في الطعام ليقتله مع فرض توقف دفعه على ذلك.»</w:t>
      </w:r>
      <w:r w:rsidR="00956D25">
        <w:rPr>
          <w:rStyle w:val="FootnoteReference"/>
          <w:b/>
          <w:bCs/>
          <w:color w:val="000080"/>
          <w:sz w:val="20"/>
          <w:rtl/>
        </w:rPr>
        <w:footnoteReference w:id="1"/>
      </w:r>
      <w:r w:rsidRPr="000B25E2">
        <w:rPr>
          <w:rFonts w:ascii="IRNazanin" w:eastAsia="Times New Roman" w:hAnsi="IRNazanin" w:cs="IRNazanin" w:hint="cs"/>
          <w:color w:val="000000"/>
          <w:sz w:val="36"/>
          <w:szCs w:val="36"/>
          <w:rtl/>
        </w:rPr>
        <w:t xml:space="preserve"> </w:t>
      </w:r>
    </w:p>
    <w:p w:rsidR="000B25E2" w:rsidRPr="000B25E2" w:rsidRDefault="000B25E2" w:rsidP="000B25E2">
      <w:pPr>
        <w:pStyle w:val="Heading2"/>
      </w:pPr>
      <w:bookmarkStart w:id="4" w:name="_Toc500660134"/>
      <w:r w:rsidRPr="000B25E2">
        <w:rPr>
          <w:rFonts w:hint="cs"/>
          <w:rtl/>
        </w:rPr>
        <w:t>خلط در کلام جواهر</w:t>
      </w:r>
      <w:bookmarkEnd w:id="4"/>
    </w:p>
    <w:p w:rsidR="000B25E2" w:rsidRPr="000B25E2" w:rsidRDefault="000B25E2" w:rsidP="000B25E2">
      <w:r w:rsidRPr="000B25E2">
        <w:rPr>
          <w:rFonts w:hint="cs"/>
          <w:rtl/>
        </w:rPr>
        <w:t>به نظر می رسد که مرحوم صاحب جواهر ره در این بخش از کلام خود دچار خلط مبحث شده است؛ چرا که در فرض مسموم نمودن غذای خود شخص، منکر تسبیب شده بود  و در ادامه گفت که حتی اگر قصد قتل هم داشته باشد باز هم تسبیبی در کار نیست، و قهرا با این بیان نیازی به قید اخیر؛ یعنی، عدم امکان دفع به واسطه امر دیگر نخواهد بود و همه چیز تابع تسبیب و عدم آن است.</w:t>
      </w:r>
    </w:p>
    <w:p w:rsidR="000B25E2" w:rsidRPr="000B25E2" w:rsidRDefault="000B25E2" w:rsidP="000B25E2">
      <w:pPr>
        <w:pStyle w:val="Heading2"/>
      </w:pPr>
      <w:bookmarkStart w:id="5" w:name="_Toc500660135"/>
      <w:r w:rsidRPr="000B25E2">
        <w:rPr>
          <w:rFonts w:hint="cs"/>
          <w:rtl/>
        </w:rPr>
        <w:t>مسموم نمودن طعام خود و جعل آن در خانه دیگری بدون اشتباه با طعام او</w:t>
      </w:r>
      <w:bookmarkEnd w:id="5"/>
    </w:p>
    <w:p w:rsidR="000B25E2" w:rsidRPr="000B25E2" w:rsidRDefault="000B25E2" w:rsidP="000B25E2">
      <w:r w:rsidRPr="000B25E2">
        <w:rPr>
          <w:rFonts w:hint="cs"/>
          <w:rtl/>
        </w:rPr>
        <w:t xml:space="preserve">فرض دیگری را که مطرح می کنند در جایی است که شخص طعام خود را مسموم نموده و آن را در خانه دیگری قرار می دهد به نحوی که با طعام او مشتبه نمی شود اما صاحب خانه از آن غذا تناول می کند، در این فرض ایشان منکر قصاص شده است </w:t>
      </w:r>
      <w:r w:rsidRPr="000B25E2">
        <w:rPr>
          <w:rFonts w:hint="cs"/>
          <w:rtl/>
        </w:rPr>
        <w:lastRenderedPageBreak/>
        <w:t>به این جهت که اکل صاحب خانه را عدوانی می داند، بر خلاف مواردی که شخص غذای دیگری را مسموم می کند که قصاص در آن مسلم است. بنابراین به نظر می رسد که اشکال مرحوم محقق ره نا تمام است.</w:t>
      </w:r>
    </w:p>
    <w:p w:rsidR="000B25E2" w:rsidRDefault="000B25E2" w:rsidP="000B25E2">
      <w:pPr>
        <w:rPr>
          <w:rFonts w:ascii="IRNazanin" w:eastAsia="Times New Roman" w:hAnsi="IRNazanin" w:cs="IRNazanin"/>
          <w:color w:val="000000"/>
          <w:sz w:val="36"/>
          <w:szCs w:val="36"/>
          <w:rtl/>
        </w:rPr>
      </w:pPr>
      <w:r w:rsidRPr="000B25E2">
        <w:rPr>
          <w:rStyle w:val="a3"/>
          <w:rFonts w:hint="cs"/>
          <w:rtl/>
        </w:rPr>
        <w:t>«</w:t>
      </w:r>
      <w:r w:rsidRPr="000B25E2">
        <w:rPr>
          <w:rStyle w:val="a3"/>
          <w:rtl/>
        </w:rPr>
        <w:t>لا ضمان لو سم طعاما و وضعه في منزل الآكل و لم يخلطه بطعامه و لا جعله حيث يشتبه عليه بل أكله و هو يعلم أنه ليس له، و لو جعله بحيث يشتبه عليه كان عليه الدية، كما في كشف اللثام.»</w:t>
      </w:r>
      <w:r>
        <w:rPr>
          <w:rStyle w:val="FootnoteReference"/>
          <w:rFonts w:ascii="IRNazanin" w:eastAsia="Times New Roman" w:hAnsi="IRNazanin" w:cs="IRNazanin"/>
          <w:color w:val="000000"/>
          <w:sz w:val="36"/>
          <w:szCs w:val="36"/>
          <w:rtl/>
        </w:rPr>
        <w:footnoteReference w:id="2"/>
      </w:r>
    </w:p>
    <w:p w:rsidR="000B25E2" w:rsidRPr="000B25E2" w:rsidRDefault="000B25E2" w:rsidP="000B25E2">
      <w:pPr>
        <w:pStyle w:val="Heading2"/>
      </w:pPr>
      <w:r w:rsidRPr="000B25E2">
        <w:rPr>
          <w:rFonts w:hint="cs"/>
          <w:rtl/>
        </w:rPr>
        <w:t xml:space="preserve"> </w:t>
      </w:r>
      <w:bookmarkStart w:id="6" w:name="_Toc500660136"/>
      <w:r w:rsidRPr="000B25E2">
        <w:rPr>
          <w:rFonts w:hint="cs"/>
          <w:rtl/>
        </w:rPr>
        <w:t>صحت کلام مرحوم صاحب جواهر ره و ملاکیت استناد</w:t>
      </w:r>
      <w:bookmarkEnd w:id="6"/>
      <w:r w:rsidRPr="000B25E2">
        <w:rPr>
          <w:rFonts w:hint="cs"/>
          <w:rtl/>
        </w:rPr>
        <w:t xml:space="preserve"> </w:t>
      </w:r>
    </w:p>
    <w:p w:rsidR="000B25E2" w:rsidRPr="000B25E2" w:rsidRDefault="000B25E2" w:rsidP="000B25E2">
      <w:r w:rsidRPr="000B25E2">
        <w:rPr>
          <w:rFonts w:hint="cs"/>
          <w:rtl/>
        </w:rPr>
        <w:t>به نظر می رسد که فرمایشات مرحوم صاحب جواهر در این فروض تمام باشد، نه به این نکته که علت عدم تحقق قصاص حرام بودن فعل آکل در اکل عدوانی است، کما این که در مثل جایی که گوشت خوک که حرام است مسموم شده باشد، و به فرد تقدیم شود، حکم قصاص بار می شود، بلکه از این باب که ملاک استناد و تسبیب است که در مقام منتفی است، حکم به عدم قصاص می شود.</w:t>
      </w:r>
    </w:p>
    <w:p w:rsidR="000B25E2" w:rsidRPr="000B25E2" w:rsidRDefault="000B25E2" w:rsidP="000B25E2">
      <w:pPr>
        <w:pStyle w:val="Heading3"/>
      </w:pPr>
      <w:bookmarkStart w:id="7" w:name="_Toc500660137"/>
      <w:r w:rsidRPr="000B25E2">
        <w:rPr>
          <w:rFonts w:hint="cs"/>
          <w:rtl/>
        </w:rPr>
        <w:t>بقای اشکال بر تفکیک بین دیه و قصاص</w:t>
      </w:r>
      <w:bookmarkEnd w:id="7"/>
    </w:p>
    <w:p w:rsidR="000B25E2" w:rsidRDefault="000B25E2" w:rsidP="000B25E2">
      <w:pPr>
        <w:rPr>
          <w:rtl/>
        </w:rPr>
      </w:pPr>
      <w:r w:rsidRPr="000B25E2">
        <w:rPr>
          <w:rFonts w:hint="cs"/>
          <w:rtl/>
        </w:rPr>
        <w:t xml:space="preserve">اما آن فرمایش مرحوم صاحب جواهر قده که در آن بین قصاص و دیه در فرض مسموم نمودن غذا و عدم تقدیم به غیر، قائل به تفکیک شده بود، کما کان نا تمام است و دو دلیلی هم که ایشان بدان تمسک نمود؛ یعنی، ترتب قتل و دلیل </w:t>
      </w:r>
      <w:r w:rsidRPr="000B25E2">
        <w:t>«</w:t>
      </w:r>
      <w:r w:rsidRPr="000B25E2">
        <w:rPr>
          <w:rFonts w:hint="cs"/>
          <w:rtl/>
        </w:rPr>
        <w:t>لا یبطل دم امرء مسلم»، در این جا کارایی ندارد؛ چرا که صرف ترتب بدون استناد، نه موضوع قصاص است و نه موضوع دیه، و گرنه در بسیاری از فروضی که منکر قصاص و دیه شده اند نیز ترتب قتل بر فعل مسموم کنند وجود داشت و می بایست در این موارد نیز قائل به ضمان می شدند، و از طرفی هم تمسک به قاعده منع از پایمال شدن خون مسلم نیز در این جا صحیح نیست؛ چرا که این قاعده و روایات آن در مقام بیان ضمان خون مسلمان نیستند، بلکه در صدد بیان این نکته هستند که هر جا حقی برای شخص مفروض باشد می بایست آن را احقاق نمود، حتی اگر از بیت المال احقاق شود، مثلا هر جا خونی ریخته شد، نباید پایمال شود ولو این که از بیت المال تأمین شود و به سبب اموری مثل اشتباه و تردید و جهل و ... قابل استناد به کسی نباشد، یعنی هر جا اصل ضمان مسلم بود ولی ضامن مشخص نبود یا امکان دسترسی به او وجود نداشت، باید به هر وجهی که شده احقاق حق نمود، البته موارد شک در اصل ضمان با این قاعده اثبات نمی شود</w:t>
      </w:r>
      <w:r w:rsidRPr="000B25E2">
        <w:t>.</w:t>
      </w:r>
    </w:p>
    <w:p w:rsidR="000B25E2" w:rsidRPr="000B25E2" w:rsidRDefault="000B25E2" w:rsidP="000B25E2">
      <w:r w:rsidRPr="000B25E2">
        <w:rPr>
          <w:rFonts w:hint="cs"/>
          <w:rtl/>
        </w:rPr>
        <w:lastRenderedPageBreak/>
        <w:t>از فروضی که تا این جا در مورد مسمومیت طعام بیان شد، حکم فرض حفر بئر و کشاندن غیر به سمت آن و سقوط وی در آن چاه نیز مشخص می شود، اما عجیب این است که این فرض در قالب مسأله دیگری بیان شده است و حال آن که از هیچ جهتی با مسأله ما نحن فیه تفاوت ندارد و در حقیقت ذکر این فرض در مسأله ای جدا گانه تکرار و بیان مثال برای اصل بحث است.</w:t>
      </w:r>
    </w:p>
    <w:p w:rsidR="001A1EA5" w:rsidRPr="006162A2" w:rsidRDefault="001A1EA5" w:rsidP="006162A2">
      <w:pPr>
        <w:rPr>
          <w:rtl/>
        </w:rPr>
      </w:pPr>
      <w:bookmarkStart w:id="8" w:name="_GoBack"/>
      <w:bookmarkEnd w:id="8"/>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23B5" w:rsidRDefault="007223B5" w:rsidP="008B750B">
      <w:pPr>
        <w:spacing w:line="240" w:lineRule="auto"/>
      </w:pPr>
      <w:r>
        <w:separator/>
      </w:r>
    </w:p>
  </w:endnote>
  <w:endnote w:type="continuationSeparator" w:id="0">
    <w:p w:rsidR="007223B5" w:rsidRDefault="007223B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56D25" w:rsidRPr="00956D25">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8F5D11" w:rsidP="001B6799">
          <w:pPr>
            <w:pStyle w:val="Footer"/>
            <w:bidi w:val="0"/>
            <w:rPr>
              <w:color w:val="808080" w:themeColor="background1" w:themeShade="80"/>
              <w:rtl/>
            </w:rPr>
          </w:pPr>
          <w:bookmarkStart w:id="16" w:name="BokAdres"/>
          <w:bookmarkEnd w:id="16"/>
          <w:r>
            <w:rPr>
              <w:color w:val="808080" w:themeColor="background1" w:themeShade="80"/>
            </w:rPr>
            <w:t>F1mq1_13960810-025_ar1_mfeb.ir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23B5" w:rsidRDefault="007223B5" w:rsidP="008B750B">
      <w:pPr>
        <w:spacing w:line="240" w:lineRule="auto"/>
      </w:pPr>
      <w:r>
        <w:separator/>
      </w:r>
    </w:p>
  </w:footnote>
  <w:footnote w:type="continuationSeparator" w:id="0">
    <w:p w:rsidR="007223B5" w:rsidRDefault="007223B5" w:rsidP="008B750B">
      <w:pPr>
        <w:spacing w:line="240" w:lineRule="auto"/>
      </w:pPr>
      <w:r>
        <w:continuationSeparator/>
      </w:r>
    </w:p>
  </w:footnote>
  <w:footnote w:id="1">
    <w:p w:rsidR="00956D25" w:rsidRPr="00956D25" w:rsidRDefault="00956D25" w:rsidP="00956D25">
      <w:pPr>
        <w:pStyle w:val="FootnoteText"/>
        <w:rPr>
          <w:rFonts w:hint="cs"/>
          <w:rtl/>
        </w:rPr>
      </w:pPr>
      <w:r w:rsidRPr="00956D25">
        <w:footnoteRef/>
      </w:r>
      <w:r w:rsidRPr="00956D25">
        <w:rPr>
          <w:rtl/>
        </w:rPr>
        <w:t xml:space="preserve"> </w:t>
      </w:r>
      <w:hyperlink r:id="rId1" w:history="1">
        <w:r w:rsidRPr="00956D25">
          <w:rPr>
            <w:rStyle w:val="Hyperlink"/>
            <w:rFonts w:hint="cs"/>
            <w:rtl/>
          </w:rPr>
          <w:t>جواهر</w:t>
        </w:r>
        <w:r w:rsidRPr="00956D25">
          <w:rPr>
            <w:rStyle w:val="Hyperlink"/>
            <w:rtl/>
          </w:rPr>
          <w:t xml:space="preserve"> </w:t>
        </w:r>
        <w:r w:rsidRPr="00956D25">
          <w:rPr>
            <w:rStyle w:val="Hyperlink"/>
            <w:rFonts w:hint="cs"/>
            <w:rtl/>
          </w:rPr>
          <w:t>الکلام،</w:t>
        </w:r>
        <w:r w:rsidRPr="00956D25">
          <w:rPr>
            <w:rStyle w:val="Hyperlink"/>
            <w:rtl/>
          </w:rPr>
          <w:t xml:space="preserve"> </w:t>
        </w:r>
        <w:r w:rsidRPr="00956D25">
          <w:rPr>
            <w:rStyle w:val="Hyperlink"/>
            <w:rFonts w:hint="cs"/>
            <w:rtl/>
          </w:rPr>
          <w:t>محمد</w:t>
        </w:r>
        <w:r w:rsidRPr="00956D25">
          <w:rPr>
            <w:rStyle w:val="Hyperlink"/>
            <w:rtl/>
          </w:rPr>
          <w:t xml:space="preserve"> </w:t>
        </w:r>
        <w:r w:rsidRPr="00956D25">
          <w:rPr>
            <w:rStyle w:val="Hyperlink"/>
            <w:rFonts w:hint="cs"/>
            <w:rtl/>
          </w:rPr>
          <w:t>حسن</w:t>
        </w:r>
        <w:r w:rsidRPr="00956D25">
          <w:rPr>
            <w:rStyle w:val="Hyperlink"/>
            <w:rtl/>
          </w:rPr>
          <w:t xml:space="preserve"> </w:t>
        </w:r>
        <w:r w:rsidRPr="00956D25">
          <w:rPr>
            <w:rStyle w:val="Hyperlink"/>
            <w:rFonts w:hint="cs"/>
            <w:rtl/>
          </w:rPr>
          <w:t>نجفی،</w:t>
        </w:r>
        <w:r w:rsidRPr="00956D25">
          <w:rPr>
            <w:rStyle w:val="Hyperlink"/>
            <w:rtl/>
          </w:rPr>
          <w:t xml:space="preserve"> </w:t>
        </w:r>
        <w:r w:rsidRPr="00956D25">
          <w:rPr>
            <w:rStyle w:val="Hyperlink"/>
            <w:rFonts w:hint="cs"/>
            <w:rtl/>
          </w:rPr>
          <w:t>ج</w:t>
        </w:r>
        <w:r w:rsidRPr="00956D25">
          <w:rPr>
            <w:rStyle w:val="Hyperlink"/>
            <w:rtl/>
          </w:rPr>
          <w:t>42</w:t>
        </w:r>
        <w:r w:rsidRPr="00956D25">
          <w:rPr>
            <w:rStyle w:val="Hyperlink"/>
            <w:rFonts w:hint="cs"/>
            <w:rtl/>
          </w:rPr>
          <w:t>،</w:t>
        </w:r>
        <w:r w:rsidRPr="00956D25">
          <w:rPr>
            <w:rStyle w:val="Hyperlink"/>
            <w:rtl/>
          </w:rPr>
          <w:t xml:space="preserve"> </w:t>
        </w:r>
        <w:r w:rsidRPr="00956D25">
          <w:rPr>
            <w:rStyle w:val="Hyperlink"/>
            <w:rFonts w:hint="cs"/>
            <w:rtl/>
          </w:rPr>
          <w:t>ص</w:t>
        </w:r>
        <w:r w:rsidRPr="00956D25">
          <w:rPr>
            <w:rStyle w:val="Hyperlink"/>
            <w:rtl/>
          </w:rPr>
          <w:t>39.</w:t>
        </w:r>
      </w:hyperlink>
    </w:p>
  </w:footnote>
  <w:footnote w:id="2">
    <w:p w:rsidR="000B25E2" w:rsidRPr="00956D25" w:rsidRDefault="000B25E2" w:rsidP="00956D25">
      <w:pPr>
        <w:pStyle w:val="FootnoteText"/>
        <w:rPr>
          <w:rtl/>
        </w:rPr>
      </w:pPr>
      <w:r w:rsidRPr="00956D25">
        <w:footnoteRef/>
      </w:r>
      <w:r w:rsidRPr="00956D25">
        <w:rPr>
          <w:rFonts w:hint="cs"/>
          <w:rtl/>
        </w:rPr>
        <w:t xml:space="preserve">. </w:t>
      </w:r>
      <w:hyperlink r:id="rId2" w:history="1">
        <w:r w:rsidR="00956D25" w:rsidRPr="00956D25">
          <w:rPr>
            <w:rStyle w:val="Hyperlink"/>
            <w:rFonts w:hint="cs"/>
            <w:rtl/>
          </w:rPr>
          <w:t>جواهر</w:t>
        </w:r>
        <w:r w:rsidR="00956D25" w:rsidRPr="00956D25">
          <w:rPr>
            <w:rStyle w:val="Hyperlink"/>
            <w:rtl/>
          </w:rPr>
          <w:t xml:space="preserve"> </w:t>
        </w:r>
        <w:r w:rsidR="00956D25" w:rsidRPr="00956D25">
          <w:rPr>
            <w:rStyle w:val="Hyperlink"/>
            <w:rFonts w:hint="cs"/>
            <w:rtl/>
          </w:rPr>
          <w:t>الکلام،</w:t>
        </w:r>
        <w:r w:rsidR="00956D25" w:rsidRPr="00956D25">
          <w:rPr>
            <w:rStyle w:val="Hyperlink"/>
            <w:rtl/>
          </w:rPr>
          <w:t xml:space="preserve"> </w:t>
        </w:r>
        <w:r w:rsidR="00956D25" w:rsidRPr="00956D25">
          <w:rPr>
            <w:rStyle w:val="Hyperlink"/>
            <w:rFonts w:hint="cs"/>
            <w:rtl/>
          </w:rPr>
          <w:t>محمد</w:t>
        </w:r>
        <w:r w:rsidR="00956D25" w:rsidRPr="00956D25">
          <w:rPr>
            <w:rStyle w:val="Hyperlink"/>
            <w:rtl/>
          </w:rPr>
          <w:t xml:space="preserve"> </w:t>
        </w:r>
        <w:r w:rsidR="00956D25" w:rsidRPr="00956D25">
          <w:rPr>
            <w:rStyle w:val="Hyperlink"/>
            <w:rFonts w:hint="cs"/>
            <w:rtl/>
          </w:rPr>
          <w:t>حسن</w:t>
        </w:r>
        <w:r w:rsidR="00956D25" w:rsidRPr="00956D25">
          <w:rPr>
            <w:rStyle w:val="Hyperlink"/>
            <w:rtl/>
          </w:rPr>
          <w:t xml:space="preserve"> </w:t>
        </w:r>
        <w:r w:rsidR="00956D25" w:rsidRPr="00956D25">
          <w:rPr>
            <w:rStyle w:val="Hyperlink"/>
            <w:rFonts w:hint="cs"/>
            <w:rtl/>
          </w:rPr>
          <w:t>نجفی،</w:t>
        </w:r>
        <w:r w:rsidR="00956D25" w:rsidRPr="00956D25">
          <w:rPr>
            <w:rStyle w:val="Hyperlink"/>
            <w:rtl/>
          </w:rPr>
          <w:t xml:space="preserve"> </w:t>
        </w:r>
        <w:r w:rsidR="00956D25" w:rsidRPr="00956D25">
          <w:rPr>
            <w:rStyle w:val="Hyperlink"/>
            <w:rFonts w:hint="cs"/>
            <w:rtl/>
          </w:rPr>
          <w:t>ج</w:t>
        </w:r>
        <w:r w:rsidR="00956D25" w:rsidRPr="00956D25">
          <w:rPr>
            <w:rStyle w:val="Hyperlink"/>
            <w:rtl/>
          </w:rPr>
          <w:t>42</w:t>
        </w:r>
        <w:r w:rsidR="00956D25" w:rsidRPr="00956D25">
          <w:rPr>
            <w:rStyle w:val="Hyperlink"/>
            <w:rFonts w:hint="cs"/>
            <w:rtl/>
          </w:rPr>
          <w:t>،</w:t>
        </w:r>
        <w:r w:rsidR="00956D25" w:rsidRPr="00956D25">
          <w:rPr>
            <w:rStyle w:val="Hyperlink"/>
            <w:rtl/>
          </w:rPr>
          <w:t xml:space="preserve"> </w:t>
        </w:r>
        <w:r w:rsidR="00956D25" w:rsidRPr="00956D25">
          <w:rPr>
            <w:rStyle w:val="Hyperlink"/>
            <w:rFonts w:hint="cs"/>
            <w:rtl/>
          </w:rPr>
          <w:t>ص</w:t>
        </w:r>
        <w:r w:rsidR="00956D25" w:rsidRPr="00956D25">
          <w:rPr>
            <w:rStyle w:val="Hyperlink"/>
            <w:rtl/>
          </w:rPr>
          <w:t>39</w:t>
        </w:r>
        <w:r w:rsidR="00956D25" w:rsidRPr="00956D25">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8F5D11">
      <w:rPr>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8F5D11">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8F5D11">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8F5D11">
      <w:rPr>
        <w:sz w:val="24"/>
        <w:szCs w:val="24"/>
        <w:rtl/>
      </w:rPr>
      <w:t>10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8F5D11">
      <w:rPr>
        <w:rFonts w:hint="cs"/>
        <w:sz w:val="24"/>
        <w:szCs w:val="24"/>
        <w:rtl/>
      </w:rPr>
      <w:t>موجبات</w:t>
    </w:r>
    <w:r w:rsidR="008F5D11">
      <w:rPr>
        <w:sz w:val="24"/>
        <w:szCs w:val="24"/>
        <w:rtl/>
      </w:rPr>
      <w:t xml:space="preserve"> </w:t>
    </w:r>
    <w:r w:rsidR="008F5D11">
      <w:rPr>
        <w:rFonts w:hint="cs"/>
        <w:sz w:val="24"/>
        <w:szCs w:val="24"/>
        <w:rtl/>
      </w:rPr>
      <w:t>قصاص</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8F5D11">
      <w:rPr>
        <w:rFonts w:hint="cs"/>
        <w:sz w:val="24"/>
        <w:szCs w:val="24"/>
        <w:rtl/>
      </w:rPr>
      <w:t>سيدعلي</w:t>
    </w:r>
    <w:r w:rsidR="008F5D11">
      <w:rPr>
        <w:sz w:val="24"/>
        <w:szCs w:val="24"/>
        <w:rtl/>
      </w:rPr>
      <w:t xml:space="preserve"> </w:t>
    </w:r>
    <w:r w:rsidR="008F5D11">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8F5D11">
      <w:rPr>
        <w:rFonts w:hint="cs"/>
        <w:sz w:val="24"/>
        <w:szCs w:val="24"/>
        <w:rtl/>
      </w:rPr>
      <w:t>مراتب</w:t>
    </w:r>
    <w:r w:rsidR="008F5D11">
      <w:rPr>
        <w:sz w:val="24"/>
        <w:szCs w:val="24"/>
        <w:rtl/>
      </w:rPr>
      <w:t xml:space="preserve"> </w:t>
    </w:r>
    <w:r w:rsidR="008F5D11">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25E2"/>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3B5"/>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8F5D11"/>
    <w:rsid w:val="00907425"/>
    <w:rsid w:val="00923C34"/>
    <w:rsid w:val="00924152"/>
    <w:rsid w:val="0092513D"/>
    <w:rsid w:val="00927A9F"/>
    <w:rsid w:val="009335CC"/>
    <w:rsid w:val="00935A55"/>
    <w:rsid w:val="00941CEB"/>
    <w:rsid w:val="0094720F"/>
    <w:rsid w:val="00953B28"/>
    <w:rsid w:val="00954322"/>
    <w:rsid w:val="00956D25"/>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D1200"/>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80165385">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2/39/" TargetMode="External"/><Relationship Id="rId1" Type="http://schemas.openxmlformats.org/officeDocument/2006/relationships/hyperlink" Target="http://lib.eshia.ir/10088/42/3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55662C-81AB-443B-90BE-8208F8469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TotalTime>
  <Pages>4</Pages>
  <Words>862</Words>
  <Characters>4914</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5765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4</cp:revision>
  <dcterms:created xsi:type="dcterms:W3CDTF">2017-11-20T14:08:00Z</dcterms:created>
  <dcterms:modified xsi:type="dcterms:W3CDTF">2017-12-10T05:38:00Z</dcterms:modified>
  <cp:contentStatus>ویرایش 2.3</cp:contentStatus>
  <cp:version>2.3</cp:version>
</cp:coreProperties>
</file>