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7361C2" w:rsidRDefault="007361C2" w:rsidP="007361C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669308" w:history="1">
        <w:r w:rsidRPr="00E72CF0">
          <w:rPr>
            <w:rStyle w:val="Hyperlink"/>
            <w:rFonts w:hint="eastAsia"/>
            <w:noProof/>
            <w:rtl/>
          </w:rPr>
          <w:t>ضعف</w:t>
        </w:r>
        <w:r w:rsidRPr="00E72CF0">
          <w:rPr>
            <w:rStyle w:val="Hyperlink"/>
            <w:noProof/>
            <w:rtl/>
          </w:rPr>
          <w:t xml:space="preserve"> </w:t>
        </w:r>
        <w:r w:rsidRPr="00E72CF0">
          <w:rPr>
            <w:rStyle w:val="Hyperlink"/>
            <w:rFonts w:hint="eastAsia"/>
            <w:noProof/>
            <w:rtl/>
          </w:rPr>
          <w:t>فاحش</w:t>
        </w:r>
        <w:r w:rsidRPr="00E72CF0">
          <w:rPr>
            <w:rStyle w:val="Hyperlink"/>
            <w:noProof/>
            <w:rtl/>
          </w:rPr>
          <w:t xml:space="preserve"> </w:t>
        </w:r>
        <w:r w:rsidRPr="00E72CF0">
          <w:rPr>
            <w:rStyle w:val="Hyperlink"/>
            <w:rFonts w:hint="eastAsia"/>
            <w:noProof/>
            <w:rtl/>
          </w:rPr>
          <w:t>و</w:t>
        </w:r>
        <w:r w:rsidRPr="00E72CF0">
          <w:rPr>
            <w:rStyle w:val="Hyperlink"/>
            <w:noProof/>
            <w:rtl/>
          </w:rPr>
          <w:t xml:space="preserve"> </w:t>
        </w:r>
        <w:r w:rsidRPr="00E72CF0">
          <w:rPr>
            <w:rStyle w:val="Hyperlink"/>
            <w:rFonts w:hint="eastAsia"/>
            <w:noProof/>
            <w:rtl/>
          </w:rPr>
          <w:t>نقص</w:t>
        </w:r>
        <w:r w:rsidRPr="00E72CF0">
          <w:rPr>
            <w:rStyle w:val="Hyperlink"/>
            <w:noProof/>
            <w:rtl/>
          </w:rPr>
          <w:t xml:space="preserve"> </w:t>
        </w:r>
        <w:r w:rsidRPr="00E72CF0">
          <w:rPr>
            <w:rStyle w:val="Hyperlink"/>
            <w:rFonts w:hint="eastAsia"/>
            <w:noProof/>
            <w:rtl/>
          </w:rPr>
          <w:t>بزرگ</w:t>
        </w:r>
        <w:r w:rsidRPr="00E72CF0">
          <w:rPr>
            <w:rStyle w:val="Hyperlink"/>
            <w:noProof/>
            <w:rtl/>
          </w:rPr>
          <w:t xml:space="preserve"> </w:t>
        </w:r>
        <w:r w:rsidRPr="00E72CF0">
          <w:rPr>
            <w:rStyle w:val="Hyperlink"/>
            <w:rFonts w:hint="eastAsia"/>
            <w:noProof/>
            <w:rtl/>
          </w:rPr>
          <w:t>در</w:t>
        </w:r>
        <w:r w:rsidRPr="00E72CF0">
          <w:rPr>
            <w:rStyle w:val="Hyperlink"/>
            <w:noProof/>
            <w:rtl/>
          </w:rPr>
          <w:t xml:space="preserve"> </w:t>
        </w:r>
        <w:r w:rsidRPr="00E72CF0">
          <w:rPr>
            <w:rStyle w:val="Hyperlink"/>
            <w:rFonts w:hint="eastAsia"/>
            <w:noProof/>
            <w:rtl/>
          </w:rPr>
          <w:t>قانون</w:t>
        </w:r>
        <w:r w:rsidRPr="00E72CF0">
          <w:rPr>
            <w:rStyle w:val="Hyperlink"/>
            <w:noProof/>
            <w:rtl/>
          </w:rPr>
          <w:t xml:space="preserve"> </w:t>
        </w:r>
        <w:r w:rsidRPr="00E72CF0">
          <w:rPr>
            <w:rStyle w:val="Hyperlink"/>
            <w:rFonts w:hint="eastAsia"/>
            <w:noProof/>
            <w:rtl/>
          </w:rPr>
          <w:t>مجازات</w:t>
        </w:r>
        <w:r w:rsidRPr="00E72CF0">
          <w:rPr>
            <w:rStyle w:val="Hyperlink"/>
            <w:noProof/>
            <w:rtl/>
          </w:rPr>
          <w:t xml:space="preserve"> </w:t>
        </w:r>
        <w:r w:rsidRPr="00E72CF0">
          <w:rPr>
            <w:rStyle w:val="Hyperlink"/>
            <w:rFonts w:hint="eastAsia"/>
            <w:noProof/>
            <w:rtl/>
          </w:rPr>
          <w:t>اسلام</w:t>
        </w:r>
        <w:r w:rsidRPr="00E72CF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500669308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7361C2"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1515D">
        <w:rPr>
          <w:rFonts w:hint="cs"/>
          <w:rtl/>
        </w:rPr>
        <w:t>مراتب</w:t>
      </w:r>
      <w:r w:rsidR="0001515D">
        <w:rPr>
          <w:rtl/>
        </w:rPr>
        <w:t xml:space="preserve"> </w:t>
      </w:r>
      <w:r w:rsidR="0001515D">
        <w:rPr>
          <w:rFonts w:hint="cs"/>
          <w:rtl/>
        </w:rPr>
        <w:t>تسبیب</w:t>
      </w:r>
      <w:r w:rsidR="00025B70">
        <w:rPr>
          <w:rFonts w:hint="cs"/>
          <w:rtl/>
        </w:rPr>
        <w:t xml:space="preserve"> </w:t>
      </w:r>
      <w:r w:rsidR="00386C11" w:rsidRPr="00A6366F">
        <w:rPr>
          <w:rFonts w:hint="cs"/>
          <w:rtl/>
        </w:rPr>
        <w:t>/</w:t>
      </w:r>
      <w:bookmarkStart w:id="1" w:name="BokSabj_d"/>
      <w:bookmarkEnd w:id="1"/>
      <w:r w:rsidR="0001515D">
        <w:rPr>
          <w:rFonts w:hint="cs"/>
          <w:rtl/>
        </w:rPr>
        <w:t>قتل</w:t>
      </w:r>
      <w:r w:rsidR="0001515D">
        <w:rPr>
          <w:rtl/>
        </w:rPr>
        <w:t xml:space="preserve"> </w:t>
      </w:r>
      <w:r w:rsidR="0001515D">
        <w:rPr>
          <w:rFonts w:hint="cs"/>
          <w:rtl/>
        </w:rPr>
        <w:t>به</w:t>
      </w:r>
      <w:r w:rsidR="0001515D">
        <w:rPr>
          <w:rtl/>
        </w:rPr>
        <w:t xml:space="preserve"> </w:t>
      </w:r>
      <w:r w:rsidR="0001515D">
        <w:rPr>
          <w:rFonts w:hint="cs"/>
          <w:rtl/>
        </w:rPr>
        <w:t>تسبیب</w:t>
      </w:r>
      <w:r w:rsidR="00386C11" w:rsidRPr="00A6366F">
        <w:rPr>
          <w:rFonts w:hint="cs"/>
          <w:rtl/>
        </w:rPr>
        <w:t xml:space="preserve"> /</w:t>
      </w:r>
      <w:bookmarkStart w:id="2" w:name="Bokkolli"/>
      <w:bookmarkEnd w:id="2"/>
      <w:r w:rsidR="0001515D">
        <w:rPr>
          <w:rFonts w:hint="cs"/>
          <w:rtl/>
        </w:rPr>
        <w:t>کتاب</w:t>
      </w:r>
      <w:r w:rsidR="0001515D">
        <w:rPr>
          <w:rtl/>
        </w:rPr>
        <w:t xml:space="preserve"> </w:t>
      </w:r>
      <w:r w:rsidR="0001515D">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C74C33" w:rsidP="003A6148">
      <w:pPr>
        <w:pBdr>
          <w:bottom w:val="double" w:sz="6" w:space="1" w:color="auto"/>
        </w:pBdr>
        <w:rPr>
          <w:rtl/>
        </w:rPr>
      </w:pPr>
      <w:r>
        <w:rPr>
          <w:rFonts w:hint="cs"/>
          <w:rtl/>
        </w:rPr>
        <w:t>در بیان مراتب تسبیب در کلام مرحوم محقق ره و خصوصیاتی که در هر یک از این مراحل وجود دارد، بحث به فرض حفر گودال عمیقی رسید که در آن حافر با دعوت کردن مجنی علیه او را به سمت این گودال فرا خوانده است.</w:t>
      </w:r>
    </w:p>
    <w:p w:rsidR="00247D2F" w:rsidRPr="003A6148" w:rsidRDefault="00247D2F" w:rsidP="003A6148">
      <w:pPr>
        <w:pBdr>
          <w:bottom w:val="double" w:sz="6" w:space="1" w:color="auto"/>
        </w:pBdr>
      </w:pPr>
    </w:p>
    <w:p w:rsidR="006B0EA1" w:rsidRPr="006B0EA1" w:rsidRDefault="006B0EA1" w:rsidP="006B0EA1">
      <w:pPr>
        <w:rPr>
          <w:rtl/>
        </w:rPr>
      </w:pPr>
      <w:r w:rsidRPr="006B0EA1">
        <w:rPr>
          <w:rFonts w:ascii="Cambria" w:hAnsi="Cambria" w:cs="Cambria" w:hint="cs"/>
          <w:rtl/>
        </w:rPr>
        <w:t> </w:t>
      </w:r>
      <w:r w:rsidRPr="006B0EA1">
        <w:rPr>
          <w:rtl/>
        </w:rPr>
        <w:t xml:space="preserve">در فرض حفر گودال عمیق </w:t>
      </w:r>
      <w:r>
        <w:rPr>
          <w:rFonts w:hint="cs"/>
          <w:rtl/>
        </w:rPr>
        <w:t xml:space="preserve">بیان شد در صورتی که وقوع در این گودال غالبا منجر به قتل می شود و در عین حال دیگری به سمت این گودال فراخوانده شود، در این صورت برای تحقق قصاص، </w:t>
      </w:r>
      <w:r w:rsidRPr="006B0EA1">
        <w:rPr>
          <w:rtl/>
        </w:rPr>
        <w:t xml:space="preserve">مرحوم </w:t>
      </w:r>
      <w:r>
        <w:rPr>
          <w:rtl/>
        </w:rPr>
        <w:t>صاحب جواهر قیدی اضافه نموده است</w:t>
      </w:r>
      <w:r w:rsidRPr="006B0EA1">
        <w:rPr>
          <w:rtl/>
        </w:rPr>
        <w:t xml:space="preserve">؛ </w:t>
      </w:r>
      <w:r>
        <w:rPr>
          <w:rFonts w:hint="cs"/>
          <w:rtl/>
        </w:rPr>
        <w:t>«</w:t>
      </w:r>
      <w:r w:rsidRPr="006B0EA1">
        <w:rPr>
          <w:rtl/>
        </w:rPr>
        <w:t xml:space="preserve">علی وجه یسقط </w:t>
      </w:r>
      <w:r>
        <w:rPr>
          <w:rFonts w:hint="cs"/>
          <w:rtl/>
        </w:rPr>
        <w:t xml:space="preserve">بمجیئه»، که </w:t>
      </w:r>
      <w:r w:rsidRPr="006B0EA1">
        <w:rPr>
          <w:rtl/>
        </w:rPr>
        <w:t>این قید</w:t>
      </w:r>
      <w:r>
        <w:rPr>
          <w:rFonts w:hint="cs"/>
          <w:rtl/>
        </w:rPr>
        <w:t xml:space="preserve"> مختص به ایشان نیز و</w:t>
      </w:r>
      <w:r w:rsidRPr="006B0EA1">
        <w:rPr>
          <w:rtl/>
        </w:rPr>
        <w:t xml:space="preserve"> در کلمات دیگران هم منعکس شده است.</w:t>
      </w:r>
    </w:p>
    <w:p w:rsidR="006B0EA1" w:rsidRPr="006B0EA1" w:rsidRDefault="006B0EA1" w:rsidP="006B0EA1">
      <w:pPr>
        <w:rPr>
          <w:rFonts w:ascii="IRNazanin" w:hAnsi="IRNazanin"/>
          <w:sz w:val="36"/>
          <w:szCs w:val="36"/>
          <w:rtl/>
        </w:rPr>
      </w:pPr>
      <w:r w:rsidRPr="006B0EA1">
        <w:rPr>
          <w:rFonts w:hint="cs"/>
          <w:rtl/>
        </w:rPr>
        <w:t xml:space="preserve">مرحوم فاضل هندی ره در </w:t>
      </w:r>
      <w:r w:rsidRPr="006B0EA1">
        <w:rPr>
          <w:rtl/>
        </w:rPr>
        <w:t xml:space="preserve">کشف اللثام: </w:t>
      </w:r>
      <w:r>
        <w:rPr>
          <w:rFonts w:hint="cs"/>
          <w:rtl/>
        </w:rPr>
        <w:t>«</w:t>
      </w:r>
      <w:r w:rsidRPr="006B0EA1">
        <w:rPr>
          <w:rStyle w:val="a3"/>
          <w:rtl/>
        </w:rPr>
        <w:t>و لو حفر بئراً بعيدةً في طريق أو في داره و دعا غيره مع جهله بالحال فأجازه عليها عمداً فوقع فمات فعليه القود؛ لأنّه ممّا يقتل غالباً و قصده، و كذا إذا لم يكن ممّا يقتل غالباً و قصد به القتل.</w:t>
      </w:r>
      <w:r>
        <w:rPr>
          <w:rStyle w:val="a3"/>
          <w:rFonts w:hint="cs"/>
          <w:rtl/>
        </w:rPr>
        <w:t>»</w:t>
      </w:r>
      <w:r>
        <w:rPr>
          <w:rStyle w:val="FootnoteReference"/>
          <w:rFonts w:ascii="IRNazanin" w:hAnsi="IRNazanin"/>
          <w:sz w:val="36"/>
          <w:szCs w:val="36"/>
          <w:rtl/>
        </w:rPr>
        <w:footnoteReference w:id="1"/>
      </w:r>
    </w:p>
    <w:p w:rsidR="006B0EA1" w:rsidRPr="006B0EA1" w:rsidRDefault="006B0EA1" w:rsidP="006B0EA1">
      <w:pPr>
        <w:rPr>
          <w:rtl/>
        </w:rPr>
      </w:pPr>
      <w:r w:rsidRPr="006B0EA1">
        <w:rPr>
          <w:rtl/>
        </w:rPr>
        <w:t xml:space="preserve">مرحوم شهید </w:t>
      </w:r>
      <w:r>
        <w:rPr>
          <w:rFonts w:hint="cs"/>
          <w:rtl/>
        </w:rPr>
        <w:t xml:space="preserve">ثانی قدس سره </w:t>
      </w:r>
      <w:r w:rsidRPr="006B0EA1">
        <w:rPr>
          <w:rtl/>
        </w:rPr>
        <w:t xml:space="preserve">در لمعه: </w:t>
      </w:r>
      <w:r w:rsidRPr="006B0EA1">
        <w:rPr>
          <w:rStyle w:val="a3"/>
        </w:rPr>
        <w:t>‌</w:t>
      </w:r>
      <w:r w:rsidRPr="006B0EA1">
        <w:rPr>
          <w:rStyle w:val="a3"/>
          <w:rFonts w:hint="cs"/>
          <w:rtl/>
        </w:rPr>
        <w:t>«</w:t>
      </w:r>
      <w:r w:rsidRPr="006B0EA1">
        <w:rPr>
          <w:rStyle w:val="a3"/>
          <w:rtl/>
        </w:rPr>
        <w:t>أو حفر بئرا بعيدة القعر في طريق، أو في بيته بحيث يقتل وقوعها غالبا، أو قصده و دعا غيره إلى المرور عليها مع جهالته بها فوقع فمات.</w:t>
      </w:r>
      <w:r w:rsidRPr="006B0EA1">
        <w:rPr>
          <w:rStyle w:val="a3"/>
          <w:rFonts w:hint="cs"/>
          <w:rtl/>
        </w:rPr>
        <w:t>»</w:t>
      </w:r>
      <w:r>
        <w:rPr>
          <w:rStyle w:val="FootnoteReference"/>
          <w:b/>
          <w:bCs/>
          <w:color w:val="000080"/>
          <w:sz w:val="20"/>
          <w:rtl/>
        </w:rPr>
        <w:footnoteReference w:id="2"/>
      </w:r>
      <w:r w:rsidRPr="006B0EA1">
        <w:rPr>
          <w:rStyle w:val="a3"/>
          <w:rtl/>
        </w:rPr>
        <w:t xml:space="preserve"> </w:t>
      </w:r>
    </w:p>
    <w:p w:rsidR="006B0EA1" w:rsidRPr="006B0EA1" w:rsidRDefault="006B0EA1" w:rsidP="006B0EA1">
      <w:pPr>
        <w:rPr>
          <w:rStyle w:val="a3"/>
          <w:rtl/>
        </w:rPr>
      </w:pPr>
      <w:r w:rsidRPr="006B0EA1">
        <w:rPr>
          <w:rFonts w:ascii="IRNazanin" w:hAnsi="IRNazanin"/>
          <w:rtl/>
        </w:rPr>
        <w:t xml:space="preserve">مرحوم علامه </w:t>
      </w:r>
      <w:r>
        <w:rPr>
          <w:rFonts w:ascii="IRNazanin" w:hAnsi="IRNazanin" w:hint="cs"/>
          <w:rtl/>
        </w:rPr>
        <w:t xml:space="preserve">قدس سره </w:t>
      </w:r>
      <w:r w:rsidRPr="006B0EA1">
        <w:rPr>
          <w:rFonts w:ascii="IRNazanin" w:hAnsi="IRNazanin"/>
          <w:rtl/>
        </w:rPr>
        <w:t xml:space="preserve">در تحریر که از بانیان این ضابطه است: </w:t>
      </w:r>
      <w:r w:rsidRPr="006B0EA1">
        <w:rPr>
          <w:rStyle w:val="a3"/>
          <w:rFonts w:hint="cs"/>
          <w:rtl/>
        </w:rPr>
        <w:t>«</w:t>
      </w:r>
      <w:r w:rsidRPr="006B0EA1">
        <w:rPr>
          <w:rStyle w:val="a3"/>
          <w:rtl/>
        </w:rPr>
        <w:t>لو حفر بئرا في طريق أو في داره و غطّاها و دعا غيره، فأجازه عليها، فوقع فمات، فعليه القود، لأنّه ممّا يقتل غالبا و قد قصده.</w:t>
      </w:r>
      <w:r w:rsidRPr="006B0EA1">
        <w:rPr>
          <w:rStyle w:val="a3"/>
          <w:rFonts w:hint="cs"/>
          <w:rtl/>
        </w:rPr>
        <w:t>»</w:t>
      </w:r>
      <w:r>
        <w:rPr>
          <w:rStyle w:val="FootnoteReference"/>
          <w:b/>
          <w:bCs/>
          <w:color w:val="000080"/>
          <w:sz w:val="20"/>
          <w:rtl/>
        </w:rPr>
        <w:footnoteReference w:id="3"/>
      </w:r>
    </w:p>
    <w:p w:rsidR="006B0EA1" w:rsidRPr="006B0EA1" w:rsidRDefault="006B0EA1" w:rsidP="009137ED">
      <w:pPr>
        <w:pStyle w:val="NormalWeb"/>
        <w:bidi/>
        <w:rPr>
          <w:rFonts w:ascii="noor_lotus" w:hAnsi="noor_lotus"/>
          <w:color w:val="000000"/>
          <w:sz w:val="2"/>
          <w:szCs w:val="2"/>
          <w:rtl/>
        </w:rPr>
      </w:pPr>
      <w:r w:rsidRPr="002914BE">
        <w:rPr>
          <w:rFonts w:ascii="Calibri" w:eastAsia="Calibri" w:hAnsi="Calibri" w:cs="B Badr"/>
          <w:sz w:val="22"/>
          <w:szCs w:val="28"/>
          <w:rtl/>
        </w:rPr>
        <w:t xml:space="preserve">مرحوم علامه </w:t>
      </w:r>
      <w:r w:rsidRPr="002914BE">
        <w:rPr>
          <w:rFonts w:ascii="Calibri" w:eastAsia="Calibri" w:hAnsi="Calibri" w:cs="B Badr" w:hint="cs"/>
          <w:sz w:val="22"/>
          <w:szCs w:val="28"/>
          <w:rtl/>
        </w:rPr>
        <w:t xml:space="preserve">ره در قواعد، همان تعبیر </w:t>
      </w:r>
      <w:r w:rsidRPr="002914BE">
        <w:rPr>
          <w:rFonts w:ascii="Calibri" w:eastAsia="Calibri" w:hAnsi="Calibri" w:cs="B Badr"/>
          <w:sz w:val="22"/>
          <w:szCs w:val="28"/>
          <w:rtl/>
        </w:rPr>
        <w:t>شرایع را آورده است، اما تعلیل را تغییر داده است</w:t>
      </w:r>
      <w:r w:rsidRPr="002914BE">
        <w:rPr>
          <w:rFonts w:ascii="Calibri" w:eastAsia="Calibri" w:hAnsi="Calibri" w:cs="B Badr" w:hint="cs"/>
          <w:sz w:val="22"/>
          <w:szCs w:val="28"/>
          <w:rtl/>
        </w:rPr>
        <w:t xml:space="preserve"> که از آن </w:t>
      </w:r>
      <w:r w:rsidR="009137ED" w:rsidRPr="002914BE">
        <w:rPr>
          <w:rFonts w:ascii="Calibri" w:eastAsia="Calibri" w:hAnsi="Calibri" w:cs="B Badr" w:hint="cs"/>
          <w:sz w:val="22"/>
          <w:szCs w:val="28"/>
          <w:rtl/>
        </w:rPr>
        <w:t>همان ضابطه خودش فهمیده می شود:</w:t>
      </w:r>
      <w:r w:rsidR="009137ED" w:rsidRPr="009137ED">
        <w:rPr>
          <w:rFonts w:hint="cs"/>
          <w:rtl/>
        </w:rPr>
        <w:t xml:space="preserve"> </w:t>
      </w:r>
      <w:r w:rsidR="009137ED" w:rsidRPr="009137ED">
        <w:rPr>
          <w:rStyle w:val="a3"/>
          <w:rFonts w:hint="cs"/>
          <w:rtl/>
        </w:rPr>
        <w:t>«و لو حفر بئرا بعيدة في طريق، و دعا غيره مع جهله فوقع فمات فعليه القود، لأنّه ممّا يقتل غالبا.»</w:t>
      </w:r>
      <w:r w:rsidR="009137ED">
        <w:rPr>
          <w:rStyle w:val="FootnoteReference"/>
          <w:rFonts w:cs="B Badr"/>
          <w:b/>
          <w:bCs/>
          <w:color w:val="000080"/>
          <w:sz w:val="20"/>
          <w:szCs w:val="28"/>
          <w:rtl/>
        </w:rPr>
        <w:footnoteReference w:id="4"/>
      </w:r>
    </w:p>
    <w:p w:rsidR="009137ED" w:rsidRDefault="006B0EA1" w:rsidP="009137ED">
      <w:pPr>
        <w:rPr>
          <w:rtl/>
        </w:rPr>
      </w:pPr>
      <w:r w:rsidRPr="006B0EA1">
        <w:rPr>
          <w:rtl/>
        </w:rPr>
        <w:lastRenderedPageBreak/>
        <w:t xml:space="preserve">این که در کلمات </w:t>
      </w:r>
      <w:r w:rsidR="009137ED">
        <w:rPr>
          <w:rFonts w:hint="cs"/>
          <w:rtl/>
        </w:rPr>
        <w:t xml:space="preserve">مرحوم </w:t>
      </w:r>
      <w:r w:rsidRPr="006B0EA1">
        <w:rPr>
          <w:rtl/>
        </w:rPr>
        <w:t xml:space="preserve">علامه و </w:t>
      </w:r>
      <w:r w:rsidR="009137ED">
        <w:rPr>
          <w:rFonts w:hint="cs"/>
          <w:rtl/>
        </w:rPr>
        <w:t>م</w:t>
      </w:r>
      <w:r w:rsidRPr="006B0EA1">
        <w:rPr>
          <w:rtl/>
        </w:rPr>
        <w:t>تأخر</w:t>
      </w:r>
      <w:r w:rsidR="009137ED">
        <w:rPr>
          <w:rFonts w:hint="cs"/>
          <w:rtl/>
        </w:rPr>
        <w:t>ین</w:t>
      </w:r>
      <w:r w:rsidRPr="006B0EA1">
        <w:rPr>
          <w:rtl/>
        </w:rPr>
        <w:t xml:space="preserve"> آمده است و ضابطه را </w:t>
      </w:r>
      <w:r w:rsidR="009137ED">
        <w:rPr>
          <w:rFonts w:hint="cs"/>
          <w:rtl/>
        </w:rPr>
        <w:t>«</w:t>
      </w:r>
      <w:r w:rsidRPr="006B0EA1">
        <w:rPr>
          <w:rtl/>
        </w:rPr>
        <w:t>یقتل غالبا</w:t>
      </w:r>
      <w:r w:rsidR="009137ED">
        <w:rPr>
          <w:rFonts w:hint="cs"/>
          <w:rtl/>
        </w:rPr>
        <w:t>»</w:t>
      </w:r>
      <w:r w:rsidRPr="006B0EA1">
        <w:rPr>
          <w:rtl/>
        </w:rPr>
        <w:t xml:space="preserve"> قرار داده اند، ناشی از ایشان شده است نه مرحوم شیخ</w:t>
      </w:r>
      <w:r w:rsidR="009137ED">
        <w:rPr>
          <w:rFonts w:hint="cs"/>
          <w:rtl/>
        </w:rPr>
        <w:t xml:space="preserve"> قدس سره</w:t>
      </w:r>
      <w:r w:rsidRPr="006B0EA1">
        <w:rPr>
          <w:rtl/>
        </w:rPr>
        <w:t xml:space="preserve">؛ چرا که مرحوم شیخ ضابطه </w:t>
      </w:r>
      <w:r w:rsidR="009137ED">
        <w:rPr>
          <w:rtl/>
        </w:rPr>
        <w:t>را منحصر در این ملاک نکرده است،</w:t>
      </w:r>
      <w:r w:rsidRPr="006B0EA1">
        <w:rPr>
          <w:rtl/>
        </w:rPr>
        <w:t xml:space="preserve"> و در برخی موارد از تعلیل </w:t>
      </w:r>
      <w:r w:rsidR="009137ED">
        <w:rPr>
          <w:rFonts w:hint="cs"/>
          <w:rtl/>
        </w:rPr>
        <w:t>«</w:t>
      </w:r>
      <w:r w:rsidRPr="006B0EA1">
        <w:rPr>
          <w:rtl/>
        </w:rPr>
        <w:t>مما یقصد به القتل غالبا</w:t>
      </w:r>
      <w:r w:rsidR="009137ED">
        <w:rPr>
          <w:rFonts w:hint="cs"/>
          <w:rtl/>
        </w:rPr>
        <w:t>»</w:t>
      </w:r>
      <w:r w:rsidRPr="006B0EA1">
        <w:rPr>
          <w:rtl/>
        </w:rPr>
        <w:t xml:space="preserve"> استفاده نموده است، بنابراین، باید گفت که ایشان هر یک</w:t>
      </w:r>
      <w:r w:rsidR="009137ED">
        <w:rPr>
          <w:rtl/>
        </w:rPr>
        <w:t xml:space="preserve"> از این دو ملاک را کافی می داند</w:t>
      </w:r>
      <w:r w:rsidR="009137ED">
        <w:rPr>
          <w:rFonts w:hint="cs"/>
          <w:rtl/>
        </w:rPr>
        <w:t>.</w:t>
      </w:r>
    </w:p>
    <w:p w:rsidR="006B0EA1" w:rsidRDefault="009137ED" w:rsidP="009137ED">
      <w:pPr>
        <w:rPr>
          <w:rStyle w:val="a3"/>
          <w:rtl/>
        </w:rPr>
      </w:pPr>
      <w:r>
        <w:rPr>
          <w:rFonts w:hint="cs"/>
          <w:rtl/>
        </w:rPr>
        <w:t>مرحوم شیخ قدس سره در بیان برخی از مصادیق و موارد جنایت عمدی می فرماید:</w:t>
      </w:r>
      <w:r w:rsidR="006B0EA1" w:rsidRPr="006B0EA1">
        <w:rPr>
          <w:rtl/>
        </w:rPr>
        <w:t xml:space="preserve"> </w:t>
      </w:r>
      <w:r w:rsidR="006B0EA1" w:rsidRPr="009137ED">
        <w:rPr>
          <w:rStyle w:val="a3"/>
          <w:rtl/>
        </w:rPr>
        <w:t>«إذا ضربه بمثقل يقصد بمثله القتل غالبا كاللت و الدبوس و الخشبة الثقيلة و الحجر الثقيل فعليه القود. و كذلك إذا قتله بكل ما يقصد به القتل غالبا، مثل أن حرقه أو غرقه أو غمه حتى تلف...»</w:t>
      </w:r>
      <w:r>
        <w:rPr>
          <w:rStyle w:val="a3"/>
          <w:rFonts w:hint="cs"/>
          <w:rtl/>
        </w:rPr>
        <w:t>.</w:t>
      </w:r>
      <w:r>
        <w:rPr>
          <w:rStyle w:val="FootnoteReference"/>
          <w:b/>
          <w:bCs/>
          <w:color w:val="000080"/>
          <w:sz w:val="20"/>
          <w:rtl/>
        </w:rPr>
        <w:footnoteReference w:id="5"/>
      </w:r>
    </w:p>
    <w:p w:rsidR="009137ED" w:rsidRPr="009137ED" w:rsidRDefault="009137ED" w:rsidP="009137ED">
      <w:pPr>
        <w:rPr>
          <w:rStyle w:val="a3"/>
          <w:b w:val="0"/>
          <w:bCs w:val="0"/>
          <w:color w:val="000000"/>
          <w:rtl/>
        </w:rPr>
      </w:pPr>
      <w:r w:rsidRPr="009137ED">
        <w:rPr>
          <w:rStyle w:val="a3"/>
          <w:rFonts w:hint="cs"/>
          <w:b w:val="0"/>
          <w:bCs w:val="0"/>
          <w:color w:val="000000"/>
          <w:rtl/>
        </w:rPr>
        <w:t>بنابراین، مرحوم شیخ طوسی ره هم به مانند مرحوم محقق قدس سره فقط ملاک مشهور را بیان نکرده است و علاوه بر آن ملاک دیگری، یعنی «مما یقصد به ال</w:t>
      </w:r>
      <w:r>
        <w:rPr>
          <w:rStyle w:val="a3"/>
          <w:rFonts w:hint="cs"/>
          <w:b w:val="0"/>
          <w:bCs w:val="0"/>
          <w:color w:val="000000"/>
          <w:rtl/>
        </w:rPr>
        <w:t>قتل» را هم قائل شده است و در نتیجه از تحت اعتراض و اشکالی که به مشهور وارد آمده خارج می شود.</w:t>
      </w:r>
    </w:p>
    <w:p w:rsidR="006B0EA1" w:rsidRPr="009137ED" w:rsidRDefault="009137ED" w:rsidP="009137ED">
      <w:pPr>
        <w:rPr>
          <w:rStyle w:val="a3"/>
          <w:rtl/>
        </w:rPr>
      </w:pPr>
      <w:r>
        <w:rPr>
          <w:rtl/>
        </w:rPr>
        <w:t>مرحوم طبرسی در موتلف نظیر</w:t>
      </w:r>
      <w:r>
        <w:rPr>
          <w:rFonts w:hint="cs"/>
          <w:rtl/>
        </w:rPr>
        <w:t xml:space="preserve"> تعبیر مرحوم شیخ ره را آورده است: </w:t>
      </w:r>
      <w:r w:rsidRPr="009137ED">
        <w:rPr>
          <w:rStyle w:val="a3"/>
          <w:rFonts w:hint="cs"/>
          <w:rtl/>
        </w:rPr>
        <w:t>«</w:t>
      </w:r>
      <w:r w:rsidR="006B0EA1" w:rsidRPr="009137ED">
        <w:rPr>
          <w:rStyle w:val="a3"/>
          <w:rtl/>
        </w:rPr>
        <w:t>الضرب بما يقصد به القتل غالبا</w:t>
      </w:r>
      <w:r w:rsidR="006B0EA1" w:rsidRPr="009137ED">
        <w:rPr>
          <w:rStyle w:val="a3"/>
        </w:rPr>
        <w:t>‌</w:t>
      </w:r>
    </w:p>
    <w:p w:rsidR="009C0A96" w:rsidRDefault="006B0EA1" w:rsidP="009137ED">
      <w:pPr>
        <w:spacing w:line="240" w:lineRule="auto"/>
        <w:rPr>
          <w:rStyle w:val="a3"/>
          <w:rtl/>
        </w:rPr>
      </w:pPr>
      <w:bookmarkStart w:id="3" w:name="_GoBack"/>
      <w:bookmarkEnd w:id="3"/>
      <w:r w:rsidRPr="009137ED">
        <w:rPr>
          <w:rStyle w:val="a3"/>
          <w:rtl/>
        </w:rPr>
        <w:t>مسألة- 18-: إذا ضربه بمثقل يقصد به القتل غالبا، كالدبوس و اللت و الخشبة الثقيلة و الحجر الثقيل، فقتله فعليه القود. و كذ</w:t>
      </w:r>
      <w:r w:rsidR="009137ED">
        <w:rPr>
          <w:rStyle w:val="a3"/>
          <w:rtl/>
        </w:rPr>
        <w:t>لك ان قتله بكل ما يقصد به القتل</w:t>
      </w:r>
      <w:r w:rsidR="009137ED">
        <w:rPr>
          <w:rStyle w:val="a3"/>
          <w:rFonts w:hint="cs"/>
          <w:rtl/>
        </w:rPr>
        <w:t>.»</w:t>
      </w:r>
      <w:r w:rsidR="009C0A96">
        <w:rPr>
          <w:rStyle w:val="FootnoteReference"/>
          <w:b/>
          <w:bCs/>
          <w:color w:val="000080"/>
          <w:sz w:val="20"/>
          <w:rtl/>
        </w:rPr>
        <w:footnoteReference w:id="6"/>
      </w:r>
    </w:p>
    <w:p w:rsidR="006B0EA1" w:rsidRDefault="006B0EA1" w:rsidP="009C0A96">
      <w:pPr>
        <w:rPr>
          <w:b/>
          <w:bCs/>
          <w:color w:val="000080"/>
          <w:sz w:val="20"/>
          <w:rtl/>
        </w:rPr>
      </w:pPr>
      <w:r w:rsidRPr="009137ED">
        <w:rPr>
          <w:rStyle w:val="a3"/>
          <w:rtl/>
        </w:rPr>
        <w:t xml:space="preserve"> </w:t>
      </w:r>
      <w:r w:rsidRPr="006B0EA1">
        <w:rPr>
          <w:rtl/>
        </w:rPr>
        <w:t xml:space="preserve">مرحوم فاضل هندی </w:t>
      </w:r>
      <w:r w:rsidR="009C0A96">
        <w:rPr>
          <w:rFonts w:hint="cs"/>
          <w:rtl/>
        </w:rPr>
        <w:t xml:space="preserve">ره </w:t>
      </w:r>
      <w:r w:rsidRPr="006B0EA1">
        <w:rPr>
          <w:rtl/>
        </w:rPr>
        <w:t xml:space="preserve">در کشف اللثام </w:t>
      </w:r>
      <w:r w:rsidR="009C0A96">
        <w:rPr>
          <w:rFonts w:hint="cs"/>
          <w:rtl/>
        </w:rPr>
        <w:t xml:space="preserve">هم </w:t>
      </w:r>
      <w:r w:rsidRPr="006B0EA1">
        <w:rPr>
          <w:rtl/>
        </w:rPr>
        <w:t>با وجود این که در ما نحن فیه قید آورد</w:t>
      </w:r>
      <w:r w:rsidR="009C0A96">
        <w:rPr>
          <w:rFonts w:hint="cs"/>
          <w:rtl/>
        </w:rPr>
        <w:t>ه بود،</w:t>
      </w:r>
      <w:r w:rsidR="009C0A96">
        <w:rPr>
          <w:rtl/>
        </w:rPr>
        <w:t xml:space="preserve"> ولی</w:t>
      </w:r>
      <w:r w:rsidR="009C0A96">
        <w:rPr>
          <w:rFonts w:hint="cs"/>
          <w:rtl/>
        </w:rPr>
        <w:t xml:space="preserve"> لااقل در یک موضع از </w:t>
      </w:r>
      <w:r w:rsidRPr="006B0EA1">
        <w:rPr>
          <w:rtl/>
        </w:rPr>
        <w:t xml:space="preserve">تعلیل </w:t>
      </w:r>
      <w:r w:rsidR="009C0A96">
        <w:rPr>
          <w:rFonts w:hint="cs"/>
          <w:rtl/>
        </w:rPr>
        <w:t>«</w:t>
      </w:r>
      <w:r w:rsidRPr="006B0EA1">
        <w:rPr>
          <w:rtl/>
        </w:rPr>
        <w:t>مما یقصد به القتل</w:t>
      </w:r>
      <w:r w:rsidR="009C0A96">
        <w:rPr>
          <w:rFonts w:hint="cs"/>
          <w:rtl/>
        </w:rPr>
        <w:t xml:space="preserve">» استفاده می کند؛ </w:t>
      </w:r>
      <w:r w:rsidR="009C0A96" w:rsidRPr="009C0A96">
        <w:rPr>
          <w:rStyle w:val="a3"/>
          <w:rFonts w:hint="cs"/>
          <w:rtl/>
        </w:rPr>
        <w:t>«إذا ضربه بمثقل يقصد به القتل غالباً كاللتّ و الدبوس و الخشبة الثقيلة و الحجر فقتله فعليه القود، و كذلك إذا قتله بكلّ ما يقصد به القتل غالباً، مثل أن حرّقه أو غرقه أو غمّه حتّى تلف أو هدم عليه بناءً أو طيّنه عليه بغير طعام حتّى مات أو والى عليه بالخنق، ففي كلّ هذا القود.»</w:t>
      </w:r>
      <w:r w:rsidR="009C0A96">
        <w:rPr>
          <w:rStyle w:val="a3"/>
          <w:rFonts w:hint="cs"/>
          <w:rtl/>
        </w:rPr>
        <w:t>.</w:t>
      </w:r>
      <w:r w:rsidR="009C0A96">
        <w:rPr>
          <w:rStyle w:val="FootnoteReference"/>
          <w:b/>
          <w:bCs/>
          <w:color w:val="000080"/>
          <w:sz w:val="20"/>
          <w:rtl/>
        </w:rPr>
        <w:footnoteReference w:id="7"/>
      </w:r>
    </w:p>
    <w:p w:rsidR="009C0A96" w:rsidRDefault="009C0A96" w:rsidP="009C0A96">
      <w:pPr>
        <w:pStyle w:val="Heading2"/>
        <w:rPr>
          <w:rtl/>
        </w:rPr>
      </w:pPr>
      <w:bookmarkStart w:id="4" w:name="_Toc500669308"/>
      <w:r>
        <w:rPr>
          <w:rFonts w:hint="cs"/>
          <w:rtl/>
        </w:rPr>
        <w:t>ضعف فاحش و نقص بزرگ در قانون مجازات اسلامی</w:t>
      </w:r>
      <w:bookmarkEnd w:id="4"/>
    </w:p>
    <w:p w:rsidR="009C0A96" w:rsidRPr="006B0EA1" w:rsidRDefault="006B0EA1" w:rsidP="009C0A96">
      <w:pPr>
        <w:rPr>
          <w:rtl/>
        </w:rPr>
      </w:pPr>
      <w:r w:rsidRPr="006B0EA1">
        <w:rPr>
          <w:rtl/>
        </w:rPr>
        <w:t xml:space="preserve">آن چه در قانون مجازات اسلامی </w:t>
      </w:r>
      <w:r w:rsidR="009C0A96">
        <w:rPr>
          <w:rFonts w:hint="cs"/>
          <w:rtl/>
        </w:rPr>
        <w:t>به عنوان بیان ضابطه یا ضوابط عمد، مطرح شده است، دچار اشتباهات و ضعف های بزرگی است که حاکی ا</w:t>
      </w:r>
      <w:r w:rsidR="00C0010B">
        <w:rPr>
          <w:rFonts w:hint="cs"/>
          <w:rtl/>
        </w:rPr>
        <w:t>ز عدم فهم کلمات فقهای عظام و عدم آشنایی تهیه کنندگان این قانون با قانون نویسی است.</w:t>
      </w:r>
    </w:p>
    <w:p w:rsidR="00920B9C" w:rsidRDefault="00920B9C" w:rsidP="009C0A96">
      <w:pPr>
        <w:rPr>
          <w:rtl/>
        </w:rPr>
      </w:pPr>
      <w:r>
        <w:rPr>
          <w:rFonts w:hint="cs"/>
          <w:rtl/>
        </w:rPr>
        <w:lastRenderedPageBreak/>
        <w:t>«</w:t>
      </w:r>
      <w:r>
        <w:rPr>
          <w:rtl/>
        </w:rPr>
        <w:t>ماده290- جنايت در موارد زير عمدي محسوب مي‌شود</w:t>
      </w:r>
      <w:r>
        <w:t>:</w:t>
      </w:r>
      <w:r>
        <w:br/>
      </w:r>
      <w:r>
        <w:rPr>
          <w:rtl/>
        </w:rPr>
        <w:t>الف- هرگاه مرتكب با انجام كاري قصد ايراد جنايت بر فرد يا افرادي معين يا فرد يا افرادي غيرمعين از يك جمع را داشته باشد و در عمل نيز جنايت مقصود يا نظير آن واقع شود، خواه كار ارتكابي نوعاً موجب وقوع آن جنايت يا نظير آن بشود، خواه نشود</w:t>
      </w:r>
      <w:r>
        <w:t>.</w:t>
      </w:r>
      <w:r>
        <w:br/>
      </w:r>
      <w:r>
        <w:rPr>
          <w:rtl/>
        </w:rPr>
        <w:t>ب- هرگاه مرتکب، عمداً كاري انجام دهد كه نوعاً موجب جنايت واقع شده يا نظير آن، مي‌گردد، هرچند قصد ارتکاب آن جنايت و نظير آن را نداشته باشد ولي آگاه و متوجه بوده كه آن كار نوعاً موجب آن جنايت يا نظير آن مي‌شود</w:t>
      </w:r>
      <w:r>
        <w:t>.</w:t>
      </w:r>
      <w:r>
        <w:br/>
      </w:r>
      <w:r>
        <w:rPr>
          <w:rtl/>
        </w:rPr>
        <w:t>پ- هرگاه مرتکب قصد ارتکاب جنايت واقع شده يا نظير آن را نداشته و كاري را هم كه انجام داده است، نسبت به افراد متعارف نوعاً موجب جنايت واقع شده يا نظير آن، نمي‌شود لكن درخصوص مجنيٌ‌عليه، به علت بيماري، ضعف، پيري يا هر وضعيت ديگر و يا به علت وضعيت خاص مکاني يا زماني نوعاً موجب آن جنايت يا نظير آن مي‌شود مشروط بر آنكه مرتکب به وضعيت نامتعارف مجنيٌ‌عليه يا وضعيت خاص مکاني يا زماني آگاه و متوجه باشد</w:t>
      </w:r>
      <w:r>
        <w:t>.</w:t>
      </w:r>
      <w:r>
        <w:br/>
      </w:r>
      <w:r>
        <w:rPr>
          <w:rtl/>
        </w:rPr>
        <w:t>ت- هرگاه مرتکب قصد ايراد جنايت واقع شده يا نظير آن را داشته باشد، بدون آنكه فرد يا جمع معيني مقصود وي باشد، و در عمل نيز جنايت مقصود يا نظير آن، واقع شود، مانند اينكه در اماکن عمومي بمب گذاري كند</w:t>
      </w:r>
      <w:r>
        <w:t>.</w:t>
      </w:r>
      <w:r>
        <w:rPr>
          <w:rFonts w:hint="cs"/>
          <w:rtl/>
        </w:rPr>
        <w:t>»</w:t>
      </w:r>
    </w:p>
    <w:p w:rsidR="00C0010B" w:rsidRDefault="006B0EA1" w:rsidP="00C0010B">
      <w:pPr>
        <w:rPr>
          <w:rtl/>
        </w:rPr>
      </w:pPr>
      <w:r w:rsidRPr="006B0EA1">
        <w:rPr>
          <w:rtl/>
        </w:rPr>
        <w:t>نکته ای که در مورد این موارد</w:t>
      </w:r>
      <w:r w:rsidR="009C0A96">
        <w:rPr>
          <w:rFonts w:hint="cs"/>
          <w:rtl/>
        </w:rPr>
        <w:t>، باید توجه نمود این است که این موارد، به عنوان ضابطه های جنایت و قتل عمدی بیان شده است</w:t>
      </w:r>
      <w:r w:rsidR="00C0010B">
        <w:rPr>
          <w:rFonts w:hint="cs"/>
          <w:rtl/>
        </w:rPr>
        <w:t>، نه مصادیق جنایات عمدی تا قابل توجیه باشد. در دو مورد اخیر با در واقع همان ضابطه اول و دوم تکرار شده است و خصوصیتی در ذکر آن ها دیده نمی شود، مخصوصا در بند ت  که دقیقا همان ضابطه الف تکرار شده است.</w:t>
      </w:r>
    </w:p>
    <w:p w:rsidR="006B0EA1" w:rsidRPr="006B0EA1" w:rsidRDefault="00C0010B" w:rsidP="00C0010B">
      <w:pPr>
        <w:rPr>
          <w:rFonts w:ascii="IRNazanin" w:eastAsia="Times New Roman" w:hAnsi="IRNazanin" w:cs="IRNazanin"/>
          <w:color w:val="000000"/>
          <w:sz w:val="36"/>
          <w:szCs w:val="36"/>
          <w:rtl/>
        </w:rPr>
      </w:pPr>
      <w:r>
        <w:rPr>
          <w:rFonts w:hint="cs"/>
          <w:rtl/>
        </w:rPr>
        <w:t xml:space="preserve"> </w:t>
      </w:r>
      <w:r w:rsidR="006B0EA1" w:rsidRPr="006B0EA1">
        <w:rPr>
          <w:rtl/>
        </w:rPr>
        <w:t xml:space="preserve"> </w:t>
      </w:r>
    </w:p>
    <w:p w:rsidR="001A1EA5" w:rsidRPr="006162A2" w:rsidRDefault="001A1EA5" w:rsidP="006B0EA1">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306E" w:rsidRDefault="00CB306E" w:rsidP="008B750B">
      <w:pPr>
        <w:spacing w:line="240" w:lineRule="auto"/>
      </w:pPr>
      <w:r>
        <w:separator/>
      </w:r>
    </w:p>
  </w:endnote>
  <w:endnote w:type="continuationSeparator" w:id="0">
    <w:p w:rsidR="00CB306E" w:rsidRDefault="00CB306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altName w:val="Segoe UI Semilight"/>
    <w:panose1 w:val="02000400000000000000"/>
    <w:charset w:val="00"/>
    <w:family w:val="roman"/>
    <w:notTrueType/>
    <w:pitch w:val="default"/>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361C2" w:rsidRPr="007361C2">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01515D" w:rsidP="001B6799">
          <w:pPr>
            <w:pStyle w:val="Footer"/>
            <w:bidi w:val="0"/>
            <w:rPr>
              <w:color w:val="808080" w:themeColor="background1" w:themeShade="80"/>
              <w:rtl/>
            </w:rPr>
          </w:pPr>
          <w:bookmarkStart w:id="12" w:name="BokAdres"/>
          <w:bookmarkEnd w:id="12"/>
          <w:r>
            <w:rPr>
              <w:color w:val="808080" w:themeColor="background1" w:themeShade="80"/>
            </w:rPr>
            <w:t>F1mq1_13960908-031_ar1_mfeb.ir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306E" w:rsidRDefault="00CB306E" w:rsidP="008B750B">
      <w:pPr>
        <w:spacing w:line="240" w:lineRule="auto"/>
      </w:pPr>
      <w:r>
        <w:separator/>
      </w:r>
    </w:p>
  </w:footnote>
  <w:footnote w:type="continuationSeparator" w:id="0">
    <w:p w:rsidR="00CB306E" w:rsidRDefault="00CB306E" w:rsidP="008B750B">
      <w:pPr>
        <w:spacing w:line="240" w:lineRule="auto"/>
      </w:pPr>
      <w:r>
        <w:continuationSeparator/>
      </w:r>
    </w:p>
  </w:footnote>
  <w:footnote w:id="1">
    <w:p w:rsidR="006B0EA1" w:rsidRDefault="006B0EA1">
      <w:pPr>
        <w:pStyle w:val="FootnoteText"/>
        <w:rPr>
          <w:rtl/>
        </w:rPr>
      </w:pPr>
      <w:r>
        <w:rPr>
          <w:rStyle w:val="FootnoteReference"/>
        </w:rPr>
        <w:footnoteRef/>
      </w:r>
      <w:r>
        <w:rPr>
          <w:rtl/>
        </w:rPr>
        <w:t xml:space="preserve"> </w:t>
      </w:r>
      <w:r>
        <w:rPr>
          <w:rFonts w:hint="cs"/>
          <w:rtl/>
        </w:rPr>
        <w:t xml:space="preserve">. </w:t>
      </w:r>
      <w:r w:rsidRPr="006B0EA1">
        <w:rPr>
          <w:rFonts w:hint="cs"/>
          <w:rtl/>
        </w:rPr>
        <w:t>كشف</w:t>
      </w:r>
      <w:r w:rsidRPr="006B0EA1">
        <w:rPr>
          <w:rtl/>
        </w:rPr>
        <w:t xml:space="preserve"> </w:t>
      </w:r>
      <w:r w:rsidRPr="006B0EA1">
        <w:rPr>
          <w:rFonts w:hint="cs"/>
          <w:rtl/>
        </w:rPr>
        <w:t>اللثام</w:t>
      </w:r>
      <w:r w:rsidRPr="006B0EA1">
        <w:rPr>
          <w:rtl/>
        </w:rPr>
        <w:t xml:space="preserve"> </w:t>
      </w:r>
      <w:r w:rsidRPr="006B0EA1">
        <w:rPr>
          <w:rFonts w:hint="cs"/>
          <w:rtl/>
        </w:rPr>
        <w:t>و</w:t>
      </w:r>
      <w:r w:rsidRPr="006B0EA1">
        <w:rPr>
          <w:rtl/>
        </w:rPr>
        <w:t xml:space="preserve"> </w:t>
      </w:r>
      <w:r w:rsidRPr="006B0EA1">
        <w:rPr>
          <w:rFonts w:hint="cs"/>
          <w:rtl/>
        </w:rPr>
        <w:t>الإبهام</w:t>
      </w:r>
      <w:r w:rsidRPr="006B0EA1">
        <w:rPr>
          <w:rtl/>
        </w:rPr>
        <w:t xml:space="preserve"> </w:t>
      </w:r>
      <w:r w:rsidRPr="006B0EA1">
        <w:rPr>
          <w:rFonts w:hint="cs"/>
          <w:rtl/>
        </w:rPr>
        <w:t>عن</w:t>
      </w:r>
      <w:r w:rsidRPr="006B0EA1">
        <w:rPr>
          <w:rtl/>
        </w:rPr>
        <w:t xml:space="preserve"> </w:t>
      </w:r>
      <w:r w:rsidRPr="006B0EA1">
        <w:rPr>
          <w:rFonts w:hint="cs"/>
          <w:rtl/>
        </w:rPr>
        <w:t>قواعد</w:t>
      </w:r>
      <w:r w:rsidRPr="006B0EA1">
        <w:rPr>
          <w:rtl/>
        </w:rPr>
        <w:t xml:space="preserve"> </w:t>
      </w:r>
      <w:r w:rsidRPr="006B0EA1">
        <w:rPr>
          <w:rFonts w:hint="cs"/>
          <w:rtl/>
        </w:rPr>
        <w:t>الأحكام،</w:t>
      </w:r>
      <w:r w:rsidRPr="006B0EA1">
        <w:rPr>
          <w:rtl/>
        </w:rPr>
        <w:t xml:space="preserve"> </w:t>
      </w:r>
      <w:r w:rsidRPr="006B0EA1">
        <w:rPr>
          <w:rFonts w:hint="cs"/>
          <w:rtl/>
        </w:rPr>
        <w:t>ج‌</w:t>
      </w:r>
      <w:r w:rsidRPr="006B0EA1">
        <w:rPr>
          <w:rtl/>
        </w:rPr>
        <w:t>11</w:t>
      </w:r>
      <w:r w:rsidRPr="006B0EA1">
        <w:rPr>
          <w:rFonts w:hint="cs"/>
          <w:rtl/>
        </w:rPr>
        <w:t>،</w:t>
      </w:r>
      <w:r w:rsidRPr="006B0EA1">
        <w:rPr>
          <w:rtl/>
        </w:rPr>
        <w:t xml:space="preserve"> </w:t>
      </w:r>
      <w:r w:rsidRPr="006B0EA1">
        <w:rPr>
          <w:rFonts w:hint="cs"/>
          <w:rtl/>
        </w:rPr>
        <w:t>ص</w:t>
      </w:r>
      <w:r w:rsidRPr="006B0EA1">
        <w:rPr>
          <w:rtl/>
        </w:rPr>
        <w:t>: 28</w:t>
      </w:r>
      <w:r>
        <w:rPr>
          <w:rFonts w:hint="cs"/>
          <w:rtl/>
        </w:rPr>
        <w:t>.</w:t>
      </w:r>
    </w:p>
  </w:footnote>
  <w:footnote w:id="2">
    <w:p w:rsidR="006B0EA1" w:rsidRDefault="006B0EA1">
      <w:pPr>
        <w:pStyle w:val="FootnoteText"/>
        <w:rPr>
          <w:rtl/>
        </w:rPr>
      </w:pPr>
      <w:r>
        <w:rPr>
          <w:rStyle w:val="FootnoteReference"/>
        </w:rPr>
        <w:footnoteRef/>
      </w:r>
      <w:r>
        <w:rPr>
          <w:rtl/>
        </w:rPr>
        <w:t xml:space="preserve"> </w:t>
      </w:r>
      <w:r>
        <w:rPr>
          <w:rFonts w:hint="cs"/>
          <w:rtl/>
        </w:rPr>
        <w:t xml:space="preserve">. </w:t>
      </w:r>
      <w:r w:rsidRPr="006B0EA1">
        <w:rPr>
          <w:rFonts w:hint="cs"/>
          <w:rtl/>
        </w:rPr>
        <w:t>الروضة</w:t>
      </w:r>
      <w:r w:rsidRPr="006B0EA1">
        <w:rPr>
          <w:rtl/>
        </w:rPr>
        <w:t xml:space="preserve"> </w:t>
      </w:r>
      <w:r w:rsidRPr="006B0EA1">
        <w:rPr>
          <w:rFonts w:hint="cs"/>
          <w:rtl/>
        </w:rPr>
        <w:t>البهية</w:t>
      </w:r>
      <w:r w:rsidRPr="006B0EA1">
        <w:rPr>
          <w:rtl/>
        </w:rPr>
        <w:t xml:space="preserve"> </w:t>
      </w:r>
      <w:r w:rsidRPr="006B0EA1">
        <w:rPr>
          <w:rFonts w:hint="cs"/>
          <w:rtl/>
        </w:rPr>
        <w:t>في</w:t>
      </w:r>
      <w:r w:rsidRPr="006B0EA1">
        <w:rPr>
          <w:rtl/>
        </w:rPr>
        <w:t xml:space="preserve"> </w:t>
      </w:r>
      <w:r w:rsidRPr="006B0EA1">
        <w:rPr>
          <w:rFonts w:hint="cs"/>
          <w:rtl/>
        </w:rPr>
        <w:t>شرح</w:t>
      </w:r>
      <w:r w:rsidRPr="006B0EA1">
        <w:rPr>
          <w:rtl/>
        </w:rPr>
        <w:t xml:space="preserve"> </w:t>
      </w:r>
      <w:r w:rsidRPr="006B0EA1">
        <w:rPr>
          <w:rFonts w:hint="cs"/>
          <w:rtl/>
        </w:rPr>
        <w:t>اللمعة</w:t>
      </w:r>
      <w:r w:rsidRPr="006B0EA1">
        <w:rPr>
          <w:rtl/>
        </w:rPr>
        <w:t xml:space="preserve"> </w:t>
      </w:r>
      <w:r w:rsidRPr="006B0EA1">
        <w:rPr>
          <w:rFonts w:hint="cs"/>
          <w:rtl/>
        </w:rPr>
        <w:t>الدمشقية</w:t>
      </w:r>
      <w:r w:rsidRPr="006B0EA1">
        <w:rPr>
          <w:rtl/>
        </w:rPr>
        <w:t xml:space="preserve"> (</w:t>
      </w:r>
      <w:r w:rsidRPr="006B0EA1">
        <w:rPr>
          <w:rFonts w:hint="cs"/>
          <w:rtl/>
        </w:rPr>
        <w:t>المحشى</w:t>
      </w:r>
      <w:r w:rsidRPr="006B0EA1">
        <w:rPr>
          <w:rtl/>
        </w:rPr>
        <w:t xml:space="preserve"> - </w:t>
      </w:r>
      <w:r w:rsidRPr="006B0EA1">
        <w:rPr>
          <w:rFonts w:hint="cs"/>
          <w:rtl/>
        </w:rPr>
        <w:t>كلانتر</w:t>
      </w:r>
      <w:r w:rsidRPr="006B0EA1">
        <w:rPr>
          <w:rtl/>
        </w:rPr>
        <w:t>)</w:t>
      </w:r>
      <w:r w:rsidRPr="006B0EA1">
        <w:rPr>
          <w:rFonts w:hint="cs"/>
          <w:rtl/>
        </w:rPr>
        <w:t>،</w:t>
      </w:r>
      <w:r w:rsidRPr="006B0EA1">
        <w:rPr>
          <w:rtl/>
        </w:rPr>
        <w:t xml:space="preserve"> </w:t>
      </w:r>
      <w:r w:rsidRPr="006B0EA1">
        <w:rPr>
          <w:rFonts w:hint="cs"/>
          <w:rtl/>
        </w:rPr>
        <w:t>ج‌</w:t>
      </w:r>
      <w:r w:rsidRPr="006B0EA1">
        <w:rPr>
          <w:rtl/>
        </w:rPr>
        <w:t>10</w:t>
      </w:r>
      <w:r w:rsidRPr="006B0EA1">
        <w:rPr>
          <w:rFonts w:hint="cs"/>
          <w:rtl/>
        </w:rPr>
        <w:t>،</w:t>
      </w:r>
      <w:r w:rsidRPr="006B0EA1">
        <w:rPr>
          <w:rtl/>
        </w:rPr>
        <w:t xml:space="preserve"> </w:t>
      </w:r>
      <w:r w:rsidRPr="006B0EA1">
        <w:rPr>
          <w:rFonts w:hint="cs"/>
          <w:rtl/>
        </w:rPr>
        <w:t>ص</w:t>
      </w:r>
      <w:r w:rsidRPr="006B0EA1">
        <w:rPr>
          <w:rtl/>
        </w:rPr>
        <w:t>: 24</w:t>
      </w:r>
      <w:r>
        <w:rPr>
          <w:rFonts w:hint="cs"/>
          <w:rtl/>
        </w:rPr>
        <w:t>.</w:t>
      </w:r>
    </w:p>
  </w:footnote>
  <w:footnote w:id="3">
    <w:p w:rsidR="006B0EA1" w:rsidRDefault="006B0EA1">
      <w:pPr>
        <w:pStyle w:val="FootnoteText"/>
        <w:rPr>
          <w:rtl/>
        </w:rPr>
      </w:pPr>
      <w:r>
        <w:rPr>
          <w:rStyle w:val="FootnoteReference"/>
        </w:rPr>
        <w:footnoteRef/>
      </w:r>
      <w:r>
        <w:rPr>
          <w:rtl/>
        </w:rPr>
        <w:t xml:space="preserve"> </w:t>
      </w:r>
      <w:r>
        <w:rPr>
          <w:rFonts w:hint="cs"/>
          <w:rtl/>
        </w:rPr>
        <w:t xml:space="preserve">. </w:t>
      </w:r>
      <w:r w:rsidRPr="006B0EA1">
        <w:rPr>
          <w:rFonts w:hint="cs"/>
          <w:rtl/>
        </w:rPr>
        <w:t>تحرير</w:t>
      </w:r>
      <w:r w:rsidRPr="006B0EA1">
        <w:rPr>
          <w:rtl/>
        </w:rPr>
        <w:t xml:space="preserve"> </w:t>
      </w:r>
      <w:r w:rsidRPr="006B0EA1">
        <w:rPr>
          <w:rFonts w:hint="cs"/>
          <w:rtl/>
        </w:rPr>
        <w:t>الأحكام</w:t>
      </w:r>
      <w:r w:rsidRPr="006B0EA1">
        <w:rPr>
          <w:rtl/>
        </w:rPr>
        <w:t xml:space="preserve"> </w:t>
      </w:r>
      <w:r w:rsidRPr="006B0EA1">
        <w:rPr>
          <w:rFonts w:hint="cs"/>
          <w:rtl/>
        </w:rPr>
        <w:t>الشرعية</w:t>
      </w:r>
      <w:r w:rsidRPr="006B0EA1">
        <w:rPr>
          <w:rtl/>
        </w:rPr>
        <w:t xml:space="preserve"> </w:t>
      </w:r>
      <w:r w:rsidRPr="006B0EA1">
        <w:rPr>
          <w:rFonts w:hint="cs"/>
          <w:rtl/>
        </w:rPr>
        <w:t>على</w:t>
      </w:r>
      <w:r w:rsidRPr="006B0EA1">
        <w:rPr>
          <w:rtl/>
        </w:rPr>
        <w:t xml:space="preserve"> </w:t>
      </w:r>
      <w:r w:rsidRPr="006B0EA1">
        <w:rPr>
          <w:rFonts w:hint="cs"/>
          <w:rtl/>
        </w:rPr>
        <w:t>مذهب</w:t>
      </w:r>
      <w:r w:rsidRPr="006B0EA1">
        <w:rPr>
          <w:rtl/>
        </w:rPr>
        <w:t xml:space="preserve"> </w:t>
      </w:r>
      <w:r w:rsidRPr="006B0EA1">
        <w:rPr>
          <w:rFonts w:hint="cs"/>
          <w:rtl/>
        </w:rPr>
        <w:t>الإمامية</w:t>
      </w:r>
      <w:r w:rsidRPr="006B0EA1">
        <w:rPr>
          <w:rtl/>
        </w:rPr>
        <w:t xml:space="preserve"> (</w:t>
      </w:r>
      <w:r w:rsidRPr="006B0EA1">
        <w:rPr>
          <w:rFonts w:hint="cs"/>
          <w:rtl/>
        </w:rPr>
        <w:t>ط</w:t>
      </w:r>
      <w:r w:rsidRPr="006B0EA1">
        <w:rPr>
          <w:rtl/>
        </w:rPr>
        <w:t xml:space="preserve"> - </w:t>
      </w:r>
      <w:r w:rsidRPr="006B0EA1">
        <w:rPr>
          <w:rFonts w:hint="cs"/>
          <w:rtl/>
        </w:rPr>
        <w:t>الحديثة</w:t>
      </w:r>
      <w:r w:rsidRPr="006B0EA1">
        <w:rPr>
          <w:rtl/>
        </w:rPr>
        <w:t>)</w:t>
      </w:r>
      <w:r w:rsidRPr="006B0EA1">
        <w:rPr>
          <w:rFonts w:hint="cs"/>
          <w:rtl/>
        </w:rPr>
        <w:t>،</w:t>
      </w:r>
      <w:r w:rsidRPr="006B0EA1">
        <w:rPr>
          <w:rtl/>
        </w:rPr>
        <w:t xml:space="preserve"> </w:t>
      </w:r>
      <w:r w:rsidRPr="006B0EA1">
        <w:rPr>
          <w:rFonts w:hint="cs"/>
          <w:rtl/>
        </w:rPr>
        <w:t>ج‌</w:t>
      </w:r>
      <w:r w:rsidRPr="006B0EA1">
        <w:rPr>
          <w:rtl/>
        </w:rPr>
        <w:t>5</w:t>
      </w:r>
      <w:r w:rsidRPr="006B0EA1">
        <w:rPr>
          <w:rFonts w:hint="cs"/>
          <w:rtl/>
        </w:rPr>
        <w:t>،</w:t>
      </w:r>
      <w:r w:rsidRPr="006B0EA1">
        <w:rPr>
          <w:rtl/>
        </w:rPr>
        <w:t xml:space="preserve"> </w:t>
      </w:r>
      <w:r w:rsidRPr="006B0EA1">
        <w:rPr>
          <w:rFonts w:hint="cs"/>
          <w:rtl/>
        </w:rPr>
        <w:t>ص</w:t>
      </w:r>
      <w:r w:rsidRPr="006B0EA1">
        <w:rPr>
          <w:rtl/>
        </w:rPr>
        <w:t>: 428</w:t>
      </w:r>
      <w:r>
        <w:rPr>
          <w:rFonts w:hint="cs"/>
          <w:rtl/>
        </w:rPr>
        <w:t>.</w:t>
      </w:r>
    </w:p>
  </w:footnote>
  <w:footnote w:id="4">
    <w:p w:rsidR="009137ED" w:rsidRDefault="009137ED">
      <w:pPr>
        <w:pStyle w:val="FootnoteText"/>
      </w:pPr>
      <w:r>
        <w:rPr>
          <w:rStyle w:val="FootnoteReference"/>
        </w:rPr>
        <w:footnoteRef/>
      </w:r>
      <w:r>
        <w:rPr>
          <w:rtl/>
        </w:rPr>
        <w:t xml:space="preserve"> </w:t>
      </w:r>
      <w:r>
        <w:rPr>
          <w:rFonts w:hint="cs"/>
          <w:rtl/>
        </w:rPr>
        <w:t xml:space="preserve">. </w:t>
      </w:r>
      <w:r w:rsidRPr="009137ED">
        <w:rPr>
          <w:rFonts w:hint="cs"/>
          <w:rtl/>
        </w:rPr>
        <w:t>قواعد</w:t>
      </w:r>
      <w:r w:rsidRPr="009137ED">
        <w:rPr>
          <w:rtl/>
        </w:rPr>
        <w:t xml:space="preserve"> </w:t>
      </w:r>
      <w:r w:rsidRPr="009137ED">
        <w:rPr>
          <w:rFonts w:hint="cs"/>
          <w:rtl/>
        </w:rPr>
        <w:t>الأحكام</w:t>
      </w:r>
      <w:r w:rsidRPr="009137ED">
        <w:rPr>
          <w:rtl/>
        </w:rPr>
        <w:t xml:space="preserve"> </w:t>
      </w:r>
      <w:r w:rsidRPr="009137ED">
        <w:rPr>
          <w:rFonts w:hint="cs"/>
          <w:rtl/>
        </w:rPr>
        <w:t>في</w:t>
      </w:r>
      <w:r w:rsidRPr="009137ED">
        <w:rPr>
          <w:rtl/>
        </w:rPr>
        <w:t xml:space="preserve"> </w:t>
      </w:r>
      <w:r w:rsidRPr="009137ED">
        <w:rPr>
          <w:rFonts w:hint="cs"/>
          <w:rtl/>
        </w:rPr>
        <w:t>معرفة</w:t>
      </w:r>
      <w:r w:rsidRPr="009137ED">
        <w:rPr>
          <w:rtl/>
        </w:rPr>
        <w:t xml:space="preserve"> </w:t>
      </w:r>
      <w:r w:rsidRPr="009137ED">
        <w:rPr>
          <w:rFonts w:hint="cs"/>
          <w:rtl/>
        </w:rPr>
        <w:t>الحلال</w:t>
      </w:r>
      <w:r w:rsidRPr="009137ED">
        <w:rPr>
          <w:rtl/>
        </w:rPr>
        <w:t xml:space="preserve"> </w:t>
      </w:r>
      <w:r w:rsidRPr="009137ED">
        <w:rPr>
          <w:rFonts w:hint="cs"/>
          <w:rtl/>
        </w:rPr>
        <w:t>و</w:t>
      </w:r>
      <w:r w:rsidRPr="009137ED">
        <w:rPr>
          <w:rtl/>
        </w:rPr>
        <w:t xml:space="preserve"> </w:t>
      </w:r>
      <w:r w:rsidRPr="009137ED">
        <w:rPr>
          <w:rFonts w:hint="cs"/>
          <w:rtl/>
        </w:rPr>
        <w:t>الحرام،</w:t>
      </w:r>
      <w:r w:rsidRPr="009137ED">
        <w:rPr>
          <w:rtl/>
        </w:rPr>
        <w:t xml:space="preserve"> </w:t>
      </w:r>
      <w:r w:rsidRPr="009137ED">
        <w:rPr>
          <w:rFonts w:hint="cs"/>
          <w:rtl/>
        </w:rPr>
        <w:t>ج‌</w:t>
      </w:r>
      <w:r w:rsidRPr="009137ED">
        <w:rPr>
          <w:rtl/>
        </w:rPr>
        <w:t>3</w:t>
      </w:r>
      <w:r w:rsidRPr="009137ED">
        <w:rPr>
          <w:rFonts w:hint="cs"/>
          <w:rtl/>
        </w:rPr>
        <w:t>،</w:t>
      </w:r>
      <w:r w:rsidRPr="009137ED">
        <w:rPr>
          <w:rtl/>
        </w:rPr>
        <w:t xml:space="preserve"> </w:t>
      </w:r>
      <w:r w:rsidRPr="009137ED">
        <w:rPr>
          <w:rFonts w:hint="cs"/>
          <w:rtl/>
        </w:rPr>
        <w:t>ص</w:t>
      </w:r>
      <w:r w:rsidRPr="009137ED">
        <w:rPr>
          <w:rtl/>
        </w:rPr>
        <w:t>: 588</w:t>
      </w:r>
      <w:r>
        <w:rPr>
          <w:rFonts w:hint="cs"/>
          <w:rtl/>
        </w:rPr>
        <w:t>.</w:t>
      </w:r>
    </w:p>
  </w:footnote>
  <w:footnote w:id="5">
    <w:p w:rsidR="009137ED" w:rsidRPr="009137ED" w:rsidRDefault="009137ED" w:rsidP="009137ED">
      <w:pPr>
        <w:pStyle w:val="FootnoteText"/>
      </w:pPr>
      <w:r w:rsidRPr="009137ED">
        <w:footnoteRef/>
      </w:r>
      <w:r w:rsidRPr="009137ED">
        <w:rPr>
          <w:rtl/>
        </w:rPr>
        <w:t xml:space="preserve"> </w:t>
      </w:r>
      <w:hyperlink r:id="rId1" w:history="1">
        <w:r w:rsidRPr="009137ED">
          <w:rPr>
            <w:rStyle w:val="Hyperlink"/>
            <w:rFonts w:hint="cs"/>
            <w:rtl/>
          </w:rPr>
          <w:t>الخلاف،</w:t>
        </w:r>
        <w:r w:rsidRPr="009137ED">
          <w:rPr>
            <w:rStyle w:val="Hyperlink"/>
            <w:rtl/>
          </w:rPr>
          <w:t xml:space="preserve"> </w:t>
        </w:r>
        <w:r w:rsidRPr="009137ED">
          <w:rPr>
            <w:rStyle w:val="Hyperlink"/>
            <w:rFonts w:hint="cs"/>
            <w:rtl/>
          </w:rPr>
          <w:t>شیخ</w:t>
        </w:r>
        <w:r w:rsidRPr="009137ED">
          <w:rPr>
            <w:rStyle w:val="Hyperlink"/>
            <w:rtl/>
          </w:rPr>
          <w:t xml:space="preserve"> </w:t>
        </w:r>
        <w:r w:rsidRPr="009137ED">
          <w:rPr>
            <w:rStyle w:val="Hyperlink"/>
            <w:rFonts w:hint="cs"/>
            <w:rtl/>
          </w:rPr>
          <w:t>طوسی،</w:t>
        </w:r>
        <w:r w:rsidRPr="009137ED">
          <w:rPr>
            <w:rStyle w:val="Hyperlink"/>
            <w:rtl/>
          </w:rPr>
          <w:t xml:space="preserve"> </w:t>
        </w:r>
        <w:r w:rsidRPr="009137ED">
          <w:rPr>
            <w:rStyle w:val="Hyperlink"/>
            <w:rFonts w:hint="cs"/>
            <w:rtl/>
          </w:rPr>
          <w:t>ج</w:t>
        </w:r>
        <w:r w:rsidRPr="009137ED">
          <w:rPr>
            <w:rStyle w:val="Hyperlink"/>
            <w:rtl/>
          </w:rPr>
          <w:t>5</w:t>
        </w:r>
        <w:r w:rsidRPr="009137ED">
          <w:rPr>
            <w:rStyle w:val="Hyperlink"/>
            <w:rFonts w:hint="cs"/>
            <w:rtl/>
          </w:rPr>
          <w:t>،</w:t>
        </w:r>
        <w:r w:rsidRPr="009137ED">
          <w:rPr>
            <w:rStyle w:val="Hyperlink"/>
            <w:rtl/>
          </w:rPr>
          <w:t xml:space="preserve"> </w:t>
        </w:r>
        <w:r w:rsidRPr="009137ED">
          <w:rPr>
            <w:rStyle w:val="Hyperlink"/>
            <w:rFonts w:hint="cs"/>
            <w:rtl/>
          </w:rPr>
          <w:t>ص</w:t>
        </w:r>
        <w:r w:rsidRPr="009137ED">
          <w:rPr>
            <w:rStyle w:val="Hyperlink"/>
            <w:rtl/>
          </w:rPr>
          <w:t>159</w:t>
        </w:r>
        <w:r w:rsidRPr="009137ED">
          <w:rPr>
            <w:rStyle w:val="Hyperlink"/>
          </w:rPr>
          <w:t>.</w:t>
        </w:r>
      </w:hyperlink>
    </w:p>
  </w:footnote>
  <w:footnote w:id="6">
    <w:p w:rsidR="009C0A96" w:rsidRDefault="009C0A96">
      <w:pPr>
        <w:pStyle w:val="FootnoteText"/>
        <w:rPr>
          <w:rtl/>
        </w:rPr>
      </w:pPr>
      <w:r>
        <w:rPr>
          <w:rStyle w:val="FootnoteReference"/>
        </w:rPr>
        <w:footnoteRef/>
      </w:r>
      <w:r>
        <w:rPr>
          <w:rtl/>
        </w:rPr>
        <w:t xml:space="preserve"> </w:t>
      </w:r>
      <w:r>
        <w:rPr>
          <w:rFonts w:hint="cs"/>
          <w:rtl/>
        </w:rPr>
        <w:t xml:space="preserve">. </w:t>
      </w:r>
      <w:r w:rsidRPr="009C0A96">
        <w:rPr>
          <w:rFonts w:hint="cs"/>
          <w:rtl/>
        </w:rPr>
        <w:t>المؤتلف</w:t>
      </w:r>
      <w:r w:rsidRPr="009C0A96">
        <w:rPr>
          <w:rtl/>
        </w:rPr>
        <w:t xml:space="preserve"> </w:t>
      </w:r>
      <w:r w:rsidRPr="009C0A96">
        <w:rPr>
          <w:rFonts w:hint="cs"/>
          <w:rtl/>
        </w:rPr>
        <w:t>من</w:t>
      </w:r>
      <w:r w:rsidRPr="009C0A96">
        <w:rPr>
          <w:rtl/>
        </w:rPr>
        <w:t xml:space="preserve"> </w:t>
      </w:r>
      <w:r w:rsidRPr="009C0A96">
        <w:rPr>
          <w:rFonts w:hint="cs"/>
          <w:rtl/>
        </w:rPr>
        <w:t>المختلف</w:t>
      </w:r>
      <w:r w:rsidRPr="009C0A96">
        <w:rPr>
          <w:rtl/>
        </w:rPr>
        <w:t xml:space="preserve"> </w:t>
      </w:r>
      <w:r w:rsidRPr="009C0A96">
        <w:rPr>
          <w:rFonts w:hint="cs"/>
          <w:rtl/>
        </w:rPr>
        <w:t>بين</w:t>
      </w:r>
      <w:r w:rsidRPr="009C0A96">
        <w:rPr>
          <w:rtl/>
        </w:rPr>
        <w:t xml:space="preserve"> </w:t>
      </w:r>
      <w:r w:rsidRPr="009C0A96">
        <w:rPr>
          <w:rFonts w:hint="cs"/>
          <w:rtl/>
        </w:rPr>
        <w:t>أئمة</w:t>
      </w:r>
      <w:r w:rsidRPr="009C0A96">
        <w:rPr>
          <w:rtl/>
        </w:rPr>
        <w:t xml:space="preserve"> </w:t>
      </w:r>
      <w:r w:rsidRPr="009C0A96">
        <w:rPr>
          <w:rFonts w:hint="cs"/>
          <w:rtl/>
        </w:rPr>
        <w:t>السلف،</w:t>
      </w:r>
      <w:r w:rsidRPr="009C0A96">
        <w:rPr>
          <w:rtl/>
        </w:rPr>
        <w:t xml:space="preserve"> </w:t>
      </w:r>
      <w:r w:rsidRPr="009C0A96">
        <w:rPr>
          <w:rFonts w:hint="cs"/>
          <w:rtl/>
        </w:rPr>
        <w:t>ج‌</w:t>
      </w:r>
      <w:r w:rsidRPr="009C0A96">
        <w:rPr>
          <w:rtl/>
        </w:rPr>
        <w:t>2</w:t>
      </w:r>
      <w:r w:rsidRPr="009C0A96">
        <w:rPr>
          <w:rFonts w:hint="cs"/>
          <w:rtl/>
        </w:rPr>
        <w:t>،</w:t>
      </w:r>
      <w:r w:rsidRPr="009C0A96">
        <w:rPr>
          <w:rtl/>
        </w:rPr>
        <w:t xml:space="preserve"> </w:t>
      </w:r>
      <w:r w:rsidRPr="009C0A96">
        <w:rPr>
          <w:rFonts w:hint="cs"/>
          <w:rtl/>
        </w:rPr>
        <w:t>ص</w:t>
      </w:r>
      <w:r w:rsidRPr="009C0A96">
        <w:rPr>
          <w:rtl/>
        </w:rPr>
        <w:t>: 309</w:t>
      </w:r>
      <w:r>
        <w:rPr>
          <w:rFonts w:hint="cs"/>
          <w:rtl/>
        </w:rPr>
        <w:t>.</w:t>
      </w:r>
    </w:p>
  </w:footnote>
  <w:footnote w:id="7">
    <w:p w:rsidR="009C0A96" w:rsidRDefault="009C0A96">
      <w:pPr>
        <w:pStyle w:val="FootnoteText"/>
      </w:pPr>
      <w:r>
        <w:rPr>
          <w:rStyle w:val="FootnoteReference"/>
        </w:rPr>
        <w:footnoteRef/>
      </w:r>
      <w:r>
        <w:rPr>
          <w:rtl/>
        </w:rPr>
        <w:t xml:space="preserve"> </w:t>
      </w:r>
      <w:r>
        <w:rPr>
          <w:rFonts w:hint="cs"/>
          <w:rtl/>
        </w:rPr>
        <w:t xml:space="preserve">. </w:t>
      </w:r>
      <w:r w:rsidRPr="009C0A96">
        <w:rPr>
          <w:rFonts w:hint="cs"/>
          <w:rtl/>
        </w:rPr>
        <w:t>كشف</w:t>
      </w:r>
      <w:r w:rsidRPr="009C0A96">
        <w:rPr>
          <w:rtl/>
        </w:rPr>
        <w:t xml:space="preserve"> </w:t>
      </w:r>
      <w:r w:rsidRPr="009C0A96">
        <w:rPr>
          <w:rFonts w:hint="cs"/>
          <w:rtl/>
        </w:rPr>
        <w:t>اللثام</w:t>
      </w:r>
      <w:r w:rsidRPr="009C0A96">
        <w:rPr>
          <w:rtl/>
        </w:rPr>
        <w:t xml:space="preserve"> </w:t>
      </w:r>
      <w:r w:rsidRPr="009C0A96">
        <w:rPr>
          <w:rFonts w:hint="cs"/>
          <w:rtl/>
        </w:rPr>
        <w:t>و</w:t>
      </w:r>
      <w:r w:rsidRPr="009C0A96">
        <w:rPr>
          <w:rtl/>
        </w:rPr>
        <w:t xml:space="preserve"> </w:t>
      </w:r>
      <w:r w:rsidRPr="009C0A96">
        <w:rPr>
          <w:rFonts w:hint="cs"/>
          <w:rtl/>
        </w:rPr>
        <w:t>الإبهام</w:t>
      </w:r>
      <w:r w:rsidRPr="009C0A96">
        <w:rPr>
          <w:rtl/>
        </w:rPr>
        <w:t xml:space="preserve"> </w:t>
      </w:r>
      <w:r w:rsidRPr="009C0A96">
        <w:rPr>
          <w:rFonts w:hint="cs"/>
          <w:rtl/>
        </w:rPr>
        <w:t>عن</w:t>
      </w:r>
      <w:r w:rsidRPr="009C0A96">
        <w:rPr>
          <w:rtl/>
        </w:rPr>
        <w:t xml:space="preserve"> </w:t>
      </w:r>
      <w:r w:rsidRPr="009C0A96">
        <w:rPr>
          <w:rFonts w:hint="cs"/>
          <w:rtl/>
        </w:rPr>
        <w:t>قواعد</w:t>
      </w:r>
      <w:r w:rsidRPr="009C0A96">
        <w:rPr>
          <w:rtl/>
        </w:rPr>
        <w:t xml:space="preserve"> </w:t>
      </w:r>
      <w:r w:rsidRPr="009C0A96">
        <w:rPr>
          <w:rFonts w:hint="cs"/>
          <w:rtl/>
        </w:rPr>
        <w:t>الأحكام،</w:t>
      </w:r>
      <w:r w:rsidRPr="009C0A96">
        <w:rPr>
          <w:rtl/>
        </w:rPr>
        <w:t xml:space="preserve"> </w:t>
      </w:r>
      <w:r w:rsidRPr="009C0A96">
        <w:rPr>
          <w:rFonts w:hint="cs"/>
          <w:rtl/>
        </w:rPr>
        <w:t>ج‌</w:t>
      </w:r>
      <w:r w:rsidRPr="009C0A96">
        <w:rPr>
          <w:rtl/>
        </w:rPr>
        <w:t>11</w:t>
      </w:r>
      <w:r w:rsidRPr="009C0A96">
        <w:rPr>
          <w:rFonts w:hint="cs"/>
          <w:rtl/>
        </w:rPr>
        <w:t>،</w:t>
      </w:r>
      <w:r w:rsidRPr="009C0A96">
        <w:rPr>
          <w:rtl/>
        </w:rPr>
        <w:t xml:space="preserve"> </w:t>
      </w:r>
      <w:r w:rsidRPr="009C0A96">
        <w:rPr>
          <w:rFonts w:hint="cs"/>
          <w:rtl/>
        </w:rPr>
        <w:t>ص</w:t>
      </w:r>
      <w:r w:rsidRPr="009C0A96">
        <w:rPr>
          <w:rtl/>
        </w:rPr>
        <w:t>: 11‌</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01515D">
      <w:rPr>
        <w:b/>
        <w:bCs/>
        <w:sz w:val="20"/>
        <w:szCs w:val="24"/>
        <w:rtl/>
      </w:rPr>
      <w:t>031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01515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01515D">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01515D">
      <w:rPr>
        <w:sz w:val="24"/>
        <w:szCs w:val="24"/>
        <w:rtl/>
      </w:rPr>
      <w:t>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01515D">
      <w:rPr>
        <w:rFonts w:hint="cs"/>
        <w:sz w:val="24"/>
        <w:szCs w:val="24"/>
        <w:rtl/>
      </w:rPr>
      <w:t>قتل</w:t>
    </w:r>
    <w:r w:rsidR="0001515D">
      <w:rPr>
        <w:sz w:val="24"/>
        <w:szCs w:val="24"/>
        <w:rtl/>
      </w:rPr>
      <w:t xml:space="preserve"> </w:t>
    </w:r>
    <w:r w:rsidR="0001515D">
      <w:rPr>
        <w:rFonts w:hint="cs"/>
        <w:sz w:val="24"/>
        <w:szCs w:val="24"/>
        <w:rtl/>
      </w:rPr>
      <w:t>به</w:t>
    </w:r>
    <w:r w:rsidR="0001515D">
      <w:rPr>
        <w:sz w:val="24"/>
        <w:szCs w:val="24"/>
        <w:rtl/>
      </w:rPr>
      <w:t xml:space="preserve"> </w:t>
    </w:r>
    <w:r w:rsidR="0001515D">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01515D">
      <w:rPr>
        <w:rFonts w:hint="cs"/>
        <w:sz w:val="24"/>
        <w:szCs w:val="24"/>
        <w:rtl/>
      </w:rPr>
      <w:t>سيدعلي</w:t>
    </w:r>
    <w:r w:rsidR="0001515D">
      <w:rPr>
        <w:sz w:val="24"/>
        <w:szCs w:val="24"/>
        <w:rtl/>
      </w:rPr>
      <w:t xml:space="preserve"> </w:t>
    </w:r>
    <w:r w:rsidR="0001515D">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r w:rsidR="0001515D">
      <w:rPr>
        <w:rFonts w:hint="cs"/>
        <w:sz w:val="24"/>
        <w:szCs w:val="24"/>
        <w:rtl/>
      </w:rPr>
      <w:t>مراتب</w:t>
    </w:r>
    <w:r w:rsidR="0001515D">
      <w:rPr>
        <w:sz w:val="24"/>
        <w:szCs w:val="24"/>
        <w:rtl/>
      </w:rPr>
      <w:t xml:space="preserve"> </w:t>
    </w:r>
    <w:r w:rsidR="0001515D">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515D"/>
    <w:rsid w:val="00025777"/>
    <w:rsid w:val="00025B70"/>
    <w:rsid w:val="000353D7"/>
    <w:rsid w:val="00055496"/>
    <w:rsid w:val="00080A41"/>
    <w:rsid w:val="0008299B"/>
    <w:rsid w:val="000913AA"/>
    <w:rsid w:val="00096C63"/>
    <w:rsid w:val="000A51A8"/>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385D"/>
    <w:rsid w:val="0024121B"/>
    <w:rsid w:val="00247D2F"/>
    <w:rsid w:val="00256560"/>
    <w:rsid w:val="0027605E"/>
    <w:rsid w:val="00281E00"/>
    <w:rsid w:val="002914BE"/>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6B99"/>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0EA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61C2"/>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137ED"/>
    <w:rsid w:val="00920B9C"/>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C0A96"/>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B6D6C"/>
    <w:rsid w:val="00BD0E74"/>
    <w:rsid w:val="00BD5F8C"/>
    <w:rsid w:val="00BE29DD"/>
    <w:rsid w:val="00C0010B"/>
    <w:rsid w:val="00C066AF"/>
    <w:rsid w:val="00C10E06"/>
    <w:rsid w:val="00C145B8"/>
    <w:rsid w:val="00C2438F"/>
    <w:rsid w:val="00C32A7E"/>
    <w:rsid w:val="00C34F28"/>
    <w:rsid w:val="00C368DF"/>
    <w:rsid w:val="00C442C5"/>
    <w:rsid w:val="00C57B5C"/>
    <w:rsid w:val="00C57C7C"/>
    <w:rsid w:val="00C61049"/>
    <w:rsid w:val="00C63FFE"/>
    <w:rsid w:val="00C74C33"/>
    <w:rsid w:val="00C91EB6"/>
    <w:rsid w:val="00CA10B0"/>
    <w:rsid w:val="00CA2F8E"/>
    <w:rsid w:val="00CA7FD5"/>
    <w:rsid w:val="00CB306E"/>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54946531">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16646103">
      <w:bodyDiv w:val="1"/>
      <w:marLeft w:val="0"/>
      <w:marRight w:val="0"/>
      <w:marTop w:val="0"/>
      <w:marBottom w:val="0"/>
      <w:divBdr>
        <w:top w:val="none" w:sz="0" w:space="0" w:color="auto"/>
        <w:left w:val="none" w:sz="0" w:space="0" w:color="auto"/>
        <w:bottom w:val="none" w:sz="0" w:space="0" w:color="auto"/>
        <w:right w:val="none" w:sz="0" w:space="0" w:color="auto"/>
      </w:divBdr>
    </w:div>
    <w:div w:id="115267568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20158305">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23948375">
      <w:bodyDiv w:val="1"/>
      <w:marLeft w:val="0"/>
      <w:marRight w:val="0"/>
      <w:marTop w:val="0"/>
      <w:marBottom w:val="0"/>
      <w:divBdr>
        <w:top w:val="none" w:sz="0" w:space="0" w:color="auto"/>
        <w:left w:val="none" w:sz="0" w:space="0" w:color="auto"/>
        <w:bottom w:val="none" w:sz="0" w:space="0" w:color="auto"/>
        <w:right w:val="none" w:sz="0" w:space="0" w:color="auto"/>
      </w:divBdr>
      <w:divsChild>
        <w:div w:id="1208688405">
          <w:marLeft w:val="0"/>
          <w:marRight w:val="0"/>
          <w:marTop w:val="0"/>
          <w:marBottom w:val="0"/>
          <w:divBdr>
            <w:top w:val="none" w:sz="0" w:space="0" w:color="auto"/>
            <w:left w:val="none" w:sz="0" w:space="0" w:color="auto"/>
            <w:bottom w:val="none" w:sz="0" w:space="0" w:color="auto"/>
            <w:right w:val="none" w:sz="0" w:space="0" w:color="auto"/>
          </w:divBdr>
          <w:divsChild>
            <w:div w:id="1240672401">
              <w:marLeft w:val="0"/>
              <w:marRight w:val="0"/>
              <w:marTop w:val="0"/>
              <w:marBottom w:val="0"/>
              <w:divBdr>
                <w:top w:val="none" w:sz="0" w:space="0" w:color="auto"/>
                <w:left w:val="none" w:sz="0" w:space="0" w:color="auto"/>
                <w:bottom w:val="none" w:sz="0" w:space="0" w:color="auto"/>
                <w:right w:val="none" w:sz="0" w:space="0" w:color="auto"/>
              </w:divBdr>
              <w:divsChild>
                <w:div w:id="23844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15/5/15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AE6F3E-1574-4DF9-99CD-F458BD2A7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53</TotalTime>
  <Pages>3</Pages>
  <Words>688</Words>
  <Characters>3928</Characters>
  <Application>Microsoft Office Word</Application>
  <DocSecurity>0</DocSecurity>
  <Lines>32</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4607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8</cp:revision>
  <dcterms:created xsi:type="dcterms:W3CDTF">2017-11-30T14:49:00Z</dcterms:created>
  <dcterms:modified xsi:type="dcterms:W3CDTF">2017-12-10T08:10:00Z</dcterms:modified>
  <cp:contentStatus>ویرایش 2.3</cp:contentStatus>
  <cp:version>2.3</cp:version>
</cp:coreProperties>
</file>