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112B8" w:rsidRDefault="003112B8" w:rsidP="003112B8">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5610685" w:history="1">
        <w:r w:rsidRPr="00CC7DE1">
          <w:rPr>
            <w:rStyle w:val="Hyperlink"/>
            <w:rFonts w:hint="eastAsia"/>
            <w:noProof/>
            <w:rtl/>
          </w:rPr>
          <w:t>ح</w:t>
        </w:r>
        <w:r w:rsidRPr="00CC7DE1">
          <w:rPr>
            <w:rStyle w:val="Hyperlink"/>
            <w:rFonts w:hint="cs"/>
            <w:noProof/>
            <w:rtl/>
          </w:rPr>
          <w:t>ی</w:t>
        </w:r>
        <w:r w:rsidRPr="00CC7DE1">
          <w:rPr>
            <w:rStyle w:val="Hyperlink"/>
            <w:rFonts w:hint="eastAsia"/>
            <w:noProof/>
            <w:rtl/>
          </w:rPr>
          <w:t>ات</w:t>
        </w:r>
        <w:r w:rsidRPr="00CC7DE1">
          <w:rPr>
            <w:rStyle w:val="Hyperlink"/>
            <w:noProof/>
            <w:rtl/>
          </w:rPr>
          <w:t xml:space="preserve"> </w:t>
        </w:r>
        <w:r w:rsidRPr="00CC7DE1">
          <w:rPr>
            <w:rStyle w:val="Hyperlink"/>
            <w:rFonts w:hint="eastAsia"/>
            <w:noProof/>
            <w:rtl/>
          </w:rPr>
          <w:t>مستقره؛</w:t>
        </w:r>
        <w:r w:rsidRPr="00CC7DE1">
          <w:rPr>
            <w:rStyle w:val="Hyperlink"/>
            <w:noProof/>
            <w:rtl/>
          </w:rPr>
          <w:t xml:space="preserve"> </w:t>
        </w:r>
        <w:r w:rsidRPr="00CC7DE1">
          <w:rPr>
            <w:rStyle w:val="Hyperlink"/>
            <w:rFonts w:hint="eastAsia"/>
            <w:noProof/>
            <w:rtl/>
          </w:rPr>
          <w:t>ح</w:t>
        </w:r>
        <w:r w:rsidRPr="00CC7DE1">
          <w:rPr>
            <w:rStyle w:val="Hyperlink"/>
            <w:rFonts w:hint="cs"/>
            <w:noProof/>
            <w:rtl/>
          </w:rPr>
          <w:t>ی</w:t>
        </w:r>
        <w:r w:rsidRPr="00CC7DE1">
          <w:rPr>
            <w:rStyle w:val="Hyperlink"/>
            <w:rFonts w:hint="eastAsia"/>
            <w:noProof/>
            <w:rtl/>
          </w:rPr>
          <w:t>ات</w:t>
        </w:r>
        <w:r w:rsidRPr="00CC7DE1">
          <w:rPr>
            <w:rStyle w:val="Hyperlink"/>
            <w:noProof/>
            <w:rtl/>
          </w:rPr>
          <w:t xml:space="preserve"> </w:t>
        </w:r>
        <w:r w:rsidRPr="00CC7DE1">
          <w:rPr>
            <w:rStyle w:val="Hyperlink"/>
            <w:rFonts w:hint="eastAsia"/>
            <w:noProof/>
            <w:rtl/>
          </w:rPr>
          <w:t>ملازم</w:t>
        </w:r>
        <w:r w:rsidRPr="00CC7DE1">
          <w:rPr>
            <w:rStyle w:val="Hyperlink"/>
            <w:noProof/>
            <w:rtl/>
          </w:rPr>
          <w:t xml:space="preserve"> </w:t>
        </w:r>
        <w:r w:rsidRPr="00CC7DE1">
          <w:rPr>
            <w:rStyle w:val="Hyperlink"/>
            <w:rFonts w:hint="eastAsia"/>
            <w:noProof/>
            <w:rtl/>
          </w:rPr>
          <w:t>با</w:t>
        </w:r>
        <w:r w:rsidRPr="00CC7DE1">
          <w:rPr>
            <w:rStyle w:val="Hyperlink"/>
            <w:noProof/>
            <w:rtl/>
          </w:rPr>
          <w:t xml:space="preserve"> </w:t>
        </w:r>
        <w:r w:rsidRPr="00CC7DE1">
          <w:rPr>
            <w:rStyle w:val="Hyperlink"/>
            <w:rFonts w:hint="eastAsia"/>
            <w:noProof/>
            <w:rtl/>
          </w:rPr>
          <w:t>صدور</w:t>
        </w:r>
        <w:r w:rsidRPr="00CC7DE1">
          <w:rPr>
            <w:rStyle w:val="Hyperlink"/>
            <w:noProof/>
            <w:rtl/>
          </w:rPr>
          <w:t xml:space="preserve"> </w:t>
        </w:r>
        <w:r w:rsidRPr="00CC7DE1">
          <w:rPr>
            <w:rStyle w:val="Hyperlink"/>
            <w:rFonts w:hint="eastAsia"/>
            <w:noProof/>
            <w:rtl/>
          </w:rPr>
          <w:t>حرکات</w:t>
        </w:r>
        <w:r w:rsidRPr="00CC7DE1">
          <w:rPr>
            <w:rStyle w:val="Hyperlink"/>
            <w:noProof/>
            <w:rtl/>
          </w:rPr>
          <w:t xml:space="preserve"> </w:t>
        </w:r>
        <w:r w:rsidRPr="00CC7DE1">
          <w:rPr>
            <w:rStyle w:val="Hyperlink"/>
            <w:rFonts w:hint="eastAsia"/>
            <w:noProof/>
            <w:rtl/>
          </w:rPr>
          <w:t>اخت</w:t>
        </w:r>
        <w:r w:rsidRPr="00CC7DE1">
          <w:rPr>
            <w:rStyle w:val="Hyperlink"/>
            <w:rFonts w:hint="cs"/>
            <w:noProof/>
            <w:rtl/>
          </w:rPr>
          <w:t>ی</w:t>
        </w:r>
        <w:r w:rsidRPr="00CC7DE1">
          <w:rPr>
            <w:rStyle w:val="Hyperlink"/>
            <w:rFonts w:hint="eastAsia"/>
            <w:noProof/>
            <w:rtl/>
          </w:rPr>
          <w:t>ار</w:t>
        </w:r>
        <w:r w:rsidRPr="00CC7DE1">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505610685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112B8" w:rsidRDefault="003112B8" w:rsidP="003112B8">
      <w:pPr>
        <w:pStyle w:val="TOC7"/>
        <w:tabs>
          <w:tab w:val="right" w:leader="dot" w:pos="10194"/>
        </w:tabs>
        <w:rPr>
          <w:rFonts w:asciiTheme="minorHAnsi" w:eastAsiaTheme="minorEastAsia" w:hAnsiTheme="minorHAnsi" w:cstheme="minorBidi"/>
          <w:bCs w:val="0"/>
          <w:noProof/>
          <w:color w:val="auto"/>
          <w:szCs w:val="22"/>
          <w:rtl/>
        </w:rPr>
      </w:pPr>
      <w:hyperlink w:anchor="_Toc505610686" w:history="1">
        <w:r w:rsidRPr="00CC7DE1">
          <w:rPr>
            <w:rStyle w:val="Hyperlink"/>
            <w:rFonts w:hint="eastAsia"/>
            <w:noProof/>
            <w:rtl/>
          </w:rPr>
          <w:t>ح</w:t>
        </w:r>
        <w:r w:rsidRPr="00CC7DE1">
          <w:rPr>
            <w:rStyle w:val="Hyperlink"/>
            <w:rFonts w:hint="cs"/>
            <w:noProof/>
            <w:rtl/>
          </w:rPr>
          <w:t>ی</w:t>
        </w:r>
        <w:r w:rsidRPr="00CC7DE1">
          <w:rPr>
            <w:rStyle w:val="Hyperlink"/>
            <w:rFonts w:hint="eastAsia"/>
            <w:noProof/>
            <w:rtl/>
          </w:rPr>
          <w:t>ات</w:t>
        </w:r>
        <w:r w:rsidRPr="00CC7DE1">
          <w:rPr>
            <w:rStyle w:val="Hyperlink"/>
            <w:noProof/>
            <w:rtl/>
          </w:rPr>
          <w:t xml:space="preserve"> </w:t>
        </w:r>
        <w:r w:rsidRPr="00CC7DE1">
          <w:rPr>
            <w:rStyle w:val="Hyperlink"/>
            <w:rFonts w:hint="eastAsia"/>
            <w:noProof/>
            <w:rtl/>
          </w:rPr>
          <w:t>مستقره</w:t>
        </w:r>
        <w:r w:rsidRPr="00CC7DE1">
          <w:rPr>
            <w:rStyle w:val="Hyperlink"/>
            <w:noProof/>
            <w:rtl/>
          </w:rPr>
          <w:t xml:space="preserve"> </w:t>
        </w:r>
        <w:r w:rsidRPr="00CC7DE1">
          <w:rPr>
            <w:rStyle w:val="Hyperlink"/>
            <w:rFonts w:hint="eastAsia"/>
            <w:noProof/>
            <w:rtl/>
          </w:rPr>
          <w:t>در</w:t>
        </w:r>
        <w:r w:rsidRPr="00CC7DE1">
          <w:rPr>
            <w:rStyle w:val="Hyperlink"/>
            <w:noProof/>
            <w:rtl/>
          </w:rPr>
          <w:t xml:space="preserve"> </w:t>
        </w:r>
        <w:r w:rsidRPr="00CC7DE1">
          <w:rPr>
            <w:rStyle w:val="Hyperlink"/>
            <w:rFonts w:hint="eastAsia"/>
            <w:noProof/>
            <w:rtl/>
          </w:rPr>
          <w:t>باب</w:t>
        </w:r>
        <w:r w:rsidRPr="00CC7DE1">
          <w:rPr>
            <w:rStyle w:val="Hyperlink"/>
            <w:noProof/>
            <w:rtl/>
          </w:rPr>
          <w:t xml:space="preserve"> </w:t>
        </w:r>
        <w:r w:rsidRPr="00CC7DE1">
          <w:rPr>
            <w:rStyle w:val="Hyperlink"/>
            <w:rFonts w:hint="eastAsia"/>
            <w:noProof/>
            <w:rtl/>
          </w:rPr>
          <w:t>ص</w:t>
        </w:r>
        <w:r w:rsidRPr="00CC7DE1">
          <w:rPr>
            <w:rStyle w:val="Hyperlink"/>
            <w:rFonts w:hint="cs"/>
            <w:noProof/>
            <w:rtl/>
          </w:rPr>
          <w:t>ی</w:t>
        </w:r>
        <w:r w:rsidRPr="00CC7DE1">
          <w:rPr>
            <w:rStyle w:val="Hyperlink"/>
            <w:rFonts w:hint="eastAsia"/>
            <w:noProof/>
            <w:rtl/>
          </w:rPr>
          <w:t>د</w:t>
        </w:r>
        <w:r w:rsidRPr="00CC7DE1">
          <w:rPr>
            <w:rStyle w:val="Hyperlink"/>
            <w:noProof/>
            <w:rtl/>
          </w:rPr>
          <w:t xml:space="preserve"> </w:t>
        </w:r>
        <w:r w:rsidRPr="00CC7DE1">
          <w:rPr>
            <w:rStyle w:val="Hyperlink"/>
            <w:rFonts w:hint="eastAsia"/>
            <w:noProof/>
            <w:rtl/>
          </w:rPr>
          <w:t>و</w:t>
        </w:r>
        <w:r w:rsidRPr="00CC7DE1">
          <w:rPr>
            <w:rStyle w:val="Hyperlink"/>
            <w:noProof/>
            <w:rtl/>
          </w:rPr>
          <w:t xml:space="preserve"> </w:t>
        </w:r>
        <w:r w:rsidRPr="00CC7DE1">
          <w:rPr>
            <w:rStyle w:val="Hyperlink"/>
            <w:rFonts w:hint="eastAsia"/>
            <w:noProof/>
            <w:rtl/>
          </w:rPr>
          <w:t>ذباحه</w:t>
        </w:r>
        <w:r w:rsidRPr="00CC7DE1">
          <w:rPr>
            <w:rStyle w:val="Hyperlink"/>
            <w:noProof/>
            <w:rtl/>
          </w:rPr>
          <w:t xml:space="preserve"> (</w:t>
        </w:r>
        <w:r w:rsidRPr="00CC7DE1">
          <w:rPr>
            <w:rStyle w:val="Hyperlink"/>
            <w:rFonts w:hint="eastAsia"/>
            <w:noProof/>
            <w:rtl/>
          </w:rPr>
          <w:t>مرحوم</w:t>
        </w:r>
        <w:r w:rsidRPr="00CC7DE1">
          <w:rPr>
            <w:rStyle w:val="Hyperlink"/>
            <w:noProof/>
            <w:rtl/>
          </w:rPr>
          <w:t xml:space="preserve"> </w:t>
        </w:r>
        <w:r w:rsidRPr="00CC7DE1">
          <w:rPr>
            <w:rStyle w:val="Hyperlink"/>
            <w:rFonts w:hint="eastAsia"/>
            <w:noProof/>
            <w:rtl/>
          </w:rPr>
          <w:t>محقق</w:t>
        </w:r>
        <w:r w:rsidRPr="00CC7DE1">
          <w:rPr>
            <w:rStyle w:val="Hyperlink"/>
            <w:noProof/>
            <w:rtl/>
          </w:rPr>
          <w:t xml:space="preserve"> </w:t>
        </w:r>
        <w:r w:rsidRPr="00CC7DE1">
          <w:rPr>
            <w:rStyle w:val="Hyperlink"/>
            <w:rFonts w:hint="eastAsia"/>
            <w:noProof/>
            <w:rtl/>
          </w:rPr>
          <w:t>ره</w:t>
        </w:r>
        <w:r w:rsidRPr="00CC7DE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505610686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112B8" w:rsidRDefault="003112B8" w:rsidP="003112B8">
      <w:pPr>
        <w:pStyle w:val="TOC6"/>
        <w:tabs>
          <w:tab w:val="right" w:leader="dot" w:pos="10194"/>
        </w:tabs>
        <w:rPr>
          <w:rFonts w:asciiTheme="minorHAnsi" w:eastAsiaTheme="minorEastAsia" w:hAnsiTheme="minorHAnsi" w:cstheme="minorBidi"/>
          <w:bCs w:val="0"/>
          <w:noProof/>
          <w:color w:val="auto"/>
          <w:szCs w:val="22"/>
          <w:rtl/>
        </w:rPr>
      </w:pPr>
      <w:hyperlink w:anchor="_Toc505610687" w:history="1">
        <w:r w:rsidRPr="00CC7DE1">
          <w:rPr>
            <w:rStyle w:val="Hyperlink"/>
            <w:rFonts w:hint="eastAsia"/>
            <w:noProof/>
            <w:rtl/>
          </w:rPr>
          <w:t>منشأ</w:t>
        </w:r>
        <w:r w:rsidRPr="00CC7DE1">
          <w:rPr>
            <w:rStyle w:val="Hyperlink"/>
            <w:noProof/>
            <w:rtl/>
          </w:rPr>
          <w:t xml:space="preserve"> </w:t>
        </w:r>
        <w:r w:rsidRPr="00CC7DE1">
          <w:rPr>
            <w:rStyle w:val="Hyperlink"/>
            <w:rFonts w:hint="eastAsia"/>
            <w:noProof/>
            <w:rtl/>
          </w:rPr>
          <w:t>عنوان</w:t>
        </w:r>
        <w:r w:rsidRPr="00CC7DE1">
          <w:rPr>
            <w:rStyle w:val="Hyperlink"/>
            <w:noProof/>
            <w:rtl/>
          </w:rPr>
          <w:t xml:space="preserve"> </w:t>
        </w:r>
        <w:r w:rsidRPr="00CC7DE1">
          <w:rPr>
            <w:rStyle w:val="Hyperlink"/>
            <w:rFonts w:hint="eastAsia"/>
            <w:noProof/>
            <w:rtl/>
          </w:rPr>
          <w:t>ح</w:t>
        </w:r>
        <w:r w:rsidRPr="00CC7DE1">
          <w:rPr>
            <w:rStyle w:val="Hyperlink"/>
            <w:rFonts w:hint="cs"/>
            <w:noProof/>
            <w:rtl/>
          </w:rPr>
          <w:t>ی</w:t>
        </w:r>
        <w:r w:rsidRPr="00CC7DE1">
          <w:rPr>
            <w:rStyle w:val="Hyperlink"/>
            <w:rFonts w:hint="eastAsia"/>
            <w:noProof/>
            <w:rtl/>
          </w:rPr>
          <w:t>ات</w:t>
        </w:r>
        <w:r w:rsidRPr="00CC7DE1">
          <w:rPr>
            <w:rStyle w:val="Hyperlink"/>
            <w:noProof/>
            <w:rtl/>
          </w:rPr>
          <w:t xml:space="preserve"> </w:t>
        </w:r>
        <w:r w:rsidRPr="00CC7DE1">
          <w:rPr>
            <w:rStyle w:val="Hyperlink"/>
            <w:rFonts w:hint="eastAsia"/>
            <w:noProof/>
            <w:rtl/>
          </w:rPr>
          <w:t>مستقره</w:t>
        </w:r>
        <w:r w:rsidRPr="00CC7DE1">
          <w:rPr>
            <w:rStyle w:val="Hyperlink"/>
            <w:noProof/>
            <w:rtl/>
          </w:rPr>
          <w:t xml:space="preserve">: </w:t>
        </w:r>
        <w:r w:rsidRPr="00CC7DE1">
          <w:rPr>
            <w:rStyle w:val="Hyperlink"/>
            <w:rFonts w:hint="eastAsia"/>
            <w:noProof/>
            <w:rtl/>
          </w:rPr>
          <w:t>فقه</w:t>
        </w:r>
        <w:r w:rsidRPr="00CC7DE1">
          <w:rPr>
            <w:rStyle w:val="Hyperlink"/>
            <w:noProof/>
            <w:rtl/>
          </w:rPr>
          <w:t xml:space="preserve"> </w:t>
        </w:r>
        <w:r w:rsidRPr="00CC7DE1">
          <w:rPr>
            <w:rStyle w:val="Hyperlink"/>
            <w:rFonts w:hint="eastAsia"/>
            <w:noProof/>
            <w:rtl/>
          </w:rPr>
          <w:t>عامه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505610687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3112B8"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5E7F2C">
        <w:rPr>
          <w:rFonts w:hint="cs"/>
          <w:rtl/>
        </w:rPr>
        <w:t>قتل</w:t>
      </w:r>
      <w:r w:rsidR="005E7F2C">
        <w:rPr>
          <w:rtl/>
        </w:rPr>
        <w:t xml:space="preserve"> </w:t>
      </w:r>
      <w:r w:rsidR="005E7F2C">
        <w:rPr>
          <w:rFonts w:hint="cs"/>
          <w:rtl/>
        </w:rPr>
        <w:t>به</w:t>
      </w:r>
      <w:r w:rsidR="005E7F2C">
        <w:rPr>
          <w:rtl/>
        </w:rPr>
        <w:t xml:space="preserve"> </w:t>
      </w:r>
      <w:r w:rsidR="005E7F2C">
        <w:rPr>
          <w:rFonts w:hint="cs"/>
          <w:rtl/>
        </w:rPr>
        <w:t>تسبیب</w:t>
      </w:r>
      <w:r w:rsidR="005E7F2C">
        <w:rPr>
          <w:rtl/>
        </w:rPr>
        <w:t>/</w:t>
      </w:r>
      <w:r w:rsidR="005E7F2C">
        <w:rPr>
          <w:rFonts w:hint="cs"/>
          <w:rtl/>
        </w:rPr>
        <w:t>مراتب</w:t>
      </w:r>
      <w:r w:rsidR="005E7F2C">
        <w:rPr>
          <w:rtl/>
        </w:rPr>
        <w:t xml:space="preserve"> </w:t>
      </w:r>
      <w:r w:rsidR="005E7F2C">
        <w:rPr>
          <w:rFonts w:hint="cs"/>
          <w:rtl/>
        </w:rPr>
        <w:t>تسبیب</w:t>
      </w:r>
      <w:r w:rsidR="005E7F2C">
        <w:rPr>
          <w:rtl/>
        </w:rPr>
        <w:t>/</w:t>
      </w:r>
      <w:r w:rsidR="005E7F2C">
        <w:rPr>
          <w:rFonts w:hint="cs"/>
          <w:rtl/>
        </w:rPr>
        <w:t>مرتبه</w:t>
      </w:r>
      <w:r w:rsidR="005E7F2C">
        <w:rPr>
          <w:rtl/>
        </w:rPr>
        <w:t xml:space="preserve"> </w:t>
      </w:r>
      <w:r w:rsidR="005E7F2C">
        <w:rPr>
          <w:rFonts w:hint="cs"/>
          <w:rtl/>
        </w:rPr>
        <w:t>چهارم</w:t>
      </w:r>
      <w:r w:rsidR="005E7F2C">
        <w:rPr>
          <w:rtl/>
        </w:rPr>
        <w:t>/</w:t>
      </w:r>
      <w:r w:rsidR="005E7F2C">
        <w:rPr>
          <w:rFonts w:hint="cs"/>
          <w:rtl/>
        </w:rPr>
        <w:t>صورت</w:t>
      </w:r>
      <w:r w:rsidR="005E7F2C">
        <w:rPr>
          <w:rtl/>
        </w:rPr>
        <w:t xml:space="preserve"> </w:t>
      </w:r>
      <w:r w:rsidR="005E7F2C">
        <w:rPr>
          <w:rFonts w:hint="cs"/>
          <w:rtl/>
        </w:rPr>
        <w:t>چهارم</w:t>
      </w:r>
      <w:r w:rsidR="00025B70">
        <w:rPr>
          <w:rFonts w:hint="cs"/>
          <w:rtl/>
        </w:rPr>
        <w:t xml:space="preserve"> </w:t>
      </w:r>
      <w:r w:rsidR="00386C11" w:rsidRPr="00A6366F">
        <w:rPr>
          <w:rFonts w:hint="cs"/>
          <w:rtl/>
        </w:rPr>
        <w:t>/</w:t>
      </w:r>
      <w:bookmarkStart w:id="2" w:name="BokSabj_d"/>
      <w:bookmarkEnd w:id="2"/>
      <w:r w:rsidR="005E7F2C">
        <w:rPr>
          <w:rFonts w:hint="cs"/>
          <w:rtl/>
        </w:rPr>
        <w:t>قتل</w:t>
      </w:r>
      <w:r w:rsidR="005E7F2C">
        <w:rPr>
          <w:rtl/>
        </w:rPr>
        <w:t xml:space="preserve"> </w:t>
      </w:r>
      <w:r w:rsidR="005E7F2C">
        <w:rPr>
          <w:rFonts w:hint="cs"/>
          <w:rtl/>
        </w:rPr>
        <w:t>عمد</w:t>
      </w:r>
      <w:r w:rsidR="00386C11" w:rsidRPr="00A6366F">
        <w:rPr>
          <w:rFonts w:hint="cs"/>
          <w:rtl/>
        </w:rPr>
        <w:t xml:space="preserve"> /</w:t>
      </w:r>
      <w:bookmarkStart w:id="3" w:name="Bokkolli"/>
      <w:bookmarkEnd w:id="3"/>
      <w:r w:rsidR="005E7F2C">
        <w:rPr>
          <w:rFonts w:hint="cs"/>
          <w:rtl/>
        </w:rPr>
        <w:t>کتاب</w:t>
      </w:r>
      <w:r w:rsidR="005E7F2C">
        <w:rPr>
          <w:rtl/>
        </w:rPr>
        <w:t xml:space="preserve"> </w:t>
      </w:r>
      <w:r w:rsidR="005E7F2C">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51195B" w:rsidP="0051195B">
      <w:pPr>
        <w:pBdr>
          <w:bottom w:val="double" w:sz="6" w:space="1" w:color="auto"/>
        </w:pBdr>
      </w:pPr>
      <w:r>
        <w:rPr>
          <w:rFonts w:hint="cs"/>
          <w:rtl/>
        </w:rPr>
        <w:t>بحث به چهارمین صورت از مرتبه چهارم قتل به تسبیب رسید.</w:t>
      </w:r>
    </w:p>
    <w:p w:rsidR="0051195B" w:rsidRDefault="0051195B" w:rsidP="0051195B">
      <w:pPr>
        <w:pStyle w:val="Heading6"/>
        <w:rPr>
          <w:rtl/>
        </w:rPr>
      </w:pPr>
      <w:bookmarkStart w:id="4" w:name="_Toc505610685"/>
      <w:r>
        <w:rPr>
          <w:rFonts w:hint="cs"/>
          <w:rtl/>
        </w:rPr>
        <w:t>حیات مستقره؛ حیات ملازم با صدور حرکات اختیاری</w:t>
      </w:r>
      <w:bookmarkEnd w:id="4"/>
      <w:r>
        <w:rPr>
          <w:rFonts w:hint="cs"/>
          <w:rtl/>
        </w:rPr>
        <w:t xml:space="preserve"> </w:t>
      </w:r>
    </w:p>
    <w:p w:rsidR="00785805" w:rsidRDefault="00785805" w:rsidP="00785805">
      <w:pPr>
        <w:rPr>
          <w:rFonts w:hint="cs"/>
          <w:rtl/>
        </w:rPr>
      </w:pPr>
      <w:r>
        <w:rPr>
          <w:rFonts w:hint="cs"/>
          <w:rtl/>
        </w:rPr>
        <w:t>همان طور که بیان شد، مرحوم صاحب جواهر قدس سره ضابطه ای برای حیات مستقره مطرح نمود که بر اساس آن هر چیزی که ملازمه با صدور حرکات و تکلم اختیاری دارد، حیات مستقره محسوب می شود؛ خواه چنین حیاتی کوتاه باشد و خواه طولانی.</w:t>
      </w:r>
    </w:p>
    <w:p w:rsidR="00785805" w:rsidRDefault="00785805" w:rsidP="00785805">
      <w:pPr>
        <w:rPr>
          <w:rFonts w:hint="cs"/>
          <w:rtl/>
        </w:rPr>
      </w:pPr>
      <w:r>
        <w:rPr>
          <w:rFonts w:hint="cs"/>
          <w:rtl/>
        </w:rPr>
        <w:t>به نظر می رسد که ضابطه فوق، اختصاصی هم به مرحوم صاحب جواهر ره ندارد و بیشتر فقها آن را ملتزم هستند.</w:t>
      </w:r>
    </w:p>
    <w:p w:rsidR="00FF461D" w:rsidRDefault="00785805" w:rsidP="00FF461D">
      <w:pPr>
        <w:rPr>
          <w:rFonts w:hint="cs"/>
          <w:rtl/>
        </w:rPr>
      </w:pPr>
      <w:r>
        <w:rPr>
          <w:rFonts w:hint="cs"/>
          <w:rtl/>
        </w:rPr>
        <w:t xml:space="preserve"> </w:t>
      </w:r>
      <w:r>
        <w:rPr>
          <w:rtl/>
        </w:rPr>
        <w:t>ضابطه</w:t>
      </w:r>
      <w:r w:rsidRPr="00785805">
        <w:rPr>
          <w:rtl/>
        </w:rPr>
        <w:t xml:space="preserve"> در ملاک حیات مستقره</w:t>
      </w:r>
      <w:r>
        <w:rPr>
          <w:rFonts w:hint="cs"/>
          <w:rtl/>
        </w:rPr>
        <w:t>،</w:t>
      </w:r>
      <w:r w:rsidRPr="00785805">
        <w:rPr>
          <w:rtl/>
        </w:rPr>
        <w:t xml:space="preserve"> در مباحث امروزی هم </w:t>
      </w:r>
      <w:r>
        <w:rPr>
          <w:rFonts w:hint="cs"/>
          <w:rtl/>
        </w:rPr>
        <w:t>قابل تطبیق است و می توان بر اساس آن ن</w:t>
      </w:r>
      <w:r w:rsidR="00FF461D">
        <w:rPr>
          <w:rFonts w:hint="cs"/>
          <w:rtl/>
        </w:rPr>
        <w:t xml:space="preserve">سبت به مرگ مغزی </w:t>
      </w:r>
      <w:r>
        <w:rPr>
          <w:rFonts w:hint="cs"/>
          <w:rtl/>
        </w:rPr>
        <w:t xml:space="preserve">اطلاق موت </w:t>
      </w:r>
      <w:r w:rsidR="0091730D">
        <w:rPr>
          <w:rFonts w:hint="cs"/>
          <w:rtl/>
        </w:rPr>
        <w:t xml:space="preserve">عرفی </w:t>
      </w:r>
      <w:r>
        <w:rPr>
          <w:rFonts w:hint="cs"/>
          <w:rtl/>
        </w:rPr>
        <w:t>نمود</w:t>
      </w:r>
      <w:r w:rsidR="00FF461D">
        <w:rPr>
          <w:rFonts w:hint="cs"/>
          <w:rtl/>
        </w:rPr>
        <w:t xml:space="preserve">؛ چرا که مراد از حیات، حیات مستقره است که ملاک در آن ادراک است و اینکه نطق و حرکت ارادی در کلام بزرگانی مثل صاحب جواهر ره آمده است، بیان ملازمات آن است و از طرفی </w:t>
      </w:r>
      <w:r w:rsidR="00FF461D">
        <w:rPr>
          <w:rFonts w:hint="cs"/>
          <w:rtl/>
        </w:rPr>
        <w:t xml:space="preserve">حرکت ارادی فرع اراده و اراده فرع ادراک </w:t>
      </w:r>
      <w:r w:rsidR="00FF461D">
        <w:rPr>
          <w:rFonts w:hint="cs"/>
          <w:rtl/>
        </w:rPr>
        <w:t xml:space="preserve">و </w:t>
      </w:r>
      <w:r w:rsidR="00FF461D">
        <w:rPr>
          <w:rFonts w:hint="cs"/>
          <w:rtl/>
        </w:rPr>
        <w:t>تصور است.</w:t>
      </w:r>
      <w:r w:rsidR="00FF461D" w:rsidRPr="00785805">
        <w:rPr>
          <w:rtl/>
        </w:rPr>
        <w:t xml:space="preserve"> </w:t>
      </w:r>
    </w:p>
    <w:p w:rsidR="00FF461D" w:rsidRDefault="00FF461D" w:rsidP="00FF461D">
      <w:pPr>
        <w:rPr>
          <w:rFonts w:hint="cs"/>
          <w:rtl/>
        </w:rPr>
      </w:pPr>
      <w:r>
        <w:rPr>
          <w:rFonts w:hint="cs"/>
          <w:rtl/>
        </w:rPr>
        <w:t>البته مراد از اراده، اراده ی مصحح تکلیف و عقوبت نیست، لذا حرکات مجنون ارادی محسوب می شود.</w:t>
      </w:r>
    </w:p>
    <w:p w:rsidR="00FF461D" w:rsidRDefault="00785805" w:rsidP="00785805">
      <w:pPr>
        <w:rPr>
          <w:rFonts w:hint="cs"/>
          <w:rtl/>
        </w:rPr>
      </w:pPr>
      <w:r w:rsidRPr="00785805">
        <w:rPr>
          <w:rtl/>
        </w:rPr>
        <w:t>مشهور فقها در ملاک حیات مستقره آنچه ملازم با ادراک است، می باشد، لذا در مثل کما گفته می</w:t>
      </w:r>
      <w:r w:rsidR="00FF461D">
        <w:rPr>
          <w:rtl/>
        </w:rPr>
        <w:t xml:space="preserve"> شود هوشیاری شخص پایین آمده است</w:t>
      </w:r>
      <w:r w:rsidR="00FF461D">
        <w:rPr>
          <w:rFonts w:hint="cs"/>
          <w:rtl/>
        </w:rPr>
        <w:t>.</w:t>
      </w:r>
    </w:p>
    <w:p w:rsidR="0091730D" w:rsidRDefault="00785805" w:rsidP="0091730D">
      <w:pPr>
        <w:rPr>
          <w:rFonts w:ascii="Traditional Arabic" w:cs="Traditional Arabic"/>
          <w:color w:val="66005C"/>
          <w:sz w:val="35"/>
          <w:szCs w:val="35"/>
          <w:rtl/>
        </w:rPr>
      </w:pPr>
      <w:r w:rsidRPr="00785805">
        <w:rPr>
          <w:rtl/>
        </w:rPr>
        <w:t xml:space="preserve">در گذشته </w:t>
      </w:r>
      <w:r w:rsidR="00FF461D">
        <w:rPr>
          <w:rFonts w:hint="cs"/>
          <w:rtl/>
        </w:rPr>
        <w:t xml:space="preserve">های دو </w:t>
      </w:r>
      <w:r w:rsidRPr="00785805">
        <w:rPr>
          <w:rtl/>
        </w:rPr>
        <w:t>از علائمی مثل سرد شدن بدن</w:t>
      </w:r>
      <w:r w:rsidR="00FF461D">
        <w:rPr>
          <w:rFonts w:hint="cs"/>
          <w:rtl/>
        </w:rPr>
        <w:t>،</w:t>
      </w:r>
      <w:r w:rsidRPr="00785805">
        <w:rPr>
          <w:rtl/>
        </w:rPr>
        <w:t xml:space="preserve"> حکم به مرگ می کردند در حالی که در روایات از این امر تخطئه شد</w:t>
      </w:r>
      <w:r w:rsidR="00FF461D">
        <w:rPr>
          <w:rtl/>
        </w:rPr>
        <w:t>ه است،</w:t>
      </w:r>
      <w:r w:rsidR="00FF461D">
        <w:rPr>
          <w:rFonts w:hint="cs"/>
          <w:rtl/>
        </w:rPr>
        <w:t xml:space="preserve"> کما این که در روایت علی بن ابی حمزه این گونه آمده است: «</w:t>
      </w:r>
      <w:r w:rsidRPr="00FF461D">
        <w:rPr>
          <w:rStyle w:val="IntenseEmphasis"/>
          <w:rFonts w:hint="cs"/>
          <w:rtl/>
        </w:rPr>
        <w:t>أَحْمَدُ بْنُ مِهْرَانَ عَنْ مُحَمَّدِ بْنِ عَلِيٍّ عَنْ عَلِيِّ بْنِ أَبِي حَمْزَةَ قَالَ:</w:t>
      </w:r>
      <w:r w:rsidRPr="00FF461D">
        <w:rPr>
          <w:rStyle w:val="IntenseEmphasis"/>
          <w:rtl/>
        </w:rPr>
        <w:t xml:space="preserve"> أَصَابَ النَّاسَ بِمَكَّةَ سَنَةً مِنَ السِّنِينَ صَوَاعِقُ كَثِيرَةٌ مَاتَ مِنْ ذَلِكَ خَلْقٌ كَثِيرٌ فَدَخَلْتُ عَلَى أَبِي إِبْرَاهِيمَ ع فَقَالَ مُبْتَدِئاً مِنْ غَيْرِ </w:t>
      </w:r>
      <w:r w:rsidRPr="00FF461D">
        <w:rPr>
          <w:rStyle w:val="IntenseEmphasis"/>
          <w:rtl/>
        </w:rPr>
        <w:lastRenderedPageBreak/>
        <w:t>أَنْ أَسْأَلَهُ يَنْبَغِي لِلْغَرِيقِ وَ الْمَصْعُوقِ أَنْ يُتَرَبَّصَ بِهِ ثَلَاثاً لَا يُدْفَنُ إِلَّا أَنْ تَجِي‌ءَ مِنْهُ رِيحٌ تَدُلُّ عَلَى مَوْتِهِ قُلْتُ جُعِلْتُ فِدَاكَ كَأَنَّكَ تُخْبِرُنِي أَنَّهُ قَدْ دُفِنَ نَاسٌ كَثِيرٌ أَحْيَاءً فَقَالَ نَعَمْ يَا عَلِيُّ قَدْ دُفِنَ نَاسٌ كَثِيرٌ أَحْيَاءً مَا مَاتُوا إِلَّا فِي قُبُورِهِمْ.</w:t>
      </w:r>
      <w:r w:rsidR="00FF461D">
        <w:rPr>
          <w:rStyle w:val="IntenseEmphasis"/>
          <w:rFonts w:hint="cs"/>
          <w:rtl/>
        </w:rPr>
        <w:t>»</w:t>
      </w:r>
      <w:r w:rsidR="00FF461D" w:rsidRPr="00FF461D">
        <w:rPr>
          <w:rStyle w:val="FootnoteReference"/>
          <w:rFonts w:ascii="Noor_Titr" w:hAnsi="Noor_Titr"/>
          <w:color w:val="286564"/>
          <w:sz w:val="20"/>
          <w:szCs w:val="20"/>
          <w:rtl/>
        </w:rPr>
        <w:footnoteReference w:id="1"/>
      </w:r>
    </w:p>
    <w:p w:rsidR="00785805" w:rsidRPr="00785805" w:rsidRDefault="0091730D" w:rsidP="0091730D">
      <w:pPr>
        <w:rPr>
          <w:rFonts w:ascii="Traditional Arabic" w:cs="Traditional Arabic"/>
          <w:color w:val="66005C"/>
          <w:sz w:val="35"/>
          <w:szCs w:val="35"/>
          <w:rtl/>
        </w:rPr>
      </w:pPr>
      <w:r w:rsidRPr="0091730D">
        <w:rPr>
          <w:rFonts w:hint="cs"/>
          <w:rtl/>
        </w:rPr>
        <w:t>به غیر از سرد شدن بدن،</w:t>
      </w:r>
      <w:r>
        <w:rPr>
          <w:rFonts w:ascii="Traditional Arabic" w:cs="Traditional Arabic" w:hint="cs"/>
          <w:color w:val="66005C"/>
          <w:sz w:val="35"/>
          <w:szCs w:val="35"/>
          <w:rtl/>
        </w:rPr>
        <w:t xml:space="preserve"> </w:t>
      </w:r>
      <w:r w:rsidR="00785805" w:rsidRPr="00785805">
        <w:rPr>
          <w:rtl/>
        </w:rPr>
        <w:t xml:space="preserve">قطع نفس کشیدن </w:t>
      </w:r>
      <w:r>
        <w:rPr>
          <w:rFonts w:hint="cs"/>
          <w:rtl/>
        </w:rPr>
        <w:t>نیز نمی تواند دلیل و اماره بر تحقق مرگ باشد.</w:t>
      </w:r>
    </w:p>
    <w:p w:rsidR="0091730D" w:rsidRDefault="00785805" w:rsidP="0091730D">
      <w:pPr>
        <w:rPr>
          <w:rtl/>
        </w:rPr>
      </w:pPr>
      <w:r w:rsidRPr="00785805">
        <w:rPr>
          <w:rtl/>
        </w:rPr>
        <w:t xml:space="preserve">به نظر می رسد که با تعبیر </w:t>
      </w:r>
      <w:r w:rsidR="0091730D">
        <w:rPr>
          <w:rFonts w:hint="cs"/>
          <w:rtl/>
        </w:rPr>
        <w:t xml:space="preserve">مرحوم </w:t>
      </w:r>
      <w:r w:rsidRPr="00785805">
        <w:rPr>
          <w:rtl/>
        </w:rPr>
        <w:t>صاحب جواهر</w:t>
      </w:r>
      <w:r w:rsidR="0091730D">
        <w:rPr>
          <w:rFonts w:hint="cs"/>
          <w:rtl/>
        </w:rPr>
        <w:t>،</w:t>
      </w:r>
      <w:r w:rsidRPr="00785805">
        <w:rPr>
          <w:rtl/>
        </w:rPr>
        <w:t xml:space="preserve"> ابهامی در ملاک حیات مستقره باقی نمی ماند و می توان</w:t>
      </w:r>
      <w:r w:rsidR="0091730D">
        <w:rPr>
          <w:rFonts w:hint="cs"/>
          <w:rtl/>
        </w:rPr>
        <w:t xml:space="preserve"> بر اساس این ملاک،</w:t>
      </w:r>
      <w:r w:rsidRPr="00785805">
        <w:rPr>
          <w:rtl/>
        </w:rPr>
        <w:t xml:space="preserve"> </w:t>
      </w:r>
      <w:r w:rsidR="0091730D">
        <w:rPr>
          <w:rFonts w:hint="cs"/>
          <w:rtl/>
        </w:rPr>
        <w:t>صدق مرگ نسبت به مرگ مغزی را هم به ایشان نسبت داد،</w:t>
      </w:r>
      <w:r w:rsidRPr="00785805">
        <w:rPr>
          <w:rtl/>
        </w:rPr>
        <w:t xml:space="preserve"> ولو این که </w:t>
      </w:r>
      <w:r w:rsidR="0091730D">
        <w:rPr>
          <w:rFonts w:hint="cs"/>
          <w:rtl/>
        </w:rPr>
        <w:t xml:space="preserve">ادعا شود </w:t>
      </w:r>
      <w:r w:rsidRPr="00785805">
        <w:rPr>
          <w:rtl/>
        </w:rPr>
        <w:t>که در گذشته</w:t>
      </w:r>
      <w:r w:rsidR="0091730D">
        <w:rPr>
          <w:rFonts w:hint="cs"/>
          <w:rtl/>
        </w:rPr>
        <w:t>،</w:t>
      </w:r>
      <w:r w:rsidRPr="00785805">
        <w:rPr>
          <w:rtl/>
        </w:rPr>
        <w:t xml:space="preserve"> تشخیص</w:t>
      </w:r>
      <w:r w:rsidR="0091730D">
        <w:rPr>
          <w:rtl/>
        </w:rPr>
        <w:t xml:space="preserve"> عدم هوشیاری غیر ممکن بوده باشد</w:t>
      </w:r>
      <w:r w:rsidR="0091730D">
        <w:rPr>
          <w:rFonts w:hint="cs"/>
          <w:rtl/>
        </w:rPr>
        <w:t xml:space="preserve">، ولی نباید غافل شد که علم طب </w:t>
      </w:r>
      <w:r w:rsidRPr="00785805">
        <w:rPr>
          <w:rtl/>
        </w:rPr>
        <w:t xml:space="preserve">در گذشته </w:t>
      </w:r>
      <w:r w:rsidR="0091730D">
        <w:rPr>
          <w:rFonts w:hint="cs"/>
          <w:rtl/>
        </w:rPr>
        <w:t xml:space="preserve">نیز در حد خود، </w:t>
      </w:r>
      <w:r w:rsidRPr="00785805">
        <w:rPr>
          <w:rtl/>
        </w:rPr>
        <w:t>از پیشرفت خوبی برخوردار بوده است و حتی در روایتی از امام صادق علیه الس</w:t>
      </w:r>
      <w:r w:rsidR="0091730D">
        <w:rPr>
          <w:rtl/>
        </w:rPr>
        <w:t xml:space="preserve">لام از عمل </w:t>
      </w:r>
      <w:r w:rsidR="0091730D">
        <w:rPr>
          <w:rFonts w:hint="cs"/>
          <w:rtl/>
        </w:rPr>
        <w:t xml:space="preserve">جراحی </w:t>
      </w:r>
      <w:r w:rsidR="0091730D">
        <w:rPr>
          <w:rtl/>
        </w:rPr>
        <w:t>چشم خبر داده شده است</w:t>
      </w:r>
      <w:r w:rsidR="0091730D">
        <w:rPr>
          <w:rFonts w:hint="cs"/>
          <w:rtl/>
        </w:rPr>
        <w:t>؛ «</w:t>
      </w:r>
      <w:r w:rsidRPr="0091730D">
        <w:rPr>
          <w:rStyle w:val="IntenseEmphasis"/>
          <w:rFonts w:hint="cs"/>
          <w:rtl/>
        </w:rPr>
        <w:t>عَنْهُ عَنِ الْحَسَنِ عَنْ زُرْعَةَ عَنْ سَمَاعَةَ قَالَ:</w:t>
      </w:r>
      <w:r w:rsidRPr="0091730D">
        <w:rPr>
          <w:rStyle w:val="IntenseEmphasis"/>
          <w:rtl/>
        </w:rPr>
        <w:t xml:space="preserve"> سَأَلْتُهُ عَنِ الرَّجُلِ يَكُونَ فِي عَيْنَيْهِ الْمَاءُ فَيَنْزِعُ الْمَاءَ مِنْهَا فَيَسْتَلْقِي عَلَى ظَهْرِهِ الْأَيَّامَ الْكَثِيرَةَ أَرْبَعِينَ يَوْماً أَقَلَّ أَوْ أَكْثَرَ فَيَمْتَنِعُ مِنَ الصَّلَاةِ الْأَيَّامَ وَ هُوَ عَلَى حَالٍ فَقَالَ لَا بَأْسَ بِذَلِكَ وَ لَيْسَ شَيْ‌ءٌ مِمَّا حَرَّمَ اللَّهُ إِلَّا وَ قَدْ أَحَلَّهُ لِمَنِ اضْطُرَّ إِلَيْهِ.</w:t>
      </w:r>
      <w:r w:rsidR="0091730D">
        <w:rPr>
          <w:rFonts w:ascii="Noor_Titr" w:hAnsi="Noor_Titr" w:cs="Noor_Titr" w:hint="cs"/>
          <w:color w:val="286564"/>
          <w:sz w:val="27"/>
          <w:szCs w:val="27"/>
          <w:rtl/>
        </w:rPr>
        <w:t>»</w:t>
      </w:r>
      <w:r w:rsidR="0091730D">
        <w:rPr>
          <w:rStyle w:val="FootnoteReference"/>
          <w:rtl/>
        </w:rPr>
        <w:footnoteReference w:id="2"/>
      </w:r>
    </w:p>
    <w:p w:rsidR="00785805" w:rsidRPr="00785805" w:rsidRDefault="00785805" w:rsidP="00E90538">
      <w:pPr>
        <w:rPr>
          <w:rFonts w:ascii="IRNazanin" w:hAnsi="IRNazanin" w:cs="IRNazanin"/>
          <w:sz w:val="36"/>
          <w:szCs w:val="36"/>
          <w:rtl/>
        </w:rPr>
      </w:pPr>
      <w:r w:rsidRPr="0091730D">
        <w:rPr>
          <w:rtl/>
        </w:rPr>
        <w:t xml:space="preserve">مرحوم شیخ طوسی </w:t>
      </w:r>
      <w:r w:rsidR="0091730D">
        <w:rPr>
          <w:rFonts w:hint="cs"/>
          <w:rtl/>
        </w:rPr>
        <w:t xml:space="preserve">ره </w:t>
      </w:r>
      <w:r w:rsidRPr="0091730D">
        <w:rPr>
          <w:rtl/>
        </w:rPr>
        <w:t xml:space="preserve">هم در مواضعی به </w:t>
      </w:r>
      <w:r w:rsidR="0091730D">
        <w:rPr>
          <w:rtl/>
        </w:rPr>
        <w:t>همین ملاک صاحب جواهر اشاره دارد</w:t>
      </w:r>
      <w:r w:rsidRPr="0091730D">
        <w:rPr>
          <w:rtl/>
        </w:rPr>
        <w:t>؛</w:t>
      </w:r>
      <w:r w:rsidR="0091730D">
        <w:rPr>
          <w:rFonts w:hint="cs"/>
          <w:rtl/>
        </w:rPr>
        <w:t xml:space="preserve"> تا جایی که د</w:t>
      </w:r>
      <w:r w:rsidR="00E90538">
        <w:rPr>
          <w:rFonts w:hint="cs"/>
          <w:rtl/>
        </w:rPr>
        <w:t>ر موردی شخصی را که مرض مشرف به موت دارد، قائل به وجود حیات مستقره شده است؛ «</w:t>
      </w:r>
      <w:r w:rsidRPr="00E90538">
        <w:rPr>
          <w:rStyle w:val="IntenseEmphasis"/>
          <w:rtl/>
        </w:rPr>
        <w:t>و لأن فيه حيوة مستقرة عقيب جرح الأول بدليل أن حركته يزيد على حركة المذبوح، فإذا قتله الثاني فقد قتل من فيه حيوة مستقرة فكان هو القاتل كما لو قتل عليلا قد أشرف على الموت و فيه حيوة مستقرة و لأنه أحكام الحيوة ثابتة فيه إجماعا من الوصية و غيرها.</w:t>
      </w:r>
      <w:r w:rsidR="00E90538" w:rsidRPr="00E90538">
        <w:rPr>
          <w:rFonts w:hint="cs"/>
          <w:rtl/>
        </w:rPr>
        <w:t>»</w:t>
      </w:r>
      <w:r w:rsidR="00E90538">
        <w:rPr>
          <w:rStyle w:val="FootnoteReference"/>
          <w:rFonts w:ascii="IRNazanin" w:hAnsi="IRNazanin" w:cs="IRNazanin"/>
          <w:sz w:val="36"/>
          <w:szCs w:val="36"/>
          <w:rtl/>
        </w:rPr>
        <w:footnoteReference w:id="3"/>
      </w:r>
    </w:p>
    <w:p w:rsidR="00E90538" w:rsidRDefault="00E90538" w:rsidP="00E90538">
      <w:pPr>
        <w:rPr>
          <w:rtl/>
        </w:rPr>
      </w:pPr>
      <w:r>
        <w:rPr>
          <w:rFonts w:hint="cs"/>
          <w:rtl/>
        </w:rPr>
        <w:t>لذا مرحوم صاحب جواهر کلام مرحوم فاضل هندی ره را که در آن این ملاک دیده نمی شود، نقل نموده است و به ایشان نسبت عدم فهم کلام اصحاب را داده است.</w:t>
      </w:r>
      <w:r>
        <w:rPr>
          <w:rStyle w:val="FootnoteReference"/>
          <w:rFonts w:ascii="IRNazanin" w:eastAsia="Times New Roman" w:hAnsi="IRNazanin" w:cs="IRNazanin"/>
          <w:color w:val="000000"/>
          <w:sz w:val="36"/>
          <w:szCs w:val="36"/>
          <w:rtl/>
        </w:rPr>
        <w:footnoteReference w:id="4"/>
      </w:r>
    </w:p>
    <w:p w:rsidR="00785805" w:rsidRPr="00785805" w:rsidRDefault="00E90538" w:rsidP="00E90538">
      <w:pPr>
        <w:rPr>
          <w:rFonts w:ascii="Noor_Lotus" w:hAnsi="Noor_Lotus" w:cs="Noor_Lotus"/>
          <w:sz w:val="2"/>
          <w:szCs w:val="2"/>
          <w:rtl/>
        </w:rPr>
      </w:pPr>
      <w:r w:rsidRPr="00E90538">
        <w:rPr>
          <w:rFonts w:hint="cs"/>
          <w:rtl/>
        </w:rPr>
        <w:t>عبارت مرحوم فاضل هندی ره این گونه است:</w:t>
      </w:r>
      <w:r>
        <w:rPr>
          <w:rFonts w:ascii="Noor_Lotus" w:hAnsi="Noor_Lotus" w:cs="Noor_Lotus" w:hint="cs"/>
          <w:color w:val="00663A"/>
          <w:sz w:val="30"/>
          <w:szCs w:val="30"/>
          <w:rtl/>
        </w:rPr>
        <w:t xml:space="preserve"> </w:t>
      </w:r>
      <w:r w:rsidRPr="00E90538">
        <w:rPr>
          <w:rStyle w:val="a3"/>
          <w:rFonts w:hint="cs"/>
          <w:rtl/>
        </w:rPr>
        <w:t xml:space="preserve">«و لو قتل مريضاً مشرفاً على الموت وجب القود و إن لم يكن بقيت له حياة مستقرّة لصدق القتل، و الفرق بينه و بين من جنى عليه جناية لم يبق له حياة مستقرّة وقوع جنايتين مضمونتين عليه، و إنّما </w:t>
      </w:r>
      <w:r w:rsidRPr="00E90538">
        <w:rPr>
          <w:rStyle w:val="a3"/>
          <w:rFonts w:hint="cs"/>
          <w:rtl/>
        </w:rPr>
        <w:lastRenderedPageBreak/>
        <w:t>يوجب القصاص على أدخلهما في تلف النفس لأنّ المريض ربما انتهى إلى مثل تلك الحالة ثمّ برئ للاشتراك، نعم يصلح ضميمة إلى ما قلنا.»</w:t>
      </w:r>
      <w:r>
        <w:rPr>
          <w:rStyle w:val="FootnoteReference"/>
          <w:rtl/>
        </w:rPr>
        <w:footnoteReference w:id="5"/>
      </w:r>
      <w:r w:rsidRPr="00E90538">
        <w:rPr>
          <w:rFonts w:hint="cs"/>
          <w:rtl/>
        </w:rPr>
        <w:t xml:space="preserve"> </w:t>
      </w:r>
    </w:p>
    <w:p w:rsidR="00785805" w:rsidRPr="00785805" w:rsidRDefault="0056313D" w:rsidP="0056313D">
      <w:pPr>
        <w:rPr>
          <w:rtl/>
        </w:rPr>
      </w:pPr>
      <w:r>
        <w:rPr>
          <w:rFonts w:hint="cs"/>
          <w:rtl/>
        </w:rPr>
        <w:t>در اصطلاح قوم و مشهور، بیمار مشرف به موت، دارای حیات مستقره است، در حالی که بر اساس کلام مرحوم فاضل هندی قدس سره، با وجود این که این شخص حیات مستقره (حیات طویله) ندارد؛ ولی جنایت و تعدی بر او مستحق قصاص است.</w:t>
      </w:r>
    </w:p>
    <w:p w:rsidR="00785805" w:rsidRDefault="0056313D" w:rsidP="0056313D">
      <w:pPr>
        <w:rPr>
          <w:rtl/>
        </w:rPr>
      </w:pPr>
      <w:r>
        <w:rPr>
          <w:rFonts w:hint="cs"/>
          <w:rtl/>
        </w:rPr>
        <w:t>مرحوم صاحب جواهر ره ضمن اشکال به ایشان معتقد است که</w:t>
      </w:r>
      <w:r w:rsidR="00785805" w:rsidRPr="00785805">
        <w:rPr>
          <w:rtl/>
        </w:rPr>
        <w:t xml:space="preserve"> اگر مراد از مریض مشرف</w:t>
      </w:r>
      <w:r>
        <w:rPr>
          <w:rtl/>
        </w:rPr>
        <w:t xml:space="preserve"> علی الموت کسی است که شعور</w:t>
      </w:r>
      <w:r w:rsidR="00785805" w:rsidRPr="00785805">
        <w:rPr>
          <w:rtl/>
        </w:rPr>
        <w:t xml:space="preserve"> و حرکات اختیاری </w:t>
      </w:r>
      <w:r>
        <w:rPr>
          <w:rFonts w:hint="cs"/>
          <w:rtl/>
        </w:rPr>
        <w:t xml:space="preserve">و ارادی </w:t>
      </w:r>
      <w:r>
        <w:rPr>
          <w:rtl/>
        </w:rPr>
        <w:t>ندارد</w:t>
      </w:r>
      <w:r>
        <w:rPr>
          <w:rFonts w:hint="cs"/>
          <w:rtl/>
        </w:rPr>
        <w:t>، در این صورت، حیات مستقره منتفی است و تعدی بر این شخص هم موجب قصاص نیست.</w:t>
      </w:r>
      <w:r w:rsidR="00785805" w:rsidRPr="00785805">
        <w:rPr>
          <w:rtl/>
        </w:rPr>
        <w:t xml:space="preserve"> </w:t>
      </w:r>
    </w:p>
    <w:p w:rsidR="003F0B90" w:rsidRPr="00785805" w:rsidRDefault="003F0B90" w:rsidP="003F0B90">
      <w:pPr>
        <w:pStyle w:val="Heading7"/>
        <w:rPr>
          <w:rtl/>
        </w:rPr>
      </w:pPr>
      <w:bookmarkStart w:id="5" w:name="_Toc505610686"/>
      <w:r>
        <w:rPr>
          <w:rFonts w:hint="cs"/>
          <w:rtl/>
        </w:rPr>
        <w:t>حیات مستقره در باب صید و ذباحه (مرحوم محقق ره)</w:t>
      </w:r>
      <w:bookmarkEnd w:id="5"/>
    </w:p>
    <w:p w:rsidR="0056313D" w:rsidRPr="003F0B90" w:rsidRDefault="003F0B90" w:rsidP="003F0B90">
      <w:pPr>
        <w:pStyle w:val="NormalWeb"/>
        <w:bidi/>
        <w:rPr>
          <w:rFonts w:cs="B Badr"/>
          <w:b/>
          <w:bCs/>
          <w:color w:val="000080"/>
          <w:sz w:val="20"/>
          <w:szCs w:val="28"/>
          <w:rtl/>
        </w:rPr>
      </w:pPr>
      <w:r w:rsidRPr="003F0B90">
        <w:rPr>
          <w:rStyle w:val="a3"/>
          <w:rFonts w:hint="cs"/>
          <w:rtl/>
        </w:rPr>
        <w:t>إذا قطعت رقبة الذبيحة و بقيت أعضاء الذباحة</w:t>
      </w:r>
      <w:r w:rsidRPr="003F0B90">
        <w:rPr>
          <w:rStyle w:val="a3"/>
          <w:rFonts w:hint="cs"/>
        </w:rPr>
        <w:t>‌</w:t>
      </w:r>
      <w:r w:rsidRPr="003F0B90">
        <w:rPr>
          <w:rStyle w:val="a3"/>
          <w:rFonts w:hint="cs"/>
          <w:rtl/>
        </w:rPr>
        <w:t xml:space="preserve"> فإن كانت حياتها مستقرة ذبحت و حلت بالذبح و إلا كانت ميتة و معنى المستقرة التي يمكن أن يعيش مثلها اليوم و الأيام و كذا لو عقرها السبع و لو كانت الحياة غير مستقرة و هي التي يقضى بموتها عاجلا لم تحل بالذباحة لأن حركتها كحركة المذبوحة.</w:t>
      </w:r>
    </w:p>
    <w:p w:rsidR="00785805" w:rsidRPr="003F0B90" w:rsidRDefault="0056313D" w:rsidP="003F0B90">
      <w:pPr>
        <w:rPr>
          <w:rtl/>
        </w:rPr>
      </w:pPr>
      <w:r>
        <w:rPr>
          <w:rFonts w:hint="cs"/>
          <w:rtl/>
        </w:rPr>
        <w:t xml:space="preserve">مرحوم </w:t>
      </w:r>
      <w:r w:rsidR="00785805" w:rsidRPr="00785805">
        <w:rPr>
          <w:rtl/>
        </w:rPr>
        <w:t xml:space="preserve">محقق </w:t>
      </w:r>
      <w:r>
        <w:rPr>
          <w:rFonts w:hint="cs"/>
          <w:rtl/>
        </w:rPr>
        <w:t xml:space="preserve">ره </w:t>
      </w:r>
      <w:r w:rsidR="003F0B90">
        <w:rPr>
          <w:rFonts w:hint="cs"/>
          <w:rtl/>
        </w:rPr>
        <w:t xml:space="preserve">بر خلاف باب قصاص، </w:t>
      </w:r>
      <w:r w:rsidR="00785805" w:rsidRPr="00785805">
        <w:rPr>
          <w:rtl/>
        </w:rPr>
        <w:t xml:space="preserve">در </w:t>
      </w:r>
      <w:r>
        <w:rPr>
          <w:rFonts w:hint="cs"/>
          <w:rtl/>
        </w:rPr>
        <w:t xml:space="preserve">کتاب </w:t>
      </w:r>
      <w:r w:rsidR="00785805" w:rsidRPr="00785805">
        <w:rPr>
          <w:rtl/>
        </w:rPr>
        <w:t xml:space="preserve">صید و ذباحه مراد از حیات مستقره را </w:t>
      </w:r>
      <w:r>
        <w:rPr>
          <w:rFonts w:hint="cs"/>
          <w:rtl/>
        </w:rPr>
        <w:t xml:space="preserve">حیوانی دانسته است که </w:t>
      </w:r>
      <w:r w:rsidR="003F0B90">
        <w:rPr>
          <w:rtl/>
        </w:rPr>
        <w:t>نصف روز یا یک روز زنده می ماند</w:t>
      </w:r>
      <w:r w:rsidR="003F0B90">
        <w:rPr>
          <w:rFonts w:hint="cs"/>
          <w:rtl/>
        </w:rPr>
        <w:t xml:space="preserve">، و در واقع </w:t>
      </w:r>
      <w:r w:rsidR="00785805" w:rsidRPr="003F0B90">
        <w:rPr>
          <w:rtl/>
        </w:rPr>
        <w:t xml:space="preserve">مراد ایشان از حیات مستقره در این باب، </w:t>
      </w:r>
      <w:r w:rsidR="003F0B90">
        <w:rPr>
          <w:rFonts w:hint="cs"/>
          <w:rtl/>
        </w:rPr>
        <w:t xml:space="preserve">حیات مستقره معتبر </w:t>
      </w:r>
      <w:r w:rsidR="00785805" w:rsidRPr="003F0B90">
        <w:rPr>
          <w:rtl/>
        </w:rPr>
        <w:t>نسبت به تذکیه است</w:t>
      </w:r>
      <w:r w:rsidR="003F0B90">
        <w:rPr>
          <w:rFonts w:hint="cs"/>
          <w:rtl/>
        </w:rPr>
        <w:t xml:space="preserve">، لذا منافاتی با آن چه در سایر مواضع از حیات مستقره اراده نموده است نخواهد داشت، این در حالی است که </w:t>
      </w:r>
      <w:r w:rsidR="00785805" w:rsidRPr="003F0B90">
        <w:rPr>
          <w:rtl/>
        </w:rPr>
        <w:t xml:space="preserve">به همین کلام </w:t>
      </w:r>
      <w:r w:rsidR="003F0B90">
        <w:rPr>
          <w:rFonts w:hint="cs"/>
          <w:rtl/>
        </w:rPr>
        <w:t xml:space="preserve">ایشان در اراده حیات مستقره در باب صید و ذباجه هم </w:t>
      </w:r>
      <w:r w:rsidR="00785805" w:rsidRPr="003F0B90">
        <w:rPr>
          <w:rtl/>
        </w:rPr>
        <w:t xml:space="preserve">اشکال شده است؛ چرا که روایاتی داریم که </w:t>
      </w:r>
      <w:r w:rsidR="003F0B90">
        <w:rPr>
          <w:rtl/>
        </w:rPr>
        <w:t>ذبح حیوانی که علم به مرگش داریم</w:t>
      </w:r>
      <w:r w:rsidR="003F0B90">
        <w:rPr>
          <w:rFonts w:hint="cs"/>
          <w:rtl/>
        </w:rPr>
        <w:t xml:space="preserve"> و لحظاتی بیشتر به پایان حیاتش نمانده است را هم صحیح می داند. </w:t>
      </w:r>
    </w:p>
    <w:p w:rsidR="00785805" w:rsidRPr="00785805" w:rsidRDefault="003F0B90" w:rsidP="0051195B">
      <w:pPr>
        <w:pStyle w:val="Heading6"/>
        <w:rPr>
          <w:rtl/>
        </w:rPr>
      </w:pPr>
      <w:bookmarkStart w:id="6" w:name="_Toc505610687"/>
      <w:r>
        <w:rPr>
          <w:rFonts w:hint="cs"/>
          <w:rtl/>
        </w:rPr>
        <w:t xml:space="preserve">منشأ عنوان </w:t>
      </w:r>
      <w:r w:rsidR="0051195B">
        <w:rPr>
          <w:rtl/>
        </w:rPr>
        <w:t>حیات مستقره</w:t>
      </w:r>
      <w:r w:rsidR="0051195B">
        <w:rPr>
          <w:rFonts w:hint="cs"/>
          <w:rtl/>
        </w:rPr>
        <w:t>: فقه عامه</w:t>
      </w:r>
      <w:bookmarkEnd w:id="6"/>
    </w:p>
    <w:p w:rsidR="00785805" w:rsidRPr="00785805" w:rsidRDefault="003F0B90" w:rsidP="003F0B90">
      <w:pPr>
        <w:rPr>
          <w:rtl/>
        </w:rPr>
      </w:pPr>
      <w:r>
        <w:rPr>
          <w:rFonts w:hint="cs"/>
          <w:rtl/>
        </w:rPr>
        <w:t>حق این است که اصطلاح حیات مستقره، اصطلاحی اجنبی از فقه اهل بیت علیهم السلام است و در هیچ نصی دیده نمی شود و به نظر می رسد که از جمله مواردی است که ا</w:t>
      </w:r>
      <w:r w:rsidR="00785805" w:rsidRPr="00785805">
        <w:rPr>
          <w:rtl/>
        </w:rPr>
        <w:t xml:space="preserve">ز عامه به کلام </w:t>
      </w:r>
      <w:r>
        <w:rPr>
          <w:rFonts w:hint="cs"/>
          <w:rtl/>
        </w:rPr>
        <w:t xml:space="preserve">فقهای شیعه و به طور مشخص </w:t>
      </w:r>
      <w:r w:rsidR="00785805" w:rsidRPr="00785805">
        <w:rPr>
          <w:rtl/>
        </w:rPr>
        <w:t xml:space="preserve">مرحوم شیخ </w:t>
      </w:r>
      <w:r>
        <w:rPr>
          <w:rFonts w:hint="cs"/>
          <w:rtl/>
        </w:rPr>
        <w:t xml:space="preserve">طوسی قدس سره </w:t>
      </w:r>
      <w:r>
        <w:rPr>
          <w:rtl/>
        </w:rPr>
        <w:t>وارد</w:t>
      </w:r>
      <w:r>
        <w:rPr>
          <w:rFonts w:hint="cs"/>
          <w:rtl/>
        </w:rPr>
        <w:t xml:space="preserve"> </w:t>
      </w:r>
      <w:r w:rsidR="00785805" w:rsidRPr="00785805">
        <w:rPr>
          <w:rtl/>
        </w:rPr>
        <w:t>و از کلمات ای</w:t>
      </w:r>
      <w:r>
        <w:rPr>
          <w:rtl/>
        </w:rPr>
        <w:t xml:space="preserve">شان به سایر اصحاب سرایت کرده </w:t>
      </w:r>
      <w:r>
        <w:rPr>
          <w:rFonts w:hint="cs"/>
          <w:rtl/>
        </w:rPr>
        <w:t>باشد.</w:t>
      </w:r>
      <w:r w:rsidR="00785805" w:rsidRPr="00785805">
        <w:rPr>
          <w:rtl/>
        </w:rPr>
        <w:t xml:space="preserve"> در حالی که در هیچ نصی نیامده است.</w:t>
      </w:r>
    </w:p>
    <w:p w:rsidR="00785805" w:rsidRPr="00785805" w:rsidRDefault="00785805" w:rsidP="0051195B">
      <w:pPr>
        <w:rPr>
          <w:rtl/>
        </w:rPr>
      </w:pPr>
      <w:r w:rsidRPr="00785805">
        <w:rPr>
          <w:rtl/>
        </w:rPr>
        <w:lastRenderedPageBreak/>
        <w:t>فقها</w:t>
      </w:r>
      <w:r w:rsidR="003F0B90">
        <w:rPr>
          <w:rFonts w:hint="cs"/>
          <w:rtl/>
        </w:rPr>
        <w:t xml:space="preserve">ی عظام نیز اقدام به </w:t>
      </w:r>
      <w:r w:rsidRPr="00785805">
        <w:rPr>
          <w:rtl/>
        </w:rPr>
        <w:t xml:space="preserve">بومی سازی </w:t>
      </w:r>
      <w:r w:rsidR="003F0B90">
        <w:rPr>
          <w:rFonts w:hint="cs"/>
          <w:rtl/>
        </w:rPr>
        <w:t xml:space="preserve">این اصطلاح </w:t>
      </w:r>
      <w:r w:rsidRPr="00785805">
        <w:rPr>
          <w:rtl/>
        </w:rPr>
        <w:t xml:space="preserve">و متناسب </w:t>
      </w:r>
      <w:r w:rsidR="003F0B90">
        <w:rPr>
          <w:rFonts w:hint="cs"/>
          <w:rtl/>
        </w:rPr>
        <w:t xml:space="preserve">نمودن آن </w:t>
      </w:r>
      <w:r w:rsidRPr="00785805">
        <w:rPr>
          <w:rtl/>
        </w:rPr>
        <w:t>با قواعد فقه شیعه کرده اند،</w:t>
      </w:r>
      <w:r w:rsidR="003F0B90">
        <w:rPr>
          <w:rFonts w:hint="cs"/>
          <w:rtl/>
        </w:rPr>
        <w:t xml:space="preserve"> و از آن جا که قتل را متقوم به وجود حیات مستقره در مقتول می دانستند، این اصطلاح را وارد نموده اند؛ کما اینکه در مورد استدلال به اجماع هم این گونه اتفاقی رخ داده است و </w:t>
      </w:r>
      <w:r w:rsidR="0051195B">
        <w:rPr>
          <w:rFonts w:hint="cs"/>
          <w:rtl/>
        </w:rPr>
        <w:t xml:space="preserve">بعد از سرایت از عامه تازه مشکلات آن مطرح شده است که مثلا آیا ذهاب اکثر به حکمی برای صدق اجماع کفایت می کند یا اینکه ذهاب کل ملاک است؟ </w:t>
      </w:r>
    </w:p>
    <w:p w:rsidR="00785805" w:rsidRPr="00785805" w:rsidRDefault="00785805" w:rsidP="0051195B">
      <w:pPr>
        <w:rPr>
          <w:rtl/>
        </w:rPr>
      </w:pPr>
      <w:r w:rsidRPr="00785805">
        <w:rPr>
          <w:rtl/>
        </w:rPr>
        <w:t>لذا در مواردی</w:t>
      </w:r>
      <w:r w:rsidR="0051195B">
        <w:rPr>
          <w:rtl/>
        </w:rPr>
        <w:t xml:space="preserve"> مرحوم شیخ </w:t>
      </w:r>
      <w:r w:rsidR="0051195B">
        <w:rPr>
          <w:rFonts w:hint="cs"/>
          <w:rtl/>
        </w:rPr>
        <w:t xml:space="preserve">ره </w:t>
      </w:r>
      <w:r w:rsidR="0051195B">
        <w:rPr>
          <w:rtl/>
        </w:rPr>
        <w:t>یا دیگران بدون جستجو</w:t>
      </w:r>
      <w:r w:rsidRPr="00785805">
        <w:rPr>
          <w:rtl/>
        </w:rPr>
        <w:t xml:space="preserve"> و وجدان موافق،</w:t>
      </w:r>
      <w:r w:rsidR="0051195B">
        <w:rPr>
          <w:rtl/>
        </w:rPr>
        <w:t xml:space="preserve"> ادعای اجماع نموده ا</w:t>
      </w:r>
      <w:r w:rsidR="0051195B">
        <w:rPr>
          <w:rFonts w:hint="cs"/>
          <w:rtl/>
        </w:rPr>
        <w:t>ند</w:t>
      </w:r>
      <w:r w:rsidRPr="00785805">
        <w:rPr>
          <w:rtl/>
        </w:rPr>
        <w:t xml:space="preserve">؛ چرا که حجت و روایت مسلم در مسأله </w:t>
      </w:r>
      <w:r w:rsidR="0051195B">
        <w:rPr>
          <w:rFonts w:hint="cs"/>
          <w:rtl/>
        </w:rPr>
        <w:t xml:space="preserve">داشته اند </w:t>
      </w:r>
      <w:r w:rsidRPr="00785805">
        <w:rPr>
          <w:rtl/>
        </w:rPr>
        <w:t xml:space="preserve">و </w:t>
      </w:r>
      <w:r w:rsidR="0051195B">
        <w:rPr>
          <w:rFonts w:hint="cs"/>
          <w:rtl/>
        </w:rPr>
        <w:t xml:space="preserve">از این رو نسبت به جمیع داده اند و در حقیقت </w:t>
      </w:r>
      <w:r w:rsidRPr="00785805">
        <w:rPr>
          <w:rtl/>
        </w:rPr>
        <w:t>تعبیر اجماعات علی القاعده از همین حیث شکل گرفته است.</w:t>
      </w:r>
    </w:p>
    <w:p w:rsidR="00785805" w:rsidRPr="00785805" w:rsidRDefault="00785805" w:rsidP="00785805">
      <w:pPr>
        <w:spacing w:line="240" w:lineRule="auto"/>
        <w:rPr>
          <w:rFonts w:ascii="IRNazanin" w:eastAsia="Times New Roman" w:hAnsi="IRNazanin" w:cs="IRNazanin"/>
          <w:color w:val="000000"/>
          <w:sz w:val="36"/>
          <w:szCs w:val="36"/>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6CF2" w:rsidRDefault="00356CF2" w:rsidP="008B750B">
      <w:pPr>
        <w:spacing w:line="240" w:lineRule="auto"/>
      </w:pPr>
      <w:r>
        <w:separator/>
      </w:r>
    </w:p>
  </w:endnote>
  <w:endnote w:type="continuationSeparator" w:id="0">
    <w:p w:rsidR="00356CF2" w:rsidRDefault="00356CF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Noor_Titr">
    <w:altName w:val="Times New Roman"/>
    <w:panose1 w:val="02000700000000000000"/>
    <w:charset w:val="00"/>
    <w:family w:val="auto"/>
    <w:pitch w:val="variable"/>
    <w:sig w:usb0="80002007" w:usb1="80002000" w:usb2="00000008" w:usb3="00000000" w:csb0="00000043" w:csb1="00000000"/>
  </w:font>
  <w:font w:name="IRNazanin">
    <w:panose1 w:val="02000506000000020002"/>
    <w:charset w:val="00"/>
    <w:family w:val="auto"/>
    <w:pitch w:val="variable"/>
    <w:sig w:usb0="00002003" w:usb1="00000000" w:usb2="00000000" w:usb3="00000000" w:csb0="00000041" w:csb1="00000000"/>
  </w:font>
  <w:font w:name="Noor_Lotus">
    <w:altName w:val="Segoe UI Semilight"/>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112B8" w:rsidRPr="003112B8">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E7F2C" w:rsidP="001B6799">
          <w:pPr>
            <w:pStyle w:val="Footer"/>
            <w:bidi w:val="0"/>
            <w:rPr>
              <w:color w:val="808080" w:themeColor="background1" w:themeShade="80"/>
              <w:rtl/>
            </w:rPr>
          </w:pPr>
          <w:bookmarkStart w:id="14" w:name="BokAdres"/>
          <w:bookmarkEnd w:id="14"/>
          <w:r>
            <w:rPr>
              <w:color w:val="808080" w:themeColor="background1" w:themeShade="80"/>
            </w:rPr>
            <w:t>F1mq1_13961116-077_ar1_mfeb.ir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6CF2" w:rsidRDefault="00356CF2" w:rsidP="008B750B">
      <w:pPr>
        <w:spacing w:line="240" w:lineRule="auto"/>
      </w:pPr>
      <w:r>
        <w:separator/>
      </w:r>
    </w:p>
  </w:footnote>
  <w:footnote w:type="continuationSeparator" w:id="0">
    <w:p w:rsidR="00356CF2" w:rsidRDefault="00356CF2" w:rsidP="008B750B">
      <w:pPr>
        <w:spacing w:line="240" w:lineRule="auto"/>
      </w:pPr>
      <w:r>
        <w:continuationSeparator/>
      </w:r>
    </w:p>
  </w:footnote>
  <w:footnote w:id="1">
    <w:p w:rsidR="00FF461D" w:rsidRPr="00FF461D" w:rsidRDefault="00FF461D" w:rsidP="00FF461D">
      <w:pPr>
        <w:pStyle w:val="FootnoteText"/>
        <w:rPr>
          <w:rFonts w:hint="cs"/>
          <w:rtl/>
        </w:rPr>
      </w:pPr>
      <w:r w:rsidRPr="00FF461D">
        <w:footnoteRef/>
      </w:r>
      <w:r>
        <w:rPr>
          <w:rFonts w:hint="cs"/>
          <w:rtl/>
        </w:rPr>
        <w:t>.</w:t>
      </w:r>
      <w:r w:rsidRPr="00FF461D">
        <w:rPr>
          <w:rtl/>
        </w:rPr>
        <w:t xml:space="preserve"> </w:t>
      </w:r>
      <w:hyperlink r:id="rId1" w:history="1">
        <w:r w:rsidRPr="00FF461D">
          <w:rPr>
            <w:rStyle w:val="Hyperlink"/>
            <w:rFonts w:hint="cs"/>
            <w:rtl/>
          </w:rPr>
          <w:t>الکافی،</w:t>
        </w:r>
        <w:r w:rsidRPr="00FF461D">
          <w:rPr>
            <w:rStyle w:val="Hyperlink"/>
            <w:rtl/>
          </w:rPr>
          <w:t xml:space="preserve"> </w:t>
        </w:r>
        <w:r w:rsidRPr="00FF461D">
          <w:rPr>
            <w:rStyle w:val="Hyperlink"/>
            <w:rFonts w:hint="cs"/>
            <w:rtl/>
          </w:rPr>
          <w:t>محمد</w:t>
        </w:r>
        <w:r w:rsidRPr="00FF461D">
          <w:rPr>
            <w:rStyle w:val="Hyperlink"/>
            <w:rtl/>
          </w:rPr>
          <w:t xml:space="preserve"> </w:t>
        </w:r>
        <w:r w:rsidRPr="00FF461D">
          <w:rPr>
            <w:rStyle w:val="Hyperlink"/>
            <w:rFonts w:hint="cs"/>
            <w:rtl/>
          </w:rPr>
          <w:t>بن</w:t>
        </w:r>
        <w:r w:rsidRPr="00FF461D">
          <w:rPr>
            <w:rStyle w:val="Hyperlink"/>
            <w:rtl/>
          </w:rPr>
          <w:t xml:space="preserve"> </w:t>
        </w:r>
        <w:r w:rsidRPr="00FF461D">
          <w:rPr>
            <w:rStyle w:val="Hyperlink"/>
            <w:rFonts w:hint="cs"/>
            <w:rtl/>
          </w:rPr>
          <w:t>یعقوب</w:t>
        </w:r>
        <w:r w:rsidRPr="00FF461D">
          <w:rPr>
            <w:rStyle w:val="Hyperlink"/>
            <w:rtl/>
          </w:rPr>
          <w:t xml:space="preserve"> </w:t>
        </w:r>
        <w:r w:rsidRPr="00FF461D">
          <w:rPr>
            <w:rStyle w:val="Hyperlink"/>
            <w:rFonts w:hint="cs"/>
            <w:rtl/>
          </w:rPr>
          <w:t>کلینی،</w:t>
        </w:r>
        <w:r w:rsidRPr="00FF461D">
          <w:rPr>
            <w:rStyle w:val="Hyperlink"/>
            <w:rtl/>
          </w:rPr>
          <w:t xml:space="preserve"> </w:t>
        </w:r>
        <w:r w:rsidRPr="00FF461D">
          <w:rPr>
            <w:rStyle w:val="Hyperlink"/>
            <w:rFonts w:hint="cs"/>
            <w:rtl/>
          </w:rPr>
          <w:t>ج</w:t>
        </w:r>
        <w:r w:rsidRPr="00FF461D">
          <w:rPr>
            <w:rStyle w:val="Hyperlink"/>
            <w:rtl/>
          </w:rPr>
          <w:t>3</w:t>
        </w:r>
        <w:r w:rsidRPr="00FF461D">
          <w:rPr>
            <w:rStyle w:val="Hyperlink"/>
            <w:rFonts w:hint="cs"/>
            <w:rtl/>
          </w:rPr>
          <w:t>،</w:t>
        </w:r>
        <w:r w:rsidRPr="00FF461D">
          <w:rPr>
            <w:rStyle w:val="Hyperlink"/>
            <w:rtl/>
          </w:rPr>
          <w:t xml:space="preserve"> </w:t>
        </w:r>
        <w:r w:rsidRPr="00FF461D">
          <w:rPr>
            <w:rStyle w:val="Hyperlink"/>
            <w:rFonts w:hint="cs"/>
            <w:rtl/>
          </w:rPr>
          <w:t>ص</w:t>
        </w:r>
        <w:r w:rsidRPr="00FF461D">
          <w:rPr>
            <w:rStyle w:val="Hyperlink"/>
            <w:rtl/>
          </w:rPr>
          <w:t>210.</w:t>
        </w:r>
      </w:hyperlink>
    </w:p>
  </w:footnote>
  <w:footnote w:id="2">
    <w:p w:rsidR="0091730D" w:rsidRDefault="0091730D">
      <w:pPr>
        <w:pStyle w:val="FootnoteText"/>
        <w:rPr>
          <w:rFonts w:hint="cs"/>
          <w:rtl/>
        </w:rPr>
      </w:pPr>
      <w:r>
        <w:rPr>
          <w:rStyle w:val="FootnoteReference"/>
        </w:rPr>
        <w:footnoteRef/>
      </w:r>
      <w:r>
        <w:rPr>
          <w:rtl/>
        </w:rPr>
        <w:t xml:space="preserve"> </w:t>
      </w:r>
      <w:r>
        <w:rPr>
          <w:rFonts w:hint="cs"/>
          <w:rtl/>
        </w:rPr>
        <w:t xml:space="preserve">. </w:t>
      </w:r>
      <w:r w:rsidRPr="0091730D">
        <w:rPr>
          <w:rFonts w:hint="cs"/>
          <w:rtl/>
        </w:rPr>
        <w:t>تهذيب</w:t>
      </w:r>
      <w:r w:rsidRPr="0091730D">
        <w:rPr>
          <w:rtl/>
        </w:rPr>
        <w:t xml:space="preserve"> </w:t>
      </w:r>
      <w:r w:rsidRPr="0091730D">
        <w:rPr>
          <w:rFonts w:hint="cs"/>
          <w:rtl/>
        </w:rPr>
        <w:t>الأحكام،</w:t>
      </w:r>
      <w:r w:rsidRPr="0091730D">
        <w:rPr>
          <w:rtl/>
        </w:rPr>
        <w:t xml:space="preserve"> </w:t>
      </w:r>
      <w:r w:rsidRPr="0091730D">
        <w:rPr>
          <w:rFonts w:hint="cs"/>
          <w:rtl/>
        </w:rPr>
        <w:t>ج‌</w:t>
      </w:r>
      <w:r w:rsidRPr="0091730D">
        <w:rPr>
          <w:rtl/>
        </w:rPr>
        <w:t>3</w:t>
      </w:r>
      <w:r w:rsidRPr="0091730D">
        <w:rPr>
          <w:rFonts w:hint="cs"/>
          <w:rtl/>
        </w:rPr>
        <w:t>،</w:t>
      </w:r>
      <w:r w:rsidRPr="0091730D">
        <w:rPr>
          <w:rtl/>
        </w:rPr>
        <w:t xml:space="preserve"> </w:t>
      </w:r>
      <w:r w:rsidRPr="0091730D">
        <w:rPr>
          <w:rFonts w:hint="cs"/>
          <w:rtl/>
        </w:rPr>
        <w:t>ص</w:t>
      </w:r>
      <w:r w:rsidRPr="0091730D">
        <w:rPr>
          <w:rtl/>
        </w:rPr>
        <w:t>: 306</w:t>
      </w:r>
      <w:r>
        <w:rPr>
          <w:rFonts w:hint="cs"/>
          <w:rtl/>
        </w:rPr>
        <w:t>.</w:t>
      </w:r>
    </w:p>
  </w:footnote>
  <w:footnote w:id="3">
    <w:p w:rsidR="00E90538" w:rsidRPr="00E90538" w:rsidRDefault="00E90538" w:rsidP="00E90538">
      <w:pPr>
        <w:pStyle w:val="FootnoteText"/>
        <w:rPr>
          <w:rFonts w:hint="cs"/>
          <w:rtl/>
        </w:rPr>
      </w:pPr>
      <w:r w:rsidRPr="00E90538">
        <w:footnoteRef/>
      </w:r>
      <w:r>
        <w:rPr>
          <w:rFonts w:hint="cs"/>
          <w:rtl/>
        </w:rPr>
        <w:t>.</w:t>
      </w:r>
      <w:r w:rsidRPr="00E90538">
        <w:rPr>
          <w:rtl/>
        </w:rPr>
        <w:t xml:space="preserve"> </w:t>
      </w:r>
      <w:hyperlink r:id="rId2" w:history="1">
        <w:r w:rsidRPr="00E90538">
          <w:rPr>
            <w:rStyle w:val="Hyperlink"/>
            <w:rFonts w:hint="cs"/>
            <w:rtl/>
          </w:rPr>
          <w:t>المبسوط</w:t>
        </w:r>
        <w:r w:rsidRPr="00E90538">
          <w:rPr>
            <w:rStyle w:val="Hyperlink"/>
            <w:rtl/>
          </w:rPr>
          <w:t xml:space="preserve"> </w:t>
        </w:r>
        <w:r w:rsidRPr="00E90538">
          <w:rPr>
            <w:rStyle w:val="Hyperlink"/>
            <w:rFonts w:hint="cs"/>
            <w:rtl/>
          </w:rPr>
          <w:t>فی</w:t>
        </w:r>
        <w:r w:rsidRPr="00E90538">
          <w:rPr>
            <w:rStyle w:val="Hyperlink"/>
            <w:rtl/>
          </w:rPr>
          <w:t xml:space="preserve"> </w:t>
        </w:r>
        <w:r w:rsidRPr="00E90538">
          <w:rPr>
            <w:rStyle w:val="Hyperlink"/>
            <w:rFonts w:hint="cs"/>
            <w:rtl/>
          </w:rPr>
          <w:t>فقه</w:t>
        </w:r>
        <w:r w:rsidRPr="00E90538">
          <w:rPr>
            <w:rStyle w:val="Hyperlink"/>
            <w:rtl/>
          </w:rPr>
          <w:t xml:space="preserve"> </w:t>
        </w:r>
        <w:r w:rsidRPr="00E90538">
          <w:rPr>
            <w:rStyle w:val="Hyperlink"/>
            <w:rFonts w:hint="cs"/>
            <w:rtl/>
          </w:rPr>
          <w:t>الإمامیة،</w:t>
        </w:r>
        <w:r w:rsidRPr="00E90538">
          <w:rPr>
            <w:rStyle w:val="Hyperlink"/>
            <w:rtl/>
          </w:rPr>
          <w:t xml:space="preserve"> </w:t>
        </w:r>
        <w:r w:rsidRPr="00E90538">
          <w:rPr>
            <w:rStyle w:val="Hyperlink"/>
            <w:rFonts w:hint="cs"/>
            <w:rtl/>
          </w:rPr>
          <w:t>شیخ</w:t>
        </w:r>
        <w:r w:rsidRPr="00E90538">
          <w:rPr>
            <w:rStyle w:val="Hyperlink"/>
            <w:rtl/>
          </w:rPr>
          <w:t xml:space="preserve"> </w:t>
        </w:r>
        <w:r w:rsidRPr="00E90538">
          <w:rPr>
            <w:rStyle w:val="Hyperlink"/>
            <w:rFonts w:hint="cs"/>
            <w:rtl/>
          </w:rPr>
          <w:t>طوسی،</w:t>
        </w:r>
        <w:r w:rsidRPr="00E90538">
          <w:rPr>
            <w:rStyle w:val="Hyperlink"/>
            <w:rtl/>
          </w:rPr>
          <w:t xml:space="preserve"> </w:t>
        </w:r>
        <w:r w:rsidRPr="00E90538">
          <w:rPr>
            <w:rStyle w:val="Hyperlink"/>
            <w:rFonts w:hint="cs"/>
            <w:rtl/>
          </w:rPr>
          <w:t>ج</w:t>
        </w:r>
        <w:r w:rsidRPr="00E90538">
          <w:rPr>
            <w:rStyle w:val="Hyperlink"/>
            <w:rtl/>
          </w:rPr>
          <w:t>7</w:t>
        </w:r>
        <w:r w:rsidRPr="00E90538">
          <w:rPr>
            <w:rStyle w:val="Hyperlink"/>
            <w:rFonts w:hint="cs"/>
            <w:rtl/>
          </w:rPr>
          <w:t>،</w:t>
        </w:r>
        <w:r w:rsidRPr="00E90538">
          <w:rPr>
            <w:rStyle w:val="Hyperlink"/>
            <w:rtl/>
          </w:rPr>
          <w:t xml:space="preserve"> </w:t>
        </w:r>
        <w:r w:rsidRPr="00E90538">
          <w:rPr>
            <w:rStyle w:val="Hyperlink"/>
            <w:rFonts w:hint="cs"/>
            <w:rtl/>
          </w:rPr>
          <w:t>ص</w:t>
        </w:r>
        <w:r w:rsidRPr="00E90538">
          <w:rPr>
            <w:rStyle w:val="Hyperlink"/>
            <w:rtl/>
          </w:rPr>
          <w:t>20.</w:t>
        </w:r>
      </w:hyperlink>
    </w:p>
  </w:footnote>
  <w:footnote w:id="4">
    <w:p w:rsidR="00E90538" w:rsidRPr="00E90538" w:rsidRDefault="00E90538" w:rsidP="00E90538">
      <w:pPr>
        <w:pStyle w:val="FootnoteText"/>
        <w:rPr>
          <w:rFonts w:hint="cs"/>
        </w:rPr>
      </w:pPr>
      <w:r w:rsidRPr="00E90538">
        <w:footnoteRef/>
      </w:r>
      <w:r>
        <w:rPr>
          <w:rFonts w:hint="cs"/>
          <w:rtl/>
        </w:rPr>
        <w:t>.</w:t>
      </w:r>
      <w:r w:rsidRPr="00E90538">
        <w:rPr>
          <w:rtl/>
        </w:rPr>
        <w:t xml:space="preserve"> </w:t>
      </w:r>
      <w:hyperlink r:id="rId3" w:history="1">
        <w:r w:rsidRPr="00E90538">
          <w:rPr>
            <w:rStyle w:val="Hyperlink"/>
            <w:rFonts w:hint="cs"/>
            <w:rtl/>
          </w:rPr>
          <w:t>جواهر</w:t>
        </w:r>
        <w:r w:rsidRPr="00E90538">
          <w:rPr>
            <w:rStyle w:val="Hyperlink"/>
            <w:rtl/>
          </w:rPr>
          <w:t xml:space="preserve"> </w:t>
        </w:r>
        <w:r w:rsidRPr="00E90538">
          <w:rPr>
            <w:rStyle w:val="Hyperlink"/>
            <w:rFonts w:hint="cs"/>
            <w:rtl/>
          </w:rPr>
          <w:t>الکلام،</w:t>
        </w:r>
        <w:r w:rsidRPr="00E90538">
          <w:rPr>
            <w:rStyle w:val="Hyperlink"/>
            <w:rtl/>
          </w:rPr>
          <w:t xml:space="preserve"> </w:t>
        </w:r>
        <w:r w:rsidRPr="00E90538">
          <w:rPr>
            <w:rStyle w:val="Hyperlink"/>
            <w:rFonts w:hint="cs"/>
            <w:rtl/>
          </w:rPr>
          <w:t>محمد</w:t>
        </w:r>
        <w:r w:rsidRPr="00E90538">
          <w:rPr>
            <w:rStyle w:val="Hyperlink"/>
            <w:rtl/>
          </w:rPr>
          <w:t xml:space="preserve"> </w:t>
        </w:r>
        <w:r w:rsidRPr="00E90538">
          <w:rPr>
            <w:rStyle w:val="Hyperlink"/>
            <w:rFonts w:hint="cs"/>
            <w:rtl/>
          </w:rPr>
          <w:t>حسن</w:t>
        </w:r>
        <w:r w:rsidRPr="00E90538">
          <w:rPr>
            <w:rStyle w:val="Hyperlink"/>
            <w:rtl/>
          </w:rPr>
          <w:t xml:space="preserve"> </w:t>
        </w:r>
        <w:r w:rsidRPr="00E90538">
          <w:rPr>
            <w:rStyle w:val="Hyperlink"/>
            <w:rFonts w:hint="cs"/>
            <w:rtl/>
          </w:rPr>
          <w:t>نجفی،</w:t>
        </w:r>
        <w:r w:rsidRPr="00E90538">
          <w:rPr>
            <w:rStyle w:val="Hyperlink"/>
            <w:rtl/>
          </w:rPr>
          <w:t xml:space="preserve"> </w:t>
        </w:r>
        <w:r w:rsidRPr="00E90538">
          <w:rPr>
            <w:rStyle w:val="Hyperlink"/>
            <w:rFonts w:hint="cs"/>
            <w:rtl/>
          </w:rPr>
          <w:t>ج</w:t>
        </w:r>
        <w:r w:rsidRPr="00E90538">
          <w:rPr>
            <w:rStyle w:val="Hyperlink"/>
            <w:rtl/>
          </w:rPr>
          <w:t>42</w:t>
        </w:r>
        <w:r w:rsidRPr="00E90538">
          <w:rPr>
            <w:rStyle w:val="Hyperlink"/>
            <w:rFonts w:hint="cs"/>
            <w:rtl/>
          </w:rPr>
          <w:t>،</w:t>
        </w:r>
        <w:r w:rsidRPr="00E90538">
          <w:rPr>
            <w:rStyle w:val="Hyperlink"/>
            <w:rtl/>
          </w:rPr>
          <w:t xml:space="preserve"> </w:t>
        </w:r>
        <w:r w:rsidRPr="00E90538">
          <w:rPr>
            <w:rStyle w:val="Hyperlink"/>
            <w:rFonts w:hint="cs"/>
            <w:rtl/>
          </w:rPr>
          <w:t>ص</w:t>
        </w:r>
        <w:r w:rsidRPr="00E90538">
          <w:rPr>
            <w:rStyle w:val="Hyperlink"/>
            <w:rtl/>
          </w:rPr>
          <w:t>58</w:t>
        </w:r>
        <w:r w:rsidRPr="00E90538">
          <w:rPr>
            <w:rStyle w:val="Hyperlink"/>
          </w:rPr>
          <w:t>.</w:t>
        </w:r>
      </w:hyperlink>
    </w:p>
  </w:footnote>
  <w:footnote w:id="5">
    <w:p w:rsidR="00E90538" w:rsidRDefault="00E90538">
      <w:pPr>
        <w:pStyle w:val="FootnoteText"/>
        <w:rPr>
          <w:rFonts w:hint="cs"/>
          <w:rtl/>
        </w:rPr>
      </w:pPr>
      <w:r>
        <w:rPr>
          <w:rStyle w:val="FootnoteReference"/>
        </w:rPr>
        <w:footnoteRef/>
      </w:r>
      <w:r>
        <w:rPr>
          <w:rtl/>
        </w:rPr>
        <w:t xml:space="preserve"> </w:t>
      </w:r>
      <w:r>
        <w:rPr>
          <w:rFonts w:hint="cs"/>
          <w:rtl/>
        </w:rPr>
        <w:t xml:space="preserve">. </w:t>
      </w:r>
      <w:r w:rsidRPr="00E90538">
        <w:rPr>
          <w:rFonts w:hint="cs"/>
          <w:rtl/>
        </w:rPr>
        <w:t>كشف</w:t>
      </w:r>
      <w:r w:rsidRPr="00E90538">
        <w:rPr>
          <w:rtl/>
        </w:rPr>
        <w:t xml:space="preserve"> </w:t>
      </w:r>
      <w:r w:rsidRPr="00E90538">
        <w:rPr>
          <w:rFonts w:hint="cs"/>
          <w:rtl/>
        </w:rPr>
        <w:t>اللثام</w:t>
      </w:r>
      <w:r w:rsidRPr="00E90538">
        <w:rPr>
          <w:rtl/>
        </w:rPr>
        <w:t xml:space="preserve"> </w:t>
      </w:r>
      <w:r w:rsidRPr="00E90538">
        <w:rPr>
          <w:rFonts w:hint="cs"/>
          <w:rtl/>
        </w:rPr>
        <w:t>و</w:t>
      </w:r>
      <w:r w:rsidRPr="00E90538">
        <w:rPr>
          <w:rtl/>
        </w:rPr>
        <w:t xml:space="preserve"> </w:t>
      </w:r>
      <w:r w:rsidRPr="00E90538">
        <w:rPr>
          <w:rFonts w:hint="cs"/>
          <w:rtl/>
        </w:rPr>
        <w:t>الإبهام</w:t>
      </w:r>
      <w:r w:rsidRPr="00E90538">
        <w:rPr>
          <w:rtl/>
        </w:rPr>
        <w:t xml:space="preserve"> </w:t>
      </w:r>
      <w:r w:rsidRPr="00E90538">
        <w:rPr>
          <w:rFonts w:hint="cs"/>
          <w:rtl/>
        </w:rPr>
        <w:t>عن</w:t>
      </w:r>
      <w:r w:rsidRPr="00E90538">
        <w:rPr>
          <w:rtl/>
        </w:rPr>
        <w:t xml:space="preserve"> </w:t>
      </w:r>
      <w:r w:rsidRPr="00E90538">
        <w:rPr>
          <w:rFonts w:hint="cs"/>
          <w:rtl/>
        </w:rPr>
        <w:t>قواعد</w:t>
      </w:r>
      <w:r w:rsidRPr="00E90538">
        <w:rPr>
          <w:rtl/>
        </w:rPr>
        <w:t xml:space="preserve"> </w:t>
      </w:r>
      <w:r w:rsidRPr="00E90538">
        <w:rPr>
          <w:rFonts w:hint="cs"/>
          <w:rtl/>
        </w:rPr>
        <w:t>الأحكام،</w:t>
      </w:r>
      <w:r w:rsidRPr="00E90538">
        <w:rPr>
          <w:rtl/>
        </w:rPr>
        <w:t xml:space="preserve"> </w:t>
      </w:r>
      <w:r w:rsidRPr="00E90538">
        <w:rPr>
          <w:rFonts w:hint="cs"/>
          <w:rtl/>
        </w:rPr>
        <w:t>ج‌</w:t>
      </w:r>
      <w:r w:rsidRPr="00E90538">
        <w:rPr>
          <w:rtl/>
        </w:rPr>
        <w:t>11</w:t>
      </w:r>
      <w:r w:rsidRPr="00E90538">
        <w:rPr>
          <w:rFonts w:hint="cs"/>
          <w:rtl/>
        </w:rPr>
        <w:t>،</w:t>
      </w:r>
      <w:r w:rsidRPr="00E90538">
        <w:rPr>
          <w:rtl/>
        </w:rPr>
        <w:t xml:space="preserve"> </w:t>
      </w:r>
      <w:r w:rsidRPr="00E90538">
        <w:rPr>
          <w:rFonts w:hint="cs"/>
          <w:rtl/>
        </w:rPr>
        <w:t>ص</w:t>
      </w:r>
      <w:r w:rsidRPr="00E90538">
        <w:rPr>
          <w:rtl/>
        </w:rPr>
        <w:t>: 44</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5E7F2C">
      <w:rPr>
        <w:b/>
        <w:bCs/>
        <w:sz w:val="20"/>
        <w:szCs w:val="24"/>
        <w:rtl/>
      </w:rPr>
      <w:t>077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5E7F2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5E7F2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5E7F2C">
      <w:rPr>
        <w:sz w:val="24"/>
        <w:szCs w:val="24"/>
        <w:rtl/>
      </w:rPr>
      <w:t>16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5E7F2C">
      <w:rPr>
        <w:rFonts w:hint="cs"/>
        <w:sz w:val="24"/>
        <w:szCs w:val="24"/>
        <w:rtl/>
      </w:rPr>
      <w:t>قتل</w:t>
    </w:r>
    <w:r w:rsidR="005E7F2C">
      <w:rPr>
        <w:sz w:val="24"/>
        <w:szCs w:val="24"/>
        <w:rtl/>
      </w:rPr>
      <w:t xml:space="preserve"> </w:t>
    </w:r>
    <w:r w:rsidR="005E7F2C">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5E7F2C">
      <w:rPr>
        <w:rFonts w:hint="cs"/>
        <w:sz w:val="24"/>
        <w:szCs w:val="24"/>
        <w:rtl/>
      </w:rPr>
      <w:t>سید</w:t>
    </w:r>
    <w:r w:rsidR="005E7F2C">
      <w:rPr>
        <w:sz w:val="24"/>
        <w:szCs w:val="24"/>
        <w:rtl/>
      </w:rPr>
      <w:t xml:space="preserve"> </w:t>
    </w:r>
    <w:r w:rsidR="005E7F2C">
      <w:rPr>
        <w:rFonts w:hint="cs"/>
        <w:sz w:val="24"/>
        <w:szCs w:val="24"/>
        <w:rtl/>
      </w:rPr>
      <w:t>علی</w:t>
    </w:r>
    <w:r w:rsidR="005E7F2C">
      <w:rPr>
        <w:sz w:val="24"/>
        <w:szCs w:val="24"/>
        <w:rtl/>
      </w:rPr>
      <w:t xml:space="preserve"> </w:t>
    </w:r>
    <w:r w:rsidR="005E7F2C">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5E7F2C">
      <w:rPr>
        <w:rFonts w:hint="cs"/>
        <w:sz w:val="24"/>
        <w:szCs w:val="24"/>
        <w:rtl/>
      </w:rPr>
      <w:t>قتل</w:t>
    </w:r>
    <w:r w:rsidR="005E7F2C">
      <w:rPr>
        <w:sz w:val="24"/>
        <w:szCs w:val="24"/>
        <w:rtl/>
      </w:rPr>
      <w:t xml:space="preserve"> </w:t>
    </w:r>
    <w:r w:rsidR="005E7F2C">
      <w:rPr>
        <w:rFonts w:hint="cs"/>
        <w:sz w:val="24"/>
        <w:szCs w:val="24"/>
        <w:rtl/>
      </w:rPr>
      <w:t>به</w:t>
    </w:r>
    <w:r w:rsidR="005E7F2C">
      <w:rPr>
        <w:sz w:val="24"/>
        <w:szCs w:val="24"/>
        <w:rtl/>
      </w:rPr>
      <w:t xml:space="preserve"> </w:t>
    </w:r>
    <w:r w:rsidR="005E7F2C">
      <w:rPr>
        <w:rFonts w:hint="cs"/>
        <w:sz w:val="24"/>
        <w:szCs w:val="24"/>
        <w:rtl/>
      </w:rPr>
      <w:t>تسبیب</w:t>
    </w:r>
    <w:r w:rsidR="005E7F2C">
      <w:rPr>
        <w:sz w:val="24"/>
        <w:szCs w:val="24"/>
        <w:rtl/>
      </w:rPr>
      <w:t>/</w:t>
    </w:r>
    <w:r w:rsidR="005E7F2C">
      <w:rPr>
        <w:rFonts w:hint="cs"/>
        <w:sz w:val="24"/>
        <w:szCs w:val="24"/>
        <w:rtl/>
      </w:rPr>
      <w:t>مراتب</w:t>
    </w:r>
    <w:r w:rsidR="005E7F2C">
      <w:rPr>
        <w:sz w:val="24"/>
        <w:szCs w:val="24"/>
        <w:rtl/>
      </w:rPr>
      <w:t xml:space="preserve"> </w:t>
    </w:r>
    <w:r w:rsidR="005E7F2C">
      <w:rPr>
        <w:rFonts w:hint="cs"/>
        <w:sz w:val="24"/>
        <w:szCs w:val="24"/>
        <w:rtl/>
      </w:rPr>
      <w:t>تسبیب</w:t>
    </w:r>
    <w:r w:rsidR="005E7F2C">
      <w:rPr>
        <w:sz w:val="24"/>
        <w:szCs w:val="24"/>
        <w:rtl/>
      </w:rPr>
      <w:t>/</w:t>
    </w:r>
    <w:r w:rsidR="005E7F2C">
      <w:rPr>
        <w:rFonts w:hint="cs"/>
        <w:sz w:val="24"/>
        <w:szCs w:val="24"/>
        <w:rtl/>
      </w:rPr>
      <w:t>مرتبه</w:t>
    </w:r>
    <w:r w:rsidR="005E7F2C">
      <w:rPr>
        <w:sz w:val="24"/>
        <w:szCs w:val="24"/>
        <w:rtl/>
      </w:rPr>
      <w:t xml:space="preserve"> </w:t>
    </w:r>
    <w:r w:rsidR="005E7F2C">
      <w:rPr>
        <w:rFonts w:hint="cs"/>
        <w:sz w:val="24"/>
        <w:szCs w:val="24"/>
        <w:rtl/>
      </w:rPr>
      <w:t>چهارم</w:t>
    </w:r>
    <w:r w:rsidR="005E7F2C">
      <w:rPr>
        <w:sz w:val="24"/>
        <w:szCs w:val="24"/>
        <w:rtl/>
      </w:rPr>
      <w:t>/</w:t>
    </w:r>
    <w:r w:rsidR="005E7F2C">
      <w:rPr>
        <w:rFonts w:hint="cs"/>
        <w:sz w:val="24"/>
        <w:szCs w:val="24"/>
        <w:rtl/>
      </w:rPr>
      <w:t>صورت</w:t>
    </w:r>
    <w:r w:rsidR="005E7F2C">
      <w:rPr>
        <w:sz w:val="24"/>
        <w:szCs w:val="24"/>
        <w:rtl/>
      </w:rPr>
      <w:t xml:space="preserve"> </w:t>
    </w:r>
    <w:r w:rsidR="005E7F2C">
      <w:rPr>
        <w:rFonts w:hint="cs"/>
        <w:sz w:val="24"/>
        <w:szCs w:val="24"/>
        <w:rtl/>
      </w:rPr>
      <w:t>چهارم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112B8"/>
    <w:rsid w:val="0032100F"/>
    <w:rsid w:val="0033402C"/>
    <w:rsid w:val="00340521"/>
    <w:rsid w:val="00345C73"/>
    <w:rsid w:val="00354A99"/>
    <w:rsid w:val="00356CF2"/>
    <w:rsid w:val="00360311"/>
    <w:rsid w:val="00361922"/>
    <w:rsid w:val="0037339B"/>
    <w:rsid w:val="00386C11"/>
    <w:rsid w:val="00397466"/>
    <w:rsid w:val="003A6148"/>
    <w:rsid w:val="003C33F6"/>
    <w:rsid w:val="003C3D2E"/>
    <w:rsid w:val="003C43A5"/>
    <w:rsid w:val="003E1C5C"/>
    <w:rsid w:val="003E6650"/>
    <w:rsid w:val="003F0B9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195B"/>
    <w:rsid w:val="005128DF"/>
    <w:rsid w:val="005206FE"/>
    <w:rsid w:val="005257ED"/>
    <w:rsid w:val="005306F8"/>
    <w:rsid w:val="0054023D"/>
    <w:rsid w:val="005426BF"/>
    <w:rsid w:val="0056213C"/>
    <w:rsid w:val="0056313D"/>
    <w:rsid w:val="00580C24"/>
    <w:rsid w:val="005968EF"/>
    <w:rsid w:val="00596C1E"/>
    <w:rsid w:val="005A2E26"/>
    <w:rsid w:val="005C0DAE"/>
    <w:rsid w:val="005C188E"/>
    <w:rsid w:val="005D2349"/>
    <w:rsid w:val="005E1B60"/>
    <w:rsid w:val="005E5507"/>
    <w:rsid w:val="005E607B"/>
    <w:rsid w:val="005E7F2C"/>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805"/>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730D"/>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0538"/>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461D"/>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Subtitle">
    <w:name w:val="Subtitle"/>
    <w:basedOn w:val="Normal"/>
    <w:next w:val="Normal"/>
    <w:link w:val="SubtitleChar"/>
    <w:uiPriority w:val="11"/>
    <w:qFormat/>
    <w:rsid w:val="003F0B90"/>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3F0B90"/>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97793178">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75964968">
      <w:bodyDiv w:val="1"/>
      <w:marLeft w:val="0"/>
      <w:marRight w:val="0"/>
      <w:marTop w:val="0"/>
      <w:marBottom w:val="0"/>
      <w:divBdr>
        <w:top w:val="none" w:sz="0" w:space="0" w:color="auto"/>
        <w:left w:val="none" w:sz="0" w:space="0" w:color="auto"/>
        <w:bottom w:val="none" w:sz="0" w:space="0" w:color="auto"/>
        <w:right w:val="none" w:sz="0" w:space="0" w:color="auto"/>
      </w:divBdr>
      <w:divsChild>
        <w:div w:id="1927297819">
          <w:marLeft w:val="0"/>
          <w:marRight w:val="0"/>
          <w:marTop w:val="0"/>
          <w:marBottom w:val="0"/>
          <w:divBdr>
            <w:top w:val="none" w:sz="0" w:space="0" w:color="auto"/>
            <w:left w:val="none" w:sz="0" w:space="0" w:color="auto"/>
            <w:bottom w:val="none" w:sz="0" w:space="0" w:color="auto"/>
            <w:right w:val="none" w:sz="0" w:space="0" w:color="auto"/>
          </w:divBdr>
          <w:divsChild>
            <w:div w:id="868033521">
              <w:marLeft w:val="0"/>
              <w:marRight w:val="0"/>
              <w:marTop w:val="0"/>
              <w:marBottom w:val="0"/>
              <w:divBdr>
                <w:top w:val="none" w:sz="0" w:space="0" w:color="auto"/>
                <w:left w:val="none" w:sz="0" w:space="0" w:color="auto"/>
                <w:bottom w:val="none" w:sz="0" w:space="0" w:color="auto"/>
                <w:right w:val="none" w:sz="0" w:space="0" w:color="auto"/>
              </w:divBdr>
              <w:divsChild>
                <w:div w:id="1891332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07586463">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46325540">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58/" TargetMode="External"/><Relationship Id="rId2" Type="http://schemas.openxmlformats.org/officeDocument/2006/relationships/hyperlink" Target="http://lib.eshia.ir/10036/7/20/" TargetMode="External"/><Relationship Id="rId1" Type="http://schemas.openxmlformats.org/officeDocument/2006/relationships/hyperlink" Target="http://lib.eshia.ir/11005/3/21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12CFCE-9844-4837-A819-CC67205F6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349</TotalTime>
  <Pages>4</Pages>
  <Words>921</Words>
  <Characters>5256</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4</cp:revision>
  <dcterms:created xsi:type="dcterms:W3CDTF">2018-02-05T11:36:00Z</dcterms:created>
  <dcterms:modified xsi:type="dcterms:W3CDTF">2018-02-05T12:46:00Z</dcterms:modified>
  <cp:contentStatus>ویرایش 2.5</cp:contentStatus>
  <cp:version>2.3</cp:version>
</cp:coreProperties>
</file>