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D0919" w:rsidRDefault="006D0919" w:rsidP="006D0919">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1984069" w:history="1">
        <w:r w:rsidRPr="009D4504">
          <w:rPr>
            <w:rStyle w:val="Hyperlink"/>
            <w:rFonts w:hint="eastAsia"/>
            <w:noProof/>
            <w:rtl/>
          </w:rPr>
          <w:t>فرع</w:t>
        </w:r>
        <w:r w:rsidRPr="009D4504">
          <w:rPr>
            <w:rStyle w:val="Hyperlink"/>
            <w:noProof/>
            <w:rtl/>
          </w:rPr>
          <w:t xml:space="preserve"> </w:t>
        </w:r>
        <w:r w:rsidRPr="009D4504">
          <w:rPr>
            <w:rStyle w:val="Hyperlink"/>
            <w:rFonts w:hint="eastAsia"/>
            <w:noProof/>
            <w:rtl/>
          </w:rPr>
          <w:t>هفتم</w:t>
        </w:r>
        <w:r w:rsidRPr="009D4504">
          <w:rPr>
            <w:rStyle w:val="Hyperlink"/>
            <w:noProof/>
            <w:rtl/>
          </w:rPr>
          <w:t xml:space="preserve"> (</w:t>
        </w:r>
        <w:r w:rsidRPr="009D4504">
          <w:rPr>
            <w:rStyle w:val="Hyperlink"/>
            <w:rFonts w:hint="eastAsia"/>
            <w:noProof/>
            <w:rtl/>
          </w:rPr>
          <w:t>ادامه</w:t>
        </w:r>
        <w:r w:rsidRPr="009D4504">
          <w:rPr>
            <w:rStyle w:val="Hyperlink"/>
            <w:noProof/>
            <w:rtl/>
          </w:rPr>
          <w:t xml:space="preserve"> </w:t>
        </w:r>
        <w:r w:rsidRPr="009D4504">
          <w:rPr>
            <w:rStyle w:val="Hyperlink"/>
            <w:rFonts w:hint="eastAsia"/>
            <w:noProof/>
            <w:rtl/>
          </w:rPr>
          <w:t>و</w:t>
        </w:r>
        <w:r w:rsidRPr="009D4504">
          <w:rPr>
            <w:rStyle w:val="Hyperlink"/>
            <w:noProof/>
            <w:rtl/>
          </w:rPr>
          <w:t xml:space="preserve"> </w:t>
        </w:r>
        <w:r w:rsidRPr="009D4504">
          <w:rPr>
            <w:rStyle w:val="Hyperlink"/>
            <w:rFonts w:hint="eastAsia"/>
            <w:noProof/>
            <w:rtl/>
          </w:rPr>
          <w:t>جمع</w:t>
        </w:r>
        <w:r w:rsidRPr="009D4504">
          <w:rPr>
            <w:rStyle w:val="Hyperlink"/>
            <w:noProof/>
            <w:rtl/>
          </w:rPr>
          <w:t xml:space="preserve"> </w:t>
        </w:r>
        <w:r w:rsidRPr="009D4504">
          <w:rPr>
            <w:rStyle w:val="Hyperlink"/>
            <w:rFonts w:hint="eastAsia"/>
            <w:noProof/>
            <w:rtl/>
          </w:rPr>
          <w:t>بند</w:t>
        </w:r>
        <w:r w:rsidRPr="009D4504">
          <w:rPr>
            <w:rStyle w:val="Hyperlink"/>
            <w:rFonts w:hint="cs"/>
            <w:noProof/>
            <w:rtl/>
          </w:rPr>
          <w:t>ی</w:t>
        </w:r>
        <w:r w:rsidRPr="009D4504">
          <w:rPr>
            <w:rStyle w:val="Hyperlink"/>
            <w:noProof/>
            <w:rtl/>
          </w:rPr>
          <w:t xml:space="preserve"> </w:t>
        </w:r>
        <w:r w:rsidRPr="009D4504">
          <w:rPr>
            <w:rStyle w:val="Hyperlink"/>
            <w:rFonts w:hint="eastAsia"/>
            <w:noProof/>
            <w:rtl/>
          </w:rPr>
          <w:t>مباحث</w:t>
        </w:r>
        <w:r w:rsidRPr="009D4504">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501984069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6D0919" w:rsidRDefault="006D0919" w:rsidP="006D0919">
      <w:pPr>
        <w:pStyle w:val="TOC8"/>
        <w:tabs>
          <w:tab w:val="right" w:leader="dot" w:pos="10194"/>
        </w:tabs>
        <w:rPr>
          <w:rFonts w:asciiTheme="minorHAnsi" w:eastAsiaTheme="minorEastAsia" w:hAnsiTheme="minorHAnsi" w:cstheme="minorBidi"/>
          <w:noProof/>
          <w:color w:val="auto"/>
          <w:szCs w:val="22"/>
          <w:rtl/>
        </w:rPr>
      </w:pPr>
      <w:hyperlink w:anchor="_Toc501984070" w:history="1">
        <w:r w:rsidRPr="009D4504">
          <w:rPr>
            <w:rStyle w:val="Hyperlink"/>
            <w:rFonts w:hint="eastAsia"/>
            <w:noProof/>
            <w:rtl/>
          </w:rPr>
          <w:t>جر</w:t>
        </w:r>
        <w:r w:rsidRPr="009D4504">
          <w:rPr>
            <w:rStyle w:val="Hyperlink"/>
            <w:rFonts w:hint="cs"/>
            <w:noProof/>
            <w:rtl/>
          </w:rPr>
          <w:t>ی</w:t>
        </w:r>
        <w:r w:rsidRPr="009D4504">
          <w:rPr>
            <w:rStyle w:val="Hyperlink"/>
            <w:rFonts w:hint="eastAsia"/>
            <w:noProof/>
            <w:rtl/>
          </w:rPr>
          <w:t>ان</w:t>
        </w:r>
        <w:r w:rsidRPr="009D4504">
          <w:rPr>
            <w:rStyle w:val="Hyperlink"/>
            <w:noProof/>
            <w:rtl/>
          </w:rPr>
          <w:t xml:space="preserve"> </w:t>
        </w:r>
        <w:r w:rsidRPr="009D4504">
          <w:rPr>
            <w:rStyle w:val="Hyperlink"/>
            <w:rFonts w:hint="eastAsia"/>
            <w:noProof/>
            <w:rtl/>
          </w:rPr>
          <w:t>قواعد</w:t>
        </w:r>
        <w:r w:rsidRPr="009D4504">
          <w:rPr>
            <w:rStyle w:val="Hyperlink"/>
            <w:noProof/>
            <w:rtl/>
          </w:rPr>
          <w:t xml:space="preserve"> </w:t>
        </w:r>
        <w:r w:rsidRPr="009D4504">
          <w:rPr>
            <w:rStyle w:val="Hyperlink"/>
            <w:rFonts w:hint="eastAsia"/>
            <w:noProof/>
            <w:rtl/>
          </w:rPr>
          <w:t>سه</w:t>
        </w:r>
        <w:r w:rsidRPr="009D4504">
          <w:rPr>
            <w:rStyle w:val="Hyperlink"/>
            <w:noProof/>
            <w:rtl/>
          </w:rPr>
          <w:t xml:space="preserve"> </w:t>
        </w:r>
        <w:r w:rsidRPr="009D4504">
          <w:rPr>
            <w:rStyle w:val="Hyperlink"/>
            <w:rFonts w:hint="eastAsia"/>
            <w:noProof/>
            <w:rtl/>
          </w:rPr>
          <w:t>گانه</w:t>
        </w:r>
        <w:r w:rsidRPr="009D4504">
          <w:rPr>
            <w:rStyle w:val="Hyperlink"/>
            <w:noProof/>
            <w:rtl/>
          </w:rPr>
          <w:t xml:space="preserve"> </w:t>
        </w:r>
        <w:r w:rsidRPr="009D4504">
          <w:rPr>
            <w:rStyle w:val="Hyperlink"/>
            <w:rFonts w:hint="eastAsia"/>
            <w:noProof/>
            <w:rtl/>
          </w:rPr>
          <w:t>در</w:t>
        </w:r>
        <w:r w:rsidRPr="009D4504">
          <w:rPr>
            <w:rStyle w:val="Hyperlink"/>
            <w:noProof/>
            <w:rtl/>
          </w:rPr>
          <w:t xml:space="preserve"> </w:t>
        </w:r>
        <w:r w:rsidRPr="009D4504">
          <w:rPr>
            <w:rStyle w:val="Hyperlink"/>
            <w:rFonts w:hint="eastAsia"/>
            <w:noProof/>
            <w:rtl/>
          </w:rPr>
          <w:t>سراسر</w:t>
        </w:r>
        <w:r w:rsidRPr="009D4504">
          <w:rPr>
            <w:rStyle w:val="Hyperlink"/>
            <w:noProof/>
            <w:rtl/>
          </w:rPr>
          <w:t xml:space="preserve"> </w:t>
        </w:r>
        <w:r w:rsidRPr="009D4504">
          <w:rPr>
            <w:rStyle w:val="Hyperlink"/>
            <w:rFonts w:hint="eastAsia"/>
            <w:noProof/>
            <w:rtl/>
          </w:rPr>
          <w:t>فقه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501984070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91EB6" w:rsidRPr="00C91EB6" w:rsidRDefault="006D0919"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6C6930">
        <w:rPr>
          <w:rFonts w:hint="cs"/>
          <w:rtl/>
        </w:rPr>
        <w:t>قتل</w:t>
      </w:r>
      <w:r w:rsidR="006C6930">
        <w:rPr>
          <w:rtl/>
        </w:rPr>
        <w:t xml:space="preserve"> </w:t>
      </w:r>
      <w:r w:rsidR="006C6930">
        <w:rPr>
          <w:rFonts w:hint="cs"/>
          <w:rtl/>
        </w:rPr>
        <w:t>به</w:t>
      </w:r>
      <w:r w:rsidR="006C6930">
        <w:rPr>
          <w:rtl/>
        </w:rPr>
        <w:t xml:space="preserve"> </w:t>
      </w:r>
      <w:r w:rsidR="006C6930">
        <w:rPr>
          <w:rFonts w:hint="cs"/>
          <w:rtl/>
        </w:rPr>
        <w:t>تسبیب</w:t>
      </w:r>
      <w:r w:rsidR="006C6930">
        <w:rPr>
          <w:rtl/>
        </w:rPr>
        <w:t>/</w:t>
      </w:r>
      <w:r w:rsidR="006C6930">
        <w:rPr>
          <w:rFonts w:hint="cs"/>
          <w:rtl/>
        </w:rPr>
        <w:t>مراتب</w:t>
      </w:r>
      <w:r w:rsidR="006C6930">
        <w:rPr>
          <w:rtl/>
        </w:rPr>
        <w:t xml:space="preserve"> </w:t>
      </w:r>
      <w:r w:rsidR="006C6930">
        <w:rPr>
          <w:rFonts w:hint="cs"/>
          <w:rtl/>
        </w:rPr>
        <w:t>تسبیب</w:t>
      </w:r>
      <w:r w:rsidR="006C6930">
        <w:rPr>
          <w:rtl/>
        </w:rPr>
        <w:t>/</w:t>
      </w:r>
      <w:r w:rsidR="006C6930">
        <w:rPr>
          <w:rFonts w:hint="cs"/>
          <w:rtl/>
        </w:rPr>
        <w:t>مرتبه</w:t>
      </w:r>
      <w:r w:rsidR="006C6930">
        <w:rPr>
          <w:rtl/>
        </w:rPr>
        <w:t xml:space="preserve"> </w:t>
      </w:r>
      <w:r w:rsidR="006C6930">
        <w:rPr>
          <w:rFonts w:hint="cs"/>
          <w:rtl/>
        </w:rPr>
        <w:t>چهارم</w:t>
      </w:r>
      <w:r w:rsidR="00025B70">
        <w:rPr>
          <w:rFonts w:hint="cs"/>
          <w:rtl/>
        </w:rPr>
        <w:t xml:space="preserve"> </w:t>
      </w:r>
      <w:r w:rsidR="00386C11" w:rsidRPr="00A6366F">
        <w:rPr>
          <w:rFonts w:hint="cs"/>
          <w:rtl/>
        </w:rPr>
        <w:t>/</w:t>
      </w:r>
      <w:bookmarkStart w:id="1" w:name="BokSabj_d"/>
      <w:bookmarkEnd w:id="1"/>
      <w:r w:rsidR="006C6930">
        <w:rPr>
          <w:rFonts w:hint="cs"/>
          <w:rtl/>
        </w:rPr>
        <w:t>قتل</w:t>
      </w:r>
      <w:r w:rsidR="006C6930">
        <w:rPr>
          <w:rtl/>
        </w:rPr>
        <w:t xml:space="preserve"> </w:t>
      </w:r>
      <w:r w:rsidR="006C6930">
        <w:rPr>
          <w:rFonts w:hint="cs"/>
          <w:rtl/>
        </w:rPr>
        <w:t>عمد</w:t>
      </w:r>
      <w:r w:rsidR="00386C11" w:rsidRPr="00A6366F">
        <w:rPr>
          <w:rFonts w:hint="cs"/>
          <w:rtl/>
        </w:rPr>
        <w:t xml:space="preserve"> /</w:t>
      </w:r>
      <w:bookmarkStart w:id="2" w:name="Bokkolli"/>
      <w:bookmarkEnd w:id="2"/>
      <w:r w:rsidR="006C6930">
        <w:rPr>
          <w:rFonts w:hint="cs"/>
          <w:rtl/>
        </w:rPr>
        <w:t>کتاب</w:t>
      </w:r>
      <w:r w:rsidR="006C6930">
        <w:rPr>
          <w:rtl/>
        </w:rPr>
        <w:t xml:space="preserve"> </w:t>
      </w:r>
      <w:r w:rsidR="006C6930">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752EBE" w:rsidP="003A6148">
      <w:pPr>
        <w:pBdr>
          <w:bottom w:val="double" w:sz="6" w:space="1" w:color="auto"/>
        </w:pBdr>
        <w:rPr>
          <w:rtl/>
        </w:rPr>
      </w:pPr>
      <w:r>
        <w:rPr>
          <w:rFonts w:hint="cs"/>
          <w:rtl/>
        </w:rPr>
        <w:t>بحث در بررسی صورت دوم از مرتبه چهارم موارد قتل به تسبیب بود که بیان شد، این صورت مربوط به جایی است که در آن شخصی امر به قتل غیر می کند و این قتل از سوی مأمور به قتل صورت می گیرد که در راستای آن قواعد و فروعی بیان شد.</w:t>
      </w:r>
      <w:bookmarkStart w:id="3" w:name="_GoBack"/>
      <w:bookmarkEnd w:id="3"/>
    </w:p>
    <w:p w:rsidR="00247D2F" w:rsidRPr="003A6148" w:rsidRDefault="00247D2F" w:rsidP="003A6148">
      <w:pPr>
        <w:pBdr>
          <w:bottom w:val="double" w:sz="6" w:space="1" w:color="auto"/>
        </w:pBdr>
      </w:pPr>
    </w:p>
    <w:p w:rsidR="005B4411" w:rsidRDefault="005B4411" w:rsidP="00752EBE">
      <w:pPr>
        <w:rPr>
          <w:rFonts w:hint="cs"/>
          <w:rtl/>
        </w:rPr>
      </w:pPr>
      <w:r>
        <w:rPr>
          <w:rFonts w:hint="cs"/>
          <w:rtl/>
        </w:rPr>
        <w:t>بحث در فروع متفرع بر مسأله امر غیر به قتل بود که بیان شد وجه بیان این فروع، چگونگی تطبیق قواعد مطروحه در مقام بود.</w:t>
      </w:r>
    </w:p>
    <w:p w:rsidR="005B4411" w:rsidRDefault="005B4411" w:rsidP="005B4411">
      <w:pPr>
        <w:pStyle w:val="Heading7"/>
        <w:rPr>
          <w:rFonts w:hint="cs"/>
          <w:rtl/>
        </w:rPr>
      </w:pPr>
      <w:bookmarkStart w:id="4" w:name="_Toc501984069"/>
      <w:r>
        <w:rPr>
          <w:rFonts w:hint="cs"/>
          <w:rtl/>
        </w:rPr>
        <w:t xml:space="preserve">فرع هفتم (ادامه </w:t>
      </w:r>
      <w:r w:rsidR="00F44BAD">
        <w:rPr>
          <w:rFonts w:hint="cs"/>
          <w:rtl/>
        </w:rPr>
        <w:t xml:space="preserve">و جمع بندی </w:t>
      </w:r>
      <w:r>
        <w:rPr>
          <w:rFonts w:hint="cs"/>
          <w:rtl/>
        </w:rPr>
        <w:t>مباحث)</w:t>
      </w:r>
      <w:bookmarkEnd w:id="4"/>
    </w:p>
    <w:p w:rsidR="005B4411" w:rsidRPr="005B4411" w:rsidRDefault="005B4411" w:rsidP="00F44BAD">
      <w:pPr>
        <w:rPr>
          <w:rtl/>
        </w:rPr>
      </w:pPr>
      <w:r>
        <w:rPr>
          <w:rFonts w:hint="cs"/>
          <w:rtl/>
        </w:rPr>
        <w:t xml:space="preserve">بحث به فرع هفتم رسید، و نکات و بیاناتی در آن بیان شد، و در نهایت نتیجه منتهی شد به این که آمر در فرضی که در آن قاتلِ مباشر، مستحق و مشمول قصاص می شود، محکوم به حبس است و نمی توان بر اساس الغای خصوصیت وی </w:t>
      </w:r>
      <w:r w:rsidR="00F44BAD">
        <w:rPr>
          <w:rFonts w:hint="cs"/>
          <w:rtl/>
        </w:rPr>
        <w:t>را در چنین شرایطی نیز محکوم به حبس</w:t>
      </w:r>
      <w:r>
        <w:rPr>
          <w:rFonts w:hint="cs"/>
          <w:rtl/>
        </w:rPr>
        <w:t xml:space="preserve"> دانست و از طرفی گذشت که در اینجا نمی توان گفت که با توجه به این که خصوصیت مورد تخصیص نمی زند</w:t>
      </w:r>
      <w:r w:rsidR="00F44BAD">
        <w:rPr>
          <w:rFonts w:hint="cs"/>
          <w:rtl/>
        </w:rPr>
        <w:t>، باید الغای خصوصیت نمود؛ چرا که در مقام اصلا اطلاقی شکل نگرفته است، تا چنین بحثی پیش بیاید و در روایت</w:t>
      </w:r>
      <w:r>
        <w:rPr>
          <w:rFonts w:hint="cs"/>
          <w:rtl/>
        </w:rPr>
        <w:t xml:space="preserve"> </w:t>
      </w:r>
      <w:r w:rsidR="00F44BAD">
        <w:rPr>
          <w:rFonts w:hint="cs"/>
          <w:rtl/>
        </w:rPr>
        <w:t>با وجود این که</w:t>
      </w:r>
      <w:r>
        <w:rPr>
          <w:rFonts w:hint="cs"/>
          <w:rtl/>
        </w:rPr>
        <w:t xml:space="preserve"> </w:t>
      </w:r>
      <w:r w:rsidR="00F44BAD">
        <w:rPr>
          <w:rFonts w:hint="cs"/>
          <w:rtl/>
        </w:rPr>
        <w:t xml:space="preserve">فرض به گونه ای </w:t>
      </w:r>
      <w:r w:rsidRPr="005B4411">
        <w:rPr>
          <w:rtl/>
        </w:rPr>
        <w:t>است که آمر امر به قتلی کرده که موجب قصاص مباشر است</w:t>
      </w:r>
      <w:r w:rsidRPr="005B4411">
        <w:rPr>
          <w:rFonts w:hint="cs"/>
          <w:rtl/>
        </w:rPr>
        <w:t xml:space="preserve">، اما </w:t>
      </w:r>
      <w:r w:rsidRPr="005B4411">
        <w:rPr>
          <w:rtl/>
        </w:rPr>
        <w:t xml:space="preserve">این که خصوصیت مورد </w:t>
      </w:r>
      <w:r w:rsidR="00F44BAD">
        <w:rPr>
          <w:rFonts w:hint="cs"/>
          <w:rtl/>
        </w:rPr>
        <w:t>«</w:t>
      </w:r>
      <w:r w:rsidRPr="005B4411">
        <w:rPr>
          <w:rtl/>
        </w:rPr>
        <w:t>لا یخصص</w:t>
      </w:r>
      <w:r w:rsidR="00F44BAD">
        <w:rPr>
          <w:rFonts w:hint="cs"/>
          <w:rtl/>
        </w:rPr>
        <w:t>»؛ مربوط به</w:t>
      </w:r>
      <w:r w:rsidRPr="005B4411">
        <w:rPr>
          <w:rtl/>
        </w:rPr>
        <w:t xml:space="preserve"> جایی است که اطلاقی باشد و در مورد خاصی تطبیق شود، این تطبیق</w:t>
      </w:r>
      <w:r w:rsidR="00F44BAD">
        <w:rPr>
          <w:rFonts w:hint="cs"/>
          <w:rtl/>
        </w:rPr>
        <w:t>،</w:t>
      </w:r>
      <w:r w:rsidRPr="005B4411">
        <w:rPr>
          <w:rtl/>
        </w:rPr>
        <w:t xml:space="preserve"> باعث اختصاص به مورد خاصی نمی شود.</w:t>
      </w:r>
      <w:r w:rsidR="00F44BAD">
        <w:rPr>
          <w:rFonts w:hint="cs"/>
          <w:rtl/>
        </w:rPr>
        <w:t xml:space="preserve"> </w:t>
      </w:r>
      <w:r w:rsidRPr="005B4411">
        <w:rPr>
          <w:rtl/>
        </w:rPr>
        <w:t xml:space="preserve">به عنوان مثال </w:t>
      </w:r>
      <w:r w:rsidR="00F44BAD">
        <w:rPr>
          <w:rFonts w:hint="cs"/>
          <w:rtl/>
        </w:rPr>
        <w:t xml:space="preserve">در </w:t>
      </w:r>
      <w:r w:rsidRPr="005B4411">
        <w:rPr>
          <w:rtl/>
        </w:rPr>
        <w:t>روایت زراره که مدرک استصحاب شده است</w:t>
      </w:r>
      <w:r w:rsidR="00F44BAD">
        <w:rPr>
          <w:rFonts w:hint="cs"/>
          <w:rtl/>
        </w:rPr>
        <w:t>،</w:t>
      </w:r>
      <w:r w:rsidRPr="005B4411">
        <w:rPr>
          <w:rtl/>
        </w:rPr>
        <w:t xml:space="preserve"> با تعبیر </w:t>
      </w:r>
      <w:r w:rsidR="00F44BAD">
        <w:rPr>
          <w:rFonts w:hint="cs"/>
          <w:rtl/>
        </w:rPr>
        <w:t>«</w:t>
      </w:r>
      <w:r w:rsidRPr="005B4411">
        <w:rPr>
          <w:color w:val="008000"/>
          <w:rtl/>
        </w:rPr>
        <w:t xml:space="preserve">لا تنقض الیقین </w:t>
      </w:r>
      <w:r w:rsidR="00F44BAD">
        <w:rPr>
          <w:rFonts w:hint="cs"/>
          <w:color w:val="008000"/>
          <w:rtl/>
        </w:rPr>
        <w:t xml:space="preserve">ابدا </w:t>
      </w:r>
      <w:r w:rsidRPr="005B4411">
        <w:rPr>
          <w:color w:val="008000"/>
          <w:rtl/>
        </w:rPr>
        <w:t>بالشک</w:t>
      </w:r>
      <w:r w:rsidR="00F44BAD">
        <w:rPr>
          <w:rFonts w:hint="cs"/>
          <w:rtl/>
        </w:rPr>
        <w:t>»</w:t>
      </w:r>
      <w:r w:rsidR="00F44BAD">
        <w:rPr>
          <w:rStyle w:val="FootnoteReference"/>
          <w:rtl/>
        </w:rPr>
        <w:footnoteReference w:id="1"/>
      </w:r>
      <w:r w:rsidR="00F44BAD">
        <w:rPr>
          <w:rFonts w:hint="cs"/>
          <w:rtl/>
        </w:rPr>
        <w:t xml:space="preserve"> که اطلاق دارد،</w:t>
      </w:r>
      <w:r w:rsidRPr="005B4411">
        <w:rPr>
          <w:rtl/>
        </w:rPr>
        <w:t xml:space="preserve"> به خاطر تطبیق در این روایت بر وضو</w:t>
      </w:r>
      <w:r w:rsidR="00F44BAD">
        <w:rPr>
          <w:rFonts w:hint="cs"/>
          <w:rtl/>
        </w:rPr>
        <w:t>،</w:t>
      </w:r>
      <w:r w:rsidRPr="005B4411">
        <w:rPr>
          <w:rtl/>
        </w:rPr>
        <w:t xml:space="preserve"> باعث اختصاص این کبری به مورد وضو نمی شود و این مطلق را تخصیص و تقیید به وضو نمی زند</w:t>
      </w:r>
      <w:r w:rsidR="00F44BAD">
        <w:rPr>
          <w:rFonts w:hint="cs"/>
          <w:rtl/>
        </w:rPr>
        <w:t>،</w:t>
      </w:r>
      <w:r w:rsidRPr="005B4411">
        <w:rPr>
          <w:rtl/>
        </w:rPr>
        <w:t xml:space="preserve"> اما در </w:t>
      </w:r>
      <w:r w:rsidR="00F44BAD">
        <w:rPr>
          <w:rtl/>
        </w:rPr>
        <w:t xml:space="preserve">جایی که اصلا </w:t>
      </w:r>
      <w:r w:rsidR="00F44BAD">
        <w:rPr>
          <w:rFonts w:hint="cs"/>
          <w:rtl/>
        </w:rPr>
        <w:t xml:space="preserve">زائد بر مورد </w:t>
      </w:r>
      <w:r w:rsidR="00F44BAD">
        <w:rPr>
          <w:rtl/>
        </w:rPr>
        <w:t>اطلاقی در کار نیست</w:t>
      </w:r>
      <w:r w:rsidR="00F44BAD">
        <w:rPr>
          <w:rFonts w:hint="cs"/>
          <w:rtl/>
        </w:rPr>
        <w:t>؛</w:t>
      </w:r>
      <w:r w:rsidRPr="005B4411">
        <w:rPr>
          <w:rtl/>
        </w:rPr>
        <w:t xml:space="preserve"> مثل ما نحن فیه</w:t>
      </w:r>
      <w:r w:rsidR="00F44BAD">
        <w:rPr>
          <w:rFonts w:hint="cs"/>
          <w:rtl/>
        </w:rPr>
        <w:t>،</w:t>
      </w:r>
      <w:r w:rsidRPr="005B4411">
        <w:rPr>
          <w:rtl/>
        </w:rPr>
        <w:t xml:space="preserve"> نمی توان در امر به قتلی که موج</w:t>
      </w:r>
      <w:r w:rsidR="00F44BAD">
        <w:rPr>
          <w:rtl/>
        </w:rPr>
        <w:t>ب قصاص در مباشر هم نیست</w:t>
      </w:r>
      <w:r w:rsidR="00F44BAD">
        <w:rPr>
          <w:rFonts w:hint="cs"/>
          <w:rtl/>
        </w:rPr>
        <w:t>،</w:t>
      </w:r>
      <w:r w:rsidRPr="005B4411">
        <w:rPr>
          <w:rtl/>
        </w:rPr>
        <w:t xml:space="preserve"> حکم حبس را تعمیم داد.</w:t>
      </w:r>
    </w:p>
    <w:p w:rsidR="005B4411" w:rsidRPr="005B4411" w:rsidRDefault="005B4411" w:rsidP="00F44BAD">
      <w:pPr>
        <w:rPr>
          <w:rtl/>
        </w:rPr>
      </w:pPr>
      <w:r w:rsidRPr="005B4411">
        <w:rPr>
          <w:rtl/>
        </w:rPr>
        <w:lastRenderedPageBreak/>
        <w:t>بنابراین، بر اساس قاعده مواردی که قتل مباشر موجب قصاص است</w:t>
      </w:r>
      <w:r w:rsidR="00F44BAD">
        <w:rPr>
          <w:rFonts w:hint="cs"/>
          <w:rtl/>
        </w:rPr>
        <w:t>،</w:t>
      </w:r>
      <w:r w:rsidRPr="005B4411">
        <w:rPr>
          <w:rtl/>
        </w:rPr>
        <w:t xml:space="preserve"> مورد روایت است و از آن نمی توان تعدی نمود</w:t>
      </w:r>
      <w:r w:rsidR="00F44BAD">
        <w:rPr>
          <w:rFonts w:hint="cs"/>
          <w:rtl/>
        </w:rPr>
        <w:t>،</w:t>
      </w:r>
      <w:r w:rsidR="00F44BAD">
        <w:rPr>
          <w:rtl/>
        </w:rPr>
        <w:t xml:space="preserve"> </w:t>
      </w:r>
      <w:r w:rsidR="00F44BAD">
        <w:rPr>
          <w:rFonts w:hint="cs"/>
          <w:rtl/>
        </w:rPr>
        <w:t>و لذا در نتیجه</w:t>
      </w:r>
      <w:r w:rsidRPr="005B4411">
        <w:rPr>
          <w:rtl/>
        </w:rPr>
        <w:t xml:space="preserve"> موارد متعددی </w:t>
      </w:r>
      <w:r w:rsidR="00F44BAD">
        <w:rPr>
          <w:rFonts w:hint="cs"/>
          <w:rtl/>
        </w:rPr>
        <w:t>از این مورد خارج خواهد بود</w:t>
      </w:r>
      <w:r w:rsidRPr="005B4411">
        <w:rPr>
          <w:rtl/>
        </w:rPr>
        <w:t xml:space="preserve"> که یکی از آن ها کافر بودن مقتول و یکی هم قاتل بودن صبی است.</w:t>
      </w:r>
    </w:p>
    <w:p w:rsidR="005B4411" w:rsidRPr="005B4411" w:rsidRDefault="005B4411" w:rsidP="00F44BAD">
      <w:pPr>
        <w:rPr>
          <w:rtl/>
        </w:rPr>
      </w:pPr>
      <w:r w:rsidRPr="005B4411">
        <w:rPr>
          <w:rtl/>
        </w:rPr>
        <w:t>همان طور که گذشت، از رجل دوم</w:t>
      </w:r>
      <w:r w:rsidR="00F44BAD">
        <w:rPr>
          <w:rFonts w:hint="cs"/>
          <w:rtl/>
        </w:rPr>
        <w:t>،</w:t>
      </w:r>
      <w:r w:rsidRPr="005B4411">
        <w:rPr>
          <w:rtl/>
        </w:rPr>
        <w:t xml:space="preserve"> یعنی مأمور</w:t>
      </w:r>
      <w:r w:rsidR="00F44BAD">
        <w:rPr>
          <w:rFonts w:hint="cs"/>
          <w:rtl/>
        </w:rPr>
        <w:t>،</w:t>
      </w:r>
      <w:r w:rsidRPr="005B4411">
        <w:rPr>
          <w:rtl/>
        </w:rPr>
        <w:t xml:space="preserve"> الغای خصوصیت می شود و مأمور</w:t>
      </w:r>
      <w:r w:rsidR="00F44BAD">
        <w:rPr>
          <w:rFonts w:hint="cs"/>
          <w:rtl/>
        </w:rPr>
        <w:t>ِ</w:t>
      </w:r>
      <w:r w:rsidRPr="005B4411">
        <w:rPr>
          <w:rtl/>
        </w:rPr>
        <w:t xml:space="preserve"> </w:t>
      </w:r>
      <w:r w:rsidR="00F44BAD">
        <w:rPr>
          <w:rFonts w:hint="cs"/>
          <w:rtl/>
        </w:rPr>
        <w:t>زن</w:t>
      </w:r>
      <w:r w:rsidR="00F44BAD">
        <w:rPr>
          <w:rtl/>
        </w:rPr>
        <w:t xml:space="preserve"> را نیز در بر می</w:t>
      </w:r>
      <w:r w:rsidR="00F44BAD">
        <w:rPr>
          <w:rFonts w:hint="cs"/>
          <w:rtl/>
        </w:rPr>
        <w:t xml:space="preserve"> </w:t>
      </w:r>
      <w:r w:rsidR="00F44BAD">
        <w:rPr>
          <w:rtl/>
        </w:rPr>
        <w:t>گیرد</w:t>
      </w:r>
      <w:r w:rsidR="00F44BAD">
        <w:rPr>
          <w:rFonts w:hint="cs"/>
          <w:rtl/>
        </w:rPr>
        <w:t>؛</w:t>
      </w:r>
      <w:r w:rsidRPr="005B4411">
        <w:rPr>
          <w:rtl/>
        </w:rPr>
        <w:t xml:space="preserve"> چرا که حکم خود این رجل را بیان نموده است </w:t>
      </w:r>
      <w:r w:rsidR="00F44BAD">
        <w:rPr>
          <w:rFonts w:hint="cs"/>
          <w:rtl/>
        </w:rPr>
        <w:t xml:space="preserve">و لذا الغای خصوصیت علی القاعده است، </w:t>
      </w:r>
      <w:r w:rsidR="00F44BAD">
        <w:rPr>
          <w:rtl/>
        </w:rPr>
        <w:t>ولی خصوصیت رجول</w:t>
      </w:r>
      <w:r w:rsidRPr="005B4411">
        <w:rPr>
          <w:rtl/>
        </w:rPr>
        <w:t xml:space="preserve">ت </w:t>
      </w:r>
      <w:r w:rsidR="00F44BAD">
        <w:rPr>
          <w:rFonts w:hint="cs"/>
          <w:rtl/>
        </w:rPr>
        <w:t xml:space="preserve">مباشر </w:t>
      </w:r>
      <w:r w:rsidRPr="005B4411">
        <w:rPr>
          <w:rtl/>
        </w:rPr>
        <w:t>به لحاظ آمر با توجه به عدم توجه خطاب به خودش</w:t>
      </w:r>
      <w:r w:rsidR="00F44BAD">
        <w:rPr>
          <w:rFonts w:hint="cs"/>
          <w:rtl/>
        </w:rPr>
        <w:t>،</w:t>
      </w:r>
      <w:r w:rsidRPr="005B4411">
        <w:rPr>
          <w:rtl/>
        </w:rPr>
        <w:t xml:space="preserve"> از قبیل شهادت برای حکم دیگران </w:t>
      </w:r>
      <w:r w:rsidR="00F44BAD">
        <w:rPr>
          <w:rFonts w:hint="cs"/>
          <w:rtl/>
        </w:rPr>
        <w:t xml:space="preserve">بود </w:t>
      </w:r>
      <w:r w:rsidRPr="005B4411">
        <w:rPr>
          <w:rtl/>
        </w:rPr>
        <w:t xml:space="preserve">و </w:t>
      </w:r>
      <w:r w:rsidR="00F44BAD">
        <w:rPr>
          <w:rFonts w:hint="cs"/>
          <w:rtl/>
        </w:rPr>
        <w:t xml:space="preserve">در واقع رجلِ مأمور، نسبت به حکم حبس آمر، </w:t>
      </w:r>
      <w:r w:rsidRPr="005B4411">
        <w:rPr>
          <w:rtl/>
        </w:rPr>
        <w:t xml:space="preserve">شأن شاهد و قاضی را دارد و الغای خصوصیت </w:t>
      </w:r>
      <w:r w:rsidR="00F44BAD">
        <w:rPr>
          <w:rFonts w:hint="cs"/>
          <w:rtl/>
        </w:rPr>
        <w:t xml:space="preserve">از آن </w:t>
      </w:r>
      <w:r w:rsidRPr="005B4411">
        <w:rPr>
          <w:rtl/>
        </w:rPr>
        <w:t>منتفی است.</w:t>
      </w:r>
    </w:p>
    <w:p w:rsidR="005B4411" w:rsidRPr="005B4411" w:rsidRDefault="005B4411" w:rsidP="00301EAD">
      <w:pPr>
        <w:rPr>
          <w:rtl/>
        </w:rPr>
      </w:pPr>
      <w:r w:rsidRPr="005B4411">
        <w:rPr>
          <w:rtl/>
        </w:rPr>
        <w:t>به ت</w:t>
      </w:r>
      <w:r w:rsidR="00301EAD">
        <w:rPr>
          <w:rtl/>
        </w:rPr>
        <w:t>عبیر دیگر رجل مباشر دو حیث دارد؛ از حیث قصاص خودش</w:t>
      </w:r>
      <w:r w:rsidR="00301EAD">
        <w:rPr>
          <w:rFonts w:hint="cs"/>
          <w:rtl/>
        </w:rPr>
        <w:t>، به الغای خصوصیت،</w:t>
      </w:r>
      <w:r w:rsidR="00301EAD">
        <w:rPr>
          <w:rtl/>
        </w:rPr>
        <w:t xml:space="preserve"> </w:t>
      </w:r>
      <w:r w:rsidRPr="005B4411">
        <w:rPr>
          <w:rtl/>
        </w:rPr>
        <w:t>شامل زن نیز می شود اما از این حیث که آمر به او</w:t>
      </w:r>
      <w:r w:rsidR="00301EAD">
        <w:rPr>
          <w:rFonts w:hint="cs"/>
          <w:rtl/>
        </w:rPr>
        <w:t xml:space="preserve"> باید </w:t>
      </w:r>
      <w:r w:rsidR="00301EAD">
        <w:rPr>
          <w:rtl/>
        </w:rPr>
        <w:t>حبس</w:t>
      </w:r>
      <w:r w:rsidRPr="005B4411">
        <w:rPr>
          <w:rtl/>
        </w:rPr>
        <w:t xml:space="preserve"> شود، </w:t>
      </w:r>
      <w:r w:rsidR="00301EAD">
        <w:rPr>
          <w:rFonts w:hint="cs"/>
          <w:rtl/>
        </w:rPr>
        <w:t xml:space="preserve">قابلیت </w:t>
      </w:r>
      <w:r w:rsidRPr="005B4411">
        <w:rPr>
          <w:rtl/>
        </w:rPr>
        <w:t xml:space="preserve">الغای خصوصیت </w:t>
      </w:r>
      <w:r w:rsidR="00301EAD">
        <w:rPr>
          <w:rFonts w:hint="cs"/>
          <w:rtl/>
        </w:rPr>
        <w:t>را ندارد.</w:t>
      </w:r>
    </w:p>
    <w:p w:rsidR="00301EAD" w:rsidRDefault="00301EAD" w:rsidP="006D0919">
      <w:pPr>
        <w:pStyle w:val="Heading8"/>
        <w:rPr>
          <w:rtl/>
        </w:rPr>
      </w:pPr>
      <w:bookmarkStart w:id="5" w:name="_Toc501984070"/>
      <w:r>
        <w:rPr>
          <w:rFonts w:hint="cs"/>
          <w:rtl/>
        </w:rPr>
        <w:t>جریان قواعد سه گانه در سراسر فقه</w:t>
      </w:r>
      <w:r w:rsidR="006D0919">
        <w:rPr>
          <w:rStyle w:val="FootnoteReference"/>
          <w:rtl/>
        </w:rPr>
        <w:footnoteReference w:id="2"/>
      </w:r>
      <w:bookmarkEnd w:id="5"/>
    </w:p>
    <w:p w:rsidR="005B4411" w:rsidRPr="005B4411" w:rsidRDefault="005B4411" w:rsidP="00301EAD">
      <w:pPr>
        <w:rPr>
          <w:rtl/>
        </w:rPr>
      </w:pPr>
      <w:r w:rsidRPr="005B4411">
        <w:rPr>
          <w:rtl/>
        </w:rPr>
        <w:t>این سه قاعده ای که در این جا بیان شد، سیال در جمیع ابواب فقه است و باید توجه کرد که خطای در تطبیق این قواعد منجر به اشتباهاتی در فقه می شود، کما این که مرحوم آقای حکیم ره در مواضع</w:t>
      </w:r>
      <w:r w:rsidR="00301EAD">
        <w:rPr>
          <w:rtl/>
        </w:rPr>
        <w:t>ی به این اشتباهات تذکر داده است</w:t>
      </w:r>
      <w:r w:rsidR="00301EAD">
        <w:rPr>
          <w:rFonts w:hint="cs"/>
          <w:rtl/>
        </w:rPr>
        <w:t>؛</w:t>
      </w:r>
      <w:r w:rsidRPr="005B4411">
        <w:rPr>
          <w:rtl/>
        </w:rPr>
        <w:t xml:space="preserve"> مثل</w:t>
      </w:r>
      <w:r w:rsidR="00301EAD">
        <w:rPr>
          <w:rtl/>
        </w:rPr>
        <w:t xml:space="preserve"> بحث قضای فوائت پدر بر پ</w:t>
      </w:r>
      <w:r w:rsidR="00301EAD">
        <w:rPr>
          <w:rFonts w:hint="cs"/>
          <w:rtl/>
        </w:rPr>
        <w:t>سرِ</w:t>
      </w:r>
      <w:r w:rsidR="00301EAD">
        <w:rPr>
          <w:rtl/>
        </w:rPr>
        <w:t xml:space="preserve"> بزرگ</w:t>
      </w:r>
      <w:r w:rsidR="00301EAD">
        <w:rPr>
          <w:rFonts w:hint="cs"/>
          <w:rtl/>
        </w:rPr>
        <w:t>، که بیان شد، روایت موجود در آنجا، نسبت به مادر شمول ندارد و از پدر الغای خصوصیت نمی شود.</w:t>
      </w:r>
    </w:p>
    <w:p w:rsidR="005B4411" w:rsidRPr="005B4411" w:rsidRDefault="00301EAD" w:rsidP="003444DD">
      <w:pPr>
        <w:rPr>
          <w:rtl/>
        </w:rPr>
      </w:pPr>
      <w:r>
        <w:rPr>
          <w:rFonts w:hint="cs"/>
          <w:rtl/>
        </w:rPr>
        <w:t xml:space="preserve">البته با توجه به آن چه که گذشت؛ باید توجه کرد که </w:t>
      </w:r>
      <w:r w:rsidR="005B4411" w:rsidRPr="005B4411">
        <w:rPr>
          <w:rtl/>
        </w:rPr>
        <w:t xml:space="preserve">در </w:t>
      </w:r>
      <w:r>
        <w:rPr>
          <w:rFonts w:hint="cs"/>
          <w:rtl/>
        </w:rPr>
        <w:t xml:space="preserve">برخی </w:t>
      </w:r>
      <w:r>
        <w:rPr>
          <w:rtl/>
        </w:rPr>
        <w:t xml:space="preserve">از مواردی که </w:t>
      </w:r>
      <w:r>
        <w:rPr>
          <w:rFonts w:hint="cs"/>
          <w:rtl/>
        </w:rPr>
        <w:t xml:space="preserve">نسبت به </w:t>
      </w:r>
      <w:r w:rsidR="005B4411" w:rsidRPr="005B4411">
        <w:rPr>
          <w:rtl/>
        </w:rPr>
        <w:t>آمر</w:t>
      </w:r>
      <w:r>
        <w:rPr>
          <w:rFonts w:hint="cs"/>
          <w:rtl/>
        </w:rPr>
        <w:t>،</w:t>
      </w:r>
      <w:r w:rsidR="005B4411" w:rsidRPr="005B4411">
        <w:rPr>
          <w:rtl/>
        </w:rPr>
        <w:t xml:space="preserve"> حکم حبس ابد</w:t>
      </w:r>
      <w:r>
        <w:rPr>
          <w:rFonts w:hint="cs"/>
          <w:rtl/>
        </w:rPr>
        <w:t xml:space="preserve"> به دلیل عدم الغای خصوصیت از مورد روایت،</w:t>
      </w:r>
      <w:r>
        <w:rPr>
          <w:rtl/>
        </w:rPr>
        <w:t xml:space="preserve"> اجرا نمی شود</w:t>
      </w:r>
      <w:r>
        <w:rPr>
          <w:rFonts w:hint="cs"/>
          <w:rtl/>
        </w:rPr>
        <w:t>؛</w:t>
      </w:r>
      <w:r>
        <w:rPr>
          <w:rtl/>
        </w:rPr>
        <w:t xml:space="preserve"> این گونه نیست که</w:t>
      </w:r>
      <w:r>
        <w:rPr>
          <w:rFonts w:hint="cs"/>
          <w:rtl/>
        </w:rPr>
        <w:t xml:space="preserve"> این آمر</w:t>
      </w:r>
      <w:r w:rsidR="005B4411" w:rsidRPr="005B4411">
        <w:rPr>
          <w:rtl/>
        </w:rPr>
        <w:t xml:space="preserve"> رها شود</w:t>
      </w:r>
      <w:r>
        <w:rPr>
          <w:rFonts w:hint="cs"/>
          <w:rtl/>
        </w:rPr>
        <w:t>،</w:t>
      </w:r>
      <w:r w:rsidR="005B4411" w:rsidRPr="005B4411">
        <w:rPr>
          <w:rtl/>
        </w:rPr>
        <w:t xml:space="preserve"> بلکه </w:t>
      </w:r>
      <w:r>
        <w:rPr>
          <w:rFonts w:hint="cs"/>
          <w:rtl/>
        </w:rPr>
        <w:t xml:space="preserve">در این موارد ممکن است </w:t>
      </w:r>
      <w:r>
        <w:rPr>
          <w:rtl/>
        </w:rPr>
        <w:t>به صلاحدید حاکم تعزیر</w:t>
      </w:r>
      <w:r w:rsidR="003444DD">
        <w:rPr>
          <w:rtl/>
        </w:rPr>
        <w:t xml:space="preserve"> شود،</w:t>
      </w:r>
      <w:r w:rsidR="003444DD">
        <w:rPr>
          <w:rFonts w:hint="cs"/>
          <w:rtl/>
        </w:rPr>
        <w:t xml:space="preserve"> </w:t>
      </w:r>
      <w:r>
        <w:rPr>
          <w:rtl/>
        </w:rPr>
        <w:t>بر</w:t>
      </w:r>
      <w:r w:rsidR="003444DD">
        <w:rPr>
          <w:rFonts w:hint="cs"/>
          <w:rtl/>
        </w:rPr>
        <w:t xml:space="preserve"> اساس </w:t>
      </w:r>
      <w:r>
        <w:rPr>
          <w:rtl/>
        </w:rPr>
        <w:t xml:space="preserve">این که تعزیر </w:t>
      </w:r>
      <w:r w:rsidR="003444DD">
        <w:rPr>
          <w:rFonts w:hint="cs"/>
          <w:rtl/>
        </w:rPr>
        <w:t>اعم از شلاق بوده و اموری مثل حبس و غرامت مالی را هم شامل است و حاکم می تواند چنین اموری را بر عاصی حکم کند.</w:t>
      </w:r>
    </w:p>
    <w:p w:rsidR="005B4411" w:rsidRPr="005B4411" w:rsidRDefault="005B4411" w:rsidP="003444DD">
      <w:pPr>
        <w:rPr>
          <w:rFonts w:ascii="IRNazanin" w:eastAsia="Times New Roman" w:hAnsi="IRNazanin" w:cs="IRNazanin"/>
          <w:color w:val="000000"/>
          <w:sz w:val="36"/>
          <w:szCs w:val="36"/>
          <w:rtl/>
        </w:rPr>
      </w:pPr>
      <w:r w:rsidRPr="005B4411">
        <w:rPr>
          <w:rtl/>
        </w:rPr>
        <w:t xml:space="preserve">بحث در فرع </w:t>
      </w:r>
      <w:r w:rsidR="003444DD">
        <w:rPr>
          <w:rFonts w:hint="cs"/>
          <w:rtl/>
        </w:rPr>
        <w:t xml:space="preserve">هفتم، در مورد </w:t>
      </w:r>
      <w:r w:rsidR="003444DD">
        <w:rPr>
          <w:rtl/>
        </w:rPr>
        <w:t>امر ب</w:t>
      </w:r>
      <w:r w:rsidR="003444DD">
        <w:rPr>
          <w:rFonts w:hint="cs"/>
          <w:rtl/>
        </w:rPr>
        <w:t>ه</w:t>
      </w:r>
      <w:r w:rsidR="003444DD">
        <w:rPr>
          <w:rtl/>
        </w:rPr>
        <w:t xml:space="preserve"> صبی برای قتل بود</w:t>
      </w:r>
      <w:r w:rsidR="003444DD">
        <w:rPr>
          <w:rFonts w:hint="cs"/>
          <w:rtl/>
        </w:rPr>
        <w:t xml:space="preserve"> که</w:t>
      </w:r>
      <w:r w:rsidR="003444DD">
        <w:rPr>
          <w:rtl/>
        </w:rPr>
        <w:t xml:space="preserve"> بیان شد</w:t>
      </w:r>
      <w:r w:rsidR="003444DD">
        <w:rPr>
          <w:rFonts w:hint="cs"/>
          <w:rtl/>
        </w:rPr>
        <w:t>؛</w:t>
      </w:r>
      <w:r w:rsidRPr="005B4411">
        <w:rPr>
          <w:rtl/>
        </w:rPr>
        <w:t xml:space="preserve"> در مواردی فعل مأمور</w:t>
      </w:r>
      <w:r w:rsidR="003444DD">
        <w:rPr>
          <w:rFonts w:hint="cs"/>
          <w:rtl/>
        </w:rPr>
        <w:t>ِ</w:t>
      </w:r>
      <w:r w:rsidRPr="005B4411">
        <w:rPr>
          <w:rtl/>
        </w:rPr>
        <w:t xml:space="preserve"> مباشر به آمر منتسب می شود مثل </w:t>
      </w:r>
      <w:r w:rsidR="003444DD">
        <w:rPr>
          <w:rFonts w:hint="cs"/>
          <w:rtl/>
        </w:rPr>
        <w:t xml:space="preserve">افعال وکیل در امور اعتباری و </w:t>
      </w:r>
      <w:r w:rsidRPr="005B4411">
        <w:rPr>
          <w:rtl/>
        </w:rPr>
        <w:t>بنا</w:t>
      </w:r>
      <w:r w:rsidR="003444DD">
        <w:rPr>
          <w:rFonts w:hint="cs"/>
          <w:rtl/>
        </w:rPr>
        <w:t>ء</w:t>
      </w:r>
      <w:r w:rsidRPr="005B4411">
        <w:rPr>
          <w:rtl/>
        </w:rPr>
        <w:t xml:space="preserve"> و قتل</w:t>
      </w:r>
      <w:r w:rsidR="003444DD">
        <w:rPr>
          <w:rFonts w:hint="cs"/>
          <w:rtl/>
        </w:rPr>
        <w:t xml:space="preserve"> در امور حقیقی، و لذا بر اساس قاعده و ضابطه ادله قصاص، می بایست حکم به قصاص چنین آمری نمود، بر خلاف اموری مثل اکل، که در واقع مباشرت در آن ها خصوصیتی دارد و اصلا غرض از آن ها مباشرت است، و لذا در أکل به واسطه خوردن مباشر، گرسنگی سبب این اکل برطرف نمی شود و در نتیجه نمی توان أکل را به سبب یا آمر منتسب دانست.</w:t>
      </w:r>
    </w:p>
    <w:p w:rsidR="005B4411" w:rsidRPr="005B4411" w:rsidRDefault="005B4411" w:rsidP="006D0919">
      <w:pPr>
        <w:rPr>
          <w:rtl/>
        </w:rPr>
      </w:pPr>
      <w:r w:rsidRPr="005B4411">
        <w:rPr>
          <w:rtl/>
        </w:rPr>
        <w:lastRenderedPageBreak/>
        <w:t>بله</w:t>
      </w:r>
      <w:r w:rsidR="006D0919">
        <w:rPr>
          <w:rFonts w:hint="cs"/>
          <w:rtl/>
        </w:rPr>
        <w:t>،</w:t>
      </w:r>
      <w:r w:rsidRPr="005B4411">
        <w:rPr>
          <w:rtl/>
        </w:rPr>
        <w:t xml:space="preserve"> همین </w:t>
      </w:r>
      <w:r w:rsidR="006D0919">
        <w:rPr>
          <w:rFonts w:hint="cs"/>
          <w:rtl/>
        </w:rPr>
        <w:t>امر به أ</w:t>
      </w:r>
      <w:r w:rsidR="006D0919">
        <w:rPr>
          <w:rtl/>
        </w:rPr>
        <w:t>کل از</w:t>
      </w:r>
      <w:r w:rsidRPr="005B4411">
        <w:rPr>
          <w:rtl/>
        </w:rPr>
        <w:t xml:space="preserve"> حیث</w:t>
      </w:r>
      <w:r w:rsidR="006D0919">
        <w:rPr>
          <w:rFonts w:hint="cs"/>
          <w:rtl/>
        </w:rPr>
        <w:t>ی</w:t>
      </w:r>
      <w:r w:rsidRPr="005B4411">
        <w:rPr>
          <w:rtl/>
        </w:rPr>
        <w:t xml:space="preserve"> مثل اتلاف </w:t>
      </w:r>
      <w:r w:rsidR="006D0919">
        <w:rPr>
          <w:rFonts w:hint="cs"/>
          <w:rtl/>
        </w:rPr>
        <w:t>و ضمانی که به دنبال آن می آید، به آمر نیز استناد پیدا می کند،</w:t>
      </w:r>
      <w:r w:rsidRPr="005B4411">
        <w:rPr>
          <w:rtl/>
        </w:rPr>
        <w:t xml:space="preserve"> ولو از حیث سیر شدن</w:t>
      </w:r>
      <w:r w:rsidR="006D0919">
        <w:rPr>
          <w:rFonts w:hint="cs"/>
          <w:rtl/>
        </w:rPr>
        <w:t>، أکل</w:t>
      </w:r>
      <w:r w:rsidRPr="005B4411">
        <w:rPr>
          <w:rtl/>
        </w:rPr>
        <w:t xml:space="preserve"> به او انتساب ندارد.</w:t>
      </w:r>
    </w:p>
    <w:p w:rsidR="005B4411" w:rsidRPr="005B4411" w:rsidRDefault="005B4411" w:rsidP="006D0919">
      <w:pPr>
        <w:rPr>
          <w:rtl/>
        </w:rPr>
      </w:pPr>
      <w:r w:rsidRPr="005B4411">
        <w:rPr>
          <w:rtl/>
        </w:rPr>
        <w:t>بنابراین</w:t>
      </w:r>
      <w:r w:rsidR="006D0919">
        <w:rPr>
          <w:rFonts w:hint="cs"/>
          <w:rtl/>
        </w:rPr>
        <w:t>،</w:t>
      </w:r>
      <w:r w:rsidRPr="005B4411">
        <w:rPr>
          <w:rtl/>
        </w:rPr>
        <w:t xml:space="preserve"> در موردی که </w:t>
      </w:r>
      <w:r w:rsidR="006D0919">
        <w:rPr>
          <w:rFonts w:hint="cs"/>
          <w:rtl/>
        </w:rPr>
        <w:t>شخص به صبی دستور قتلِ غیر را می دهد و این صبی اقدام به این قتل می کند،</w:t>
      </w:r>
      <w:r w:rsidRPr="005B4411">
        <w:rPr>
          <w:rtl/>
        </w:rPr>
        <w:t xml:space="preserve"> هم </w:t>
      </w:r>
      <w:r w:rsidR="006D0919">
        <w:rPr>
          <w:rtl/>
        </w:rPr>
        <w:t>صبی قاتل است و هم آمر، منتهی در</w:t>
      </w:r>
      <w:r w:rsidRPr="005B4411">
        <w:rPr>
          <w:rtl/>
        </w:rPr>
        <w:t xml:space="preserve"> مواردی که این مأمور بالغ بود، دلیل </w:t>
      </w:r>
      <w:r w:rsidR="006D0919">
        <w:rPr>
          <w:rFonts w:hint="cs"/>
          <w:rtl/>
        </w:rPr>
        <w:t xml:space="preserve">(روایت زراره) </w:t>
      </w:r>
      <w:r w:rsidRPr="005B4411">
        <w:rPr>
          <w:rtl/>
        </w:rPr>
        <w:t>بر عدم قصاص آمر هست و قاعده تخصیص می خورد</w:t>
      </w:r>
      <w:r w:rsidR="006D0919">
        <w:rPr>
          <w:rFonts w:hint="cs"/>
          <w:rtl/>
        </w:rPr>
        <w:t>،</w:t>
      </w:r>
      <w:r w:rsidR="006D0919">
        <w:rPr>
          <w:rtl/>
        </w:rPr>
        <w:t xml:space="preserve"> ولی در این</w:t>
      </w:r>
      <w:r w:rsidRPr="005B4411">
        <w:rPr>
          <w:rtl/>
        </w:rPr>
        <w:t>جا که دلیل خاص</w:t>
      </w:r>
      <w:r w:rsidR="006D0919">
        <w:rPr>
          <w:rFonts w:hint="cs"/>
          <w:rtl/>
        </w:rPr>
        <w:t>ی وجود ندارد</w:t>
      </w:r>
      <w:r w:rsidRPr="005B4411">
        <w:rPr>
          <w:rtl/>
        </w:rPr>
        <w:t xml:space="preserve">، دلیلی بر تخصیص آمر نیست </w:t>
      </w:r>
      <w:r w:rsidR="006D0919">
        <w:rPr>
          <w:rFonts w:hint="cs"/>
          <w:rtl/>
        </w:rPr>
        <w:t xml:space="preserve">و لذا باید بر اساس قاعده، کسی را که قتل به او مستند می شود، قصاص نمود </w:t>
      </w:r>
      <w:r w:rsidRPr="005B4411">
        <w:rPr>
          <w:rtl/>
        </w:rPr>
        <w:t>و فقط در مورد صبی دلیل بر عدم قصاص هست.</w:t>
      </w:r>
    </w:p>
    <w:p w:rsidR="005B4411" w:rsidRPr="005B4411" w:rsidRDefault="005B4411" w:rsidP="005B4411">
      <w:pPr>
        <w:spacing w:line="240" w:lineRule="auto"/>
        <w:rPr>
          <w:rFonts w:ascii="IRNazanin" w:eastAsia="Times New Roman" w:hAnsi="IRNazanin" w:cs="IRNazanin"/>
          <w:color w:val="000000"/>
          <w:sz w:val="36"/>
          <w:szCs w:val="36"/>
          <w:rtl/>
        </w:rPr>
      </w:pPr>
      <w:r w:rsidRPr="005B4411">
        <w:rPr>
          <w:rFonts w:ascii="IRNazanin" w:eastAsia="Times New Roman" w:hAnsi="IRNazanin" w:cs="IRNazanin"/>
          <w:color w:val="000000"/>
          <w:sz w:val="36"/>
          <w:szCs w:val="36"/>
          <w:rtl/>
        </w:rPr>
        <w:t xml:space="preserve"> </w:t>
      </w:r>
    </w:p>
    <w:p w:rsidR="003E6650" w:rsidRPr="001A27D7" w:rsidRDefault="003E6650" w:rsidP="00824B22">
      <w:pPr>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D0D" w:rsidRDefault="00A24D0D" w:rsidP="008B750B">
      <w:pPr>
        <w:spacing w:line="240" w:lineRule="auto"/>
      </w:pPr>
      <w:r>
        <w:separator/>
      </w:r>
    </w:p>
  </w:endnote>
  <w:endnote w:type="continuationSeparator" w:id="0">
    <w:p w:rsidR="00A24D0D" w:rsidRDefault="00A24D0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B2"/>
    <w:family w:val="swiss"/>
    <w:notTrueType/>
    <w:pitch w:val="variable"/>
    <w:sig w:usb0="00002001" w:usb1="00000000" w:usb2="00000000" w:usb3="00000000" w:csb0="00000040" w:csb1="00000000"/>
  </w:font>
  <w:font w:name="IRNazanin">
    <w:panose1 w:val="02000506000000020002"/>
    <w:charset w:val="00"/>
    <w:family w:val="auto"/>
    <w:pitch w:val="variable"/>
    <w:sig w:usb0="21002A87" w:usb1="00000000" w:usb2="00000000"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52EBE" w:rsidRPr="00752EBE">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6C6930" w:rsidP="001B6799">
          <w:pPr>
            <w:pStyle w:val="Footer"/>
            <w:bidi w:val="0"/>
            <w:rPr>
              <w:color w:val="808080" w:themeColor="background1" w:themeShade="80"/>
              <w:rtl/>
            </w:rPr>
          </w:pPr>
          <w:bookmarkStart w:id="13" w:name="BokAdres"/>
          <w:bookmarkEnd w:id="13"/>
          <w:r>
            <w:rPr>
              <w:color w:val="808080" w:themeColor="background1" w:themeShade="80"/>
            </w:rPr>
            <w:t>F1mq1_13961003-048_ar1_mfeb.ir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D0D" w:rsidRDefault="00A24D0D" w:rsidP="008B750B">
      <w:pPr>
        <w:spacing w:line="240" w:lineRule="auto"/>
      </w:pPr>
      <w:r>
        <w:separator/>
      </w:r>
    </w:p>
  </w:footnote>
  <w:footnote w:type="continuationSeparator" w:id="0">
    <w:p w:rsidR="00A24D0D" w:rsidRDefault="00A24D0D" w:rsidP="008B750B">
      <w:pPr>
        <w:spacing w:line="240" w:lineRule="auto"/>
      </w:pPr>
      <w:r>
        <w:continuationSeparator/>
      </w:r>
    </w:p>
  </w:footnote>
  <w:footnote w:id="1">
    <w:p w:rsidR="00F44BAD" w:rsidRPr="00F44BAD" w:rsidRDefault="00F44BAD" w:rsidP="00F44BAD">
      <w:pPr>
        <w:pStyle w:val="FootnoteText"/>
        <w:rPr>
          <w:rFonts w:hint="cs"/>
          <w:rtl/>
        </w:rPr>
      </w:pPr>
      <w:r>
        <w:t>.</w:t>
      </w:r>
      <w:r w:rsidRPr="00F44BAD">
        <w:footnoteRef/>
      </w:r>
      <w:r w:rsidRPr="00F44BAD">
        <w:rPr>
          <w:rtl/>
        </w:rPr>
        <w:t xml:space="preserve"> </w:t>
      </w:r>
      <w:hyperlink r:id="rId1" w:history="1">
        <w:r w:rsidRPr="00F44BAD">
          <w:rPr>
            <w:rStyle w:val="Hyperlink"/>
            <w:rFonts w:hint="cs"/>
            <w:rtl/>
          </w:rPr>
          <w:t>وسائل</w:t>
        </w:r>
        <w:r w:rsidRPr="00F44BAD">
          <w:rPr>
            <w:rStyle w:val="Hyperlink"/>
            <w:rtl/>
          </w:rPr>
          <w:t xml:space="preserve"> </w:t>
        </w:r>
        <w:r w:rsidRPr="00F44BAD">
          <w:rPr>
            <w:rStyle w:val="Hyperlink"/>
            <w:rFonts w:hint="cs"/>
            <w:rtl/>
          </w:rPr>
          <w:t>الشیعة،</w:t>
        </w:r>
        <w:r w:rsidRPr="00F44BAD">
          <w:rPr>
            <w:rStyle w:val="Hyperlink"/>
            <w:rtl/>
          </w:rPr>
          <w:t xml:space="preserve"> </w:t>
        </w:r>
        <w:r w:rsidRPr="00F44BAD">
          <w:rPr>
            <w:rStyle w:val="Hyperlink"/>
            <w:rFonts w:hint="cs"/>
            <w:rtl/>
          </w:rPr>
          <w:t>الشیخ</w:t>
        </w:r>
        <w:r w:rsidRPr="00F44BAD">
          <w:rPr>
            <w:rStyle w:val="Hyperlink"/>
            <w:rtl/>
          </w:rPr>
          <w:t xml:space="preserve"> </w:t>
        </w:r>
        <w:r w:rsidRPr="00F44BAD">
          <w:rPr>
            <w:rStyle w:val="Hyperlink"/>
            <w:rFonts w:hint="cs"/>
            <w:rtl/>
          </w:rPr>
          <w:t>الحر</w:t>
        </w:r>
        <w:r w:rsidRPr="00F44BAD">
          <w:rPr>
            <w:rStyle w:val="Hyperlink"/>
            <w:rtl/>
          </w:rPr>
          <w:t xml:space="preserve"> </w:t>
        </w:r>
        <w:r w:rsidRPr="00F44BAD">
          <w:rPr>
            <w:rStyle w:val="Hyperlink"/>
            <w:rFonts w:hint="cs"/>
            <w:rtl/>
          </w:rPr>
          <w:t>العاملي،</w:t>
        </w:r>
        <w:r w:rsidRPr="00F44BAD">
          <w:rPr>
            <w:rStyle w:val="Hyperlink"/>
            <w:rtl/>
          </w:rPr>
          <w:t xml:space="preserve"> </w:t>
        </w:r>
        <w:r w:rsidRPr="00F44BAD">
          <w:rPr>
            <w:rStyle w:val="Hyperlink"/>
            <w:rFonts w:hint="cs"/>
            <w:rtl/>
          </w:rPr>
          <w:t>ج</w:t>
        </w:r>
        <w:r w:rsidRPr="00F44BAD">
          <w:rPr>
            <w:rStyle w:val="Hyperlink"/>
            <w:rtl/>
          </w:rPr>
          <w:t>1</w:t>
        </w:r>
        <w:r w:rsidRPr="00F44BAD">
          <w:rPr>
            <w:rStyle w:val="Hyperlink"/>
            <w:rFonts w:hint="cs"/>
            <w:rtl/>
          </w:rPr>
          <w:t>،</w:t>
        </w:r>
        <w:r w:rsidRPr="00F44BAD">
          <w:rPr>
            <w:rStyle w:val="Hyperlink"/>
            <w:rtl/>
          </w:rPr>
          <w:t xml:space="preserve"> </w:t>
        </w:r>
        <w:r w:rsidRPr="00F44BAD">
          <w:rPr>
            <w:rStyle w:val="Hyperlink"/>
            <w:rFonts w:hint="cs"/>
            <w:rtl/>
          </w:rPr>
          <w:t>ص</w:t>
        </w:r>
        <w:r w:rsidRPr="00F44BAD">
          <w:rPr>
            <w:rStyle w:val="Hyperlink"/>
            <w:rtl/>
          </w:rPr>
          <w:t>245</w:t>
        </w:r>
        <w:r w:rsidRPr="00F44BAD">
          <w:rPr>
            <w:rStyle w:val="Hyperlink"/>
            <w:rFonts w:hint="cs"/>
            <w:rtl/>
          </w:rPr>
          <w:t>،</w:t>
        </w:r>
        <w:r w:rsidRPr="00F44BAD">
          <w:rPr>
            <w:rStyle w:val="Hyperlink"/>
            <w:rtl/>
          </w:rPr>
          <w:t xml:space="preserve"> </w:t>
        </w:r>
        <w:r w:rsidRPr="00F44BAD">
          <w:rPr>
            <w:rStyle w:val="Hyperlink"/>
            <w:rFonts w:hint="cs"/>
            <w:rtl/>
          </w:rPr>
          <w:t>أبواب</w:t>
        </w:r>
        <w:r w:rsidRPr="00F44BAD">
          <w:rPr>
            <w:rStyle w:val="Hyperlink"/>
            <w:rtl/>
          </w:rPr>
          <w:t xml:space="preserve"> </w:t>
        </w:r>
        <w:r w:rsidRPr="00F44BAD">
          <w:rPr>
            <w:rStyle w:val="Hyperlink"/>
            <w:rFonts w:hint="cs"/>
            <w:rtl/>
          </w:rPr>
          <w:t>نواقض</w:t>
        </w:r>
        <w:r w:rsidRPr="00F44BAD">
          <w:rPr>
            <w:rStyle w:val="Hyperlink"/>
            <w:rtl/>
          </w:rPr>
          <w:t xml:space="preserve"> </w:t>
        </w:r>
        <w:r w:rsidRPr="00F44BAD">
          <w:rPr>
            <w:rStyle w:val="Hyperlink"/>
            <w:rFonts w:hint="cs"/>
            <w:rtl/>
          </w:rPr>
          <w:t>الوضو،</w:t>
        </w:r>
        <w:r w:rsidRPr="00F44BAD">
          <w:rPr>
            <w:rStyle w:val="Hyperlink"/>
            <w:rtl/>
          </w:rPr>
          <w:t xml:space="preserve"> </w:t>
        </w:r>
        <w:r w:rsidRPr="00F44BAD">
          <w:rPr>
            <w:rStyle w:val="Hyperlink"/>
            <w:rFonts w:hint="cs"/>
            <w:rtl/>
          </w:rPr>
          <w:t>باب</w:t>
        </w:r>
        <w:r w:rsidRPr="00F44BAD">
          <w:rPr>
            <w:rStyle w:val="Hyperlink"/>
            <w:rtl/>
          </w:rPr>
          <w:t>1</w:t>
        </w:r>
        <w:r w:rsidRPr="00F44BAD">
          <w:rPr>
            <w:rStyle w:val="Hyperlink"/>
            <w:rFonts w:hint="cs"/>
            <w:rtl/>
          </w:rPr>
          <w:t>،</w:t>
        </w:r>
        <w:r w:rsidRPr="00F44BAD">
          <w:rPr>
            <w:rStyle w:val="Hyperlink"/>
            <w:rtl/>
          </w:rPr>
          <w:t xml:space="preserve"> </w:t>
        </w:r>
        <w:r w:rsidRPr="00F44BAD">
          <w:rPr>
            <w:rStyle w:val="Hyperlink"/>
            <w:rFonts w:hint="cs"/>
            <w:rtl/>
          </w:rPr>
          <w:t>ح</w:t>
        </w:r>
        <w:r w:rsidRPr="00F44BAD">
          <w:rPr>
            <w:rStyle w:val="Hyperlink"/>
            <w:rtl/>
          </w:rPr>
          <w:t>1</w:t>
        </w:r>
        <w:r w:rsidRPr="00F44BAD">
          <w:rPr>
            <w:rStyle w:val="Hyperlink"/>
            <w:rFonts w:hint="cs"/>
            <w:rtl/>
          </w:rPr>
          <w:t>،</w:t>
        </w:r>
        <w:r w:rsidRPr="00F44BAD">
          <w:rPr>
            <w:rStyle w:val="Hyperlink"/>
            <w:rtl/>
          </w:rPr>
          <w:t xml:space="preserve"> </w:t>
        </w:r>
        <w:r w:rsidRPr="00F44BAD">
          <w:rPr>
            <w:rStyle w:val="Hyperlink"/>
            <w:rFonts w:hint="cs"/>
            <w:rtl/>
          </w:rPr>
          <w:t>ط</w:t>
        </w:r>
        <w:r w:rsidRPr="00F44BAD">
          <w:rPr>
            <w:rStyle w:val="Hyperlink"/>
            <w:rtl/>
          </w:rPr>
          <w:t xml:space="preserve"> </w:t>
        </w:r>
        <w:r w:rsidRPr="00F44BAD">
          <w:rPr>
            <w:rStyle w:val="Hyperlink"/>
            <w:rFonts w:hint="cs"/>
            <w:rtl/>
          </w:rPr>
          <w:t>آل</w:t>
        </w:r>
        <w:r w:rsidRPr="00F44BAD">
          <w:rPr>
            <w:rStyle w:val="Hyperlink"/>
            <w:rtl/>
          </w:rPr>
          <w:t xml:space="preserve"> </w:t>
        </w:r>
        <w:r w:rsidRPr="00F44BAD">
          <w:rPr>
            <w:rStyle w:val="Hyperlink"/>
            <w:rFonts w:hint="cs"/>
            <w:rtl/>
          </w:rPr>
          <w:t>البيت</w:t>
        </w:r>
        <w:r w:rsidRPr="00F44BAD">
          <w:rPr>
            <w:rStyle w:val="Hyperlink"/>
            <w:rtl/>
          </w:rPr>
          <w:t>.</w:t>
        </w:r>
      </w:hyperlink>
    </w:p>
  </w:footnote>
  <w:footnote w:id="2">
    <w:p w:rsidR="006D0919" w:rsidRDefault="006D0919">
      <w:pPr>
        <w:pStyle w:val="FootnoteText"/>
        <w:rPr>
          <w:rFonts w:hint="cs"/>
          <w:rtl/>
        </w:rPr>
      </w:pPr>
      <w:r>
        <w:rPr>
          <w:rStyle w:val="FootnoteReference"/>
        </w:rPr>
        <w:footnoteRef/>
      </w:r>
      <w:r>
        <w:rPr>
          <w:rtl/>
        </w:rPr>
        <w:t xml:space="preserve"> </w:t>
      </w:r>
      <w:r>
        <w:rPr>
          <w:rFonts w:hint="cs"/>
          <w:rtl/>
        </w:rPr>
        <w:t xml:space="preserve">. </w:t>
      </w:r>
      <w:r>
        <w:rPr>
          <w:rFonts w:hint="cs"/>
          <w:rtl/>
        </w:rPr>
        <w:t>البته با توجه به فرمایش حضرت استاد دام ظله مبنی بر این که مناسبات حکم و موضوع گاهی به توسعه و گاهی به تضییق است و به نحوی دارای ضابطه و قاعده می باشد، می توان این قواعد سه گانه را به چهار قاعده افزایش داد.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6" w:name="BokNum"/>
    <w:bookmarkEnd w:id="6"/>
    <w:r w:rsidR="006C6930">
      <w:rPr>
        <w:b/>
        <w:bCs/>
        <w:sz w:val="20"/>
        <w:szCs w:val="24"/>
        <w:rtl/>
      </w:rPr>
      <w:t>048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6C6930">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6C6930">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9" w:name="BokTarikh"/>
    <w:bookmarkEnd w:id="9"/>
    <w:r w:rsidR="006C6930">
      <w:rPr>
        <w:sz w:val="24"/>
        <w:szCs w:val="24"/>
        <w:rtl/>
      </w:rPr>
      <w:t>3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0" w:name="BokSabj"/>
    <w:bookmarkEnd w:id="10"/>
    <w:r w:rsidR="006C6930">
      <w:rPr>
        <w:rFonts w:hint="cs"/>
        <w:sz w:val="24"/>
        <w:szCs w:val="24"/>
        <w:rtl/>
      </w:rPr>
      <w:t>قتل</w:t>
    </w:r>
    <w:r w:rsidR="006C6930">
      <w:rPr>
        <w:sz w:val="24"/>
        <w:szCs w:val="24"/>
        <w:rtl/>
      </w:rPr>
      <w:t xml:space="preserve"> </w:t>
    </w:r>
    <w:r w:rsidR="006C6930">
      <w:rPr>
        <w:rFonts w:hint="cs"/>
        <w:sz w:val="24"/>
        <w:szCs w:val="24"/>
        <w:rtl/>
      </w:rPr>
      <w:t>عمد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1" w:name="Bokmoqarer"/>
    <w:bookmarkEnd w:id="11"/>
    <w:r w:rsidR="006C6930">
      <w:rPr>
        <w:rFonts w:hint="cs"/>
        <w:sz w:val="24"/>
        <w:szCs w:val="24"/>
        <w:rtl/>
      </w:rPr>
      <w:t>سید</w:t>
    </w:r>
    <w:r w:rsidR="006C6930">
      <w:rPr>
        <w:sz w:val="24"/>
        <w:szCs w:val="24"/>
        <w:rtl/>
      </w:rPr>
      <w:t xml:space="preserve"> </w:t>
    </w:r>
    <w:r w:rsidR="006C6930">
      <w:rPr>
        <w:rFonts w:hint="cs"/>
        <w:sz w:val="24"/>
        <w:szCs w:val="24"/>
        <w:rtl/>
      </w:rPr>
      <w:t>علی</w:t>
    </w:r>
    <w:r w:rsidR="006C6930">
      <w:rPr>
        <w:sz w:val="24"/>
        <w:szCs w:val="24"/>
        <w:rtl/>
      </w:rPr>
      <w:t xml:space="preserve"> </w:t>
    </w:r>
    <w:r w:rsidR="006C6930">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6C6930">
      <w:rPr>
        <w:rFonts w:hint="cs"/>
        <w:sz w:val="24"/>
        <w:szCs w:val="24"/>
        <w:rtl/>
      </w:rPr>
      <w:t>قتل</w:t>
    </w:r>
    <w:r w:rsidR="006C6930">
      <w:rPr>
        <w:sz w:val="24"/>
        <w:szCs w:val="24"/>
        <w:rtl/>
      </w:rPr>
      <w:t xml:space="preserve"> </w:t>
    </w:r>
    <w:r w:rsidR="006C6930">
      <w:rPr>
        <w:rFonts w:hint="cs"/>
        <w:sz w:val="24"/>
        <w:szCs w:val="24"/>
        <w:rtl/>
      </w:rPr>
      <w:t>به</w:t>
    </w:r>
    <w:r w:rsidR="006C6930">
      <w:rPr>
        <w:sz w:val="24"/>
        <w:szCs w:val="24"/>
        <w:rtl/>
      </w:rPr>
      <w:t xml:space="preserve"> </w:t>
    </w:r>
    <w:r w:rsidR="006C6930">
      <w:rPr>
        <w:rFonts w:hint="cs"/>
        <w:sz w:val="24"/>
        <w:szCs w:val="24"/>
        <w:rtl/>
      </w:rPr>
      <w:t>تسبیب</w:t>
    </w:r>
    <w:r w:rsidR="006C6930">
      <w:rPr>
        <w:sz w:val="24"/>
        <w:szCs w:val="24"/>
        <w:rtl/>
      </w:rPr>
      <w:t>/</w:t>
    </w:r>
    <w:r w:rsidR="006C6930">
      <w:rPr>
        <w:rFonts w:hint="cs"/>
        <w:sz w:val="24"/>
        <w:szCs w:val="24"/>
        <w:rtl/>
      </w:rPr>
      <w:t>مراتب</w:t>
    </w:r>
    <w:r w:rsidR="006C6930">
      <w:rPr>
        <w:sz w:val="24"/>
        <w:szCs w:val="24"/>
        <w:rtl/>
      </w:rPr>
      <w:t xml:space="preserve"> </w:t>
    </w:r>
    <w:r w:rsidR="006C6930">
      <w:rPr>
        <w:rFonts w:hint="cs"/>
        <w:sz w:val="24"/>
        <w:szCs w:val="24"/>
        <w:rtl/>
      </w:rPr>
      <w:t>تسبیب</w:t>
    </w:r>
    <w:r w:rsidR="006C6930">
      <w:rPr>
        <w:sz w:val="24"/>
        <w:szCs w:val="24"/>
        <w:rtl/>
      </w:rPr>
      <w:t>/</w:t>
    </w:r>
    <w:r w:rsidR="006C6930">
      <w:rPr>
        <w:rFonts w:hint="cs"/>
        <w:sz w:val="24"/>
        <w:szCs w:val="24"/>
        <w:rtl/>
      </w:rPr>
      <w:t>مرتبه</w:t>
    </w:r>
    <w:r w:rsidR="006C6930">
      <w:rPr>
        <w:sz w:val="24"/>
        <w:szCs w:val="24"/>
        <w:rtl/>
      </w:rPr>
      <w:t xml:space="preserve"> </w:t>
    </w:r>
    <w:r w:rsidR="006C6930">
      <w:rPr>
        <w:rFonts w:hint="cs"/>
        <w:sz w:val="24"/>
        <w:szCs w:val="24"/>
        <w:rtl/>
      </w:rPr>
      <w:t>چهارم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1EAD"/>
    <w:rsid w:val="00307311"/>
    <w:rsid w:val="0032100F"/>
    <w:rsid w:val="0033402C"/>
    <w:rsid w:val="00340521"/>
    <w:rsid w:val="003444DD"/>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B4411"/>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C6930"/>
    <w:rsid w:val="006D0919"/>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2EBE"/>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4D0D"/>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44BAD"/>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15172744">
      <w:bodyDiv w:val="1"/>
      <w:marLeft w:val="0"/>
      <w:marRight w:val="0"/>
      <w:marTop w:val="0"/>
      <w:marBottom w:val="0"/>
      <w:divBdr>
        <w:top w:val="none" w:sz="0" w:space="0" w:color="auto"/>
        <w:left w:val="none" w:sz="0" w:space="0" w:color="auto"/>
        <w:bottom w:val="none" w:sz="0" w:space="0" w:color="auto"/>
        <w:right w:val="none" w:sz="0" w:space="0" w:color="auto"/>
      </w:divBdr>
      <w:divsChild>
        <w:div w:id="1242907084">
          <w:marLeft w:val="0"/>
          <w:marRight w:val="0"/>
          <w:marTop w:val="0"/>
          <w:marBottom w:val="0"/>
          <w:divBdr>
            <w:top w:val="none" w:sz="0" w:space="0" w:color="auto"/>
            <w:left w:val="none" w:sz="0" w:space="0" w:color="auto"/>
            <w:bottom w:val="none" w:sz="0" w:space="0" w:color="auto"/>
            <w:right w:val="none" w:sz="0" w:space="0" w:color="auto"/>
          </w:divBdr>
          <w:divsChild>
            <w:div w:id="1382442657">
              <w:marLeft w:val="0"/>
              <w:marRight w:val="0"/>
              <w:marTop w:val="0"/>
              <w:marBottom w:val="0"/>
              <w:divBdr>
                <w:top w:val="none" w:sz="0" w:space="0" w:color="auto"/>
                <w:left w:val="none" w:sz="0" w:space="0" w:color="auto"/>
                <w:bottom w:val="none" w:sz="0" w:space="0" w:color="auto"/>
                <w:right w:val="none" w:sz="0" w:space="0" w:color="auto"/>
              </w:divBdr>
              <w:divsChild>
                <w:div w:id="1845970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5/1/24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724F8-AEC9-45FA-B567-2CF05C3AB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54</TotalTime>
  <Pages>3</Pages>
  <Words>626</Words>
  <Characters>3574</Characters>
  <Application>Microsoft Office Word</Application>
  <DocSecurity>0</DocSecurity>
  <Lines>29</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4192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4</cp:revision>
  <dcterms:created xsi:type="dcterms:W3CDTF">2017-12-25T12:33:00Z</dcterms:created>
  <dcterms:modified xsi:type="dcterms:W3CDTF">2017-12-25T13:24:00Z</dcterms:modified>
  <cp:contentStatus>ویرایش 2.5</cp:contentStatus>
  <cp:version>2.3</cp:version>
</cp:coreProperties>
</file>