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50863" w:rsidRDefault="00150863" w:rsidP="00150863">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286710" w:history="1">
        <w:r w:rsidRPr="003F4581">
          <w:rPr>
            <w:rStyle w:val="Hyperlink"/>
            <w:rFonts w:hint="eastAsia"/>
            <w:noProof/>
            <w:rtl/>
          </w:rPr>
          <w:t>عدم</w:t>
        </w:r>
        <w:r w:rsidRPr="003F4581">
          <w:rPr>
            <w:rStyle w:val="Hyperlink"/>
            <w:noProof/>
            <w:rtl/>
          </w:rPr>
          <w:t xml:space="preserve"> </w:t>
        </w:r>
        <w:r w:rsidRPr="003F4581">
          <w:rPr>
            <w:rStyle w:val="Hyperlink"/>
            <w:rFonts w:hint="eastAsia"/>
            <w:noProof/>
            <w:rtl/>
          </w:rPr>
          <w:t>وجود</w:t>
        </w:r>
        <w:r w:rsidRPr="003F4581">
          <w:rPr>
            <w:rStyle w:val="Hyperlink"/>
            <w:noProof/>
            <w:rtl/>
          </w:rPr>
          <w:t xml:space="preserve"> </w:t>
        </w:r>
        <w:r w:rsidRPr="003F4581">
          <w:rPr>
            <w:rStyle w:val="Hyperlink"/>
            <w:rFonts w:hint="eastAsia"/>
            <w:noProof/>
            <w:rtl/>
          </w:rPr>
          <w:t>اجماع</w:t>
        </w:r>
        <w:r w:rsidRPr="003F4581">
          <w:rPr>
            <w:rStyle w:val="Hyperlink"/>
            <w:noProof/>
            <w:rtl/>
          </w:rPr>
          <w:t xml:space="preserve"> </w:t>
        </w:r>
        <w:r w:rsidRPr="003F4581">
          <w:rPr>
            <w:rStyle w:val="Hyperlink"/>
            <w:rFonts w:hint="eastAsia"/>
            <w:noProof/>
            <w:rtl/>
          </w:rPr>
          <w:t>و</w:t>
        </w:r>
        <w:r w:rsidRPr="003F4581">
          <w:rPr>
            <w:rStyle w:val="Hyperlink"/>
            <w:noProof/>
            <w:rtl/>
          </w:rPr>
          <w:t xml:space="preserve"> </w:t>
        </w:r>
        <w:r w:rsidRPr="003F4581">
          <w:rPr>
            <w:rStyle w:val="Hyperlink"/>
            <w:rFonts w:hint="eastAsia"/>
            <w:noProof/>
            <w:rtl/>
          </w:rPr>
          <w:t>شهرت</w:t>
        </w:r>
        <w:r w:rsidRPr="003F4581">
          <w:rPr>
            <w:rStyle w:val="Hyperlink"/>
            <w:noProof/>
            <w:rtl/>
          </w:rPr>
          <w:t xml:space="preserve"> </w:t>
        </w:r>
        <w:r w:rsidRPr="003F4581">
          <w:rPr>
            <w:rStyle w:val="Hyperlink"/>
            <w:rFonts w:hint="eastAsia"/>
            <w:noProof/>
            <w:rtl/>
          </w:rPr>
          <w:t>واقع</w:t>
        </w:r>
        <w:r w:rsidRPr="003F4581">
          <w:rPr>
            <w:rStyle w:val="Hyperlink"/>
            <w:rFonts w:hint="cs"/>
            <w:noProof/>
            <w:rtl/>
          </w:rPr>
          <w:t>ی</w:t>
        </w:r>
        <w:r w:rsidRPr="003F4581">
          <w:rPr>
            <w:rStyle w:val="Hyperlink"/>
            <w:noProof/>
            <w:rtl/>
          </w:rPr>
          <w:t xml:space="preserve"> </w:t>
        </w:r>
        <w:r w:rsidRPr="003F4581">
          <w:rPr>
            <w:rStyle w:val="Hyperlink"/>
            <w:rFonts w:hint="eastAsia"/>
            <w:noProof/>
            <w:rtl/>
          </w:rPr>
          <w:t>در</w:t>
        </w:r>
        <w:r w:rsidRPr="003F4581">
          <w:rPr>
            <w:rStyle w:val="Hyperlink"/>
            <w:noProof/>
            <w:rtl/>
          </w:rPr>
          <w:t xml:space="preserve"> </w:t>
        </w:r>
        <w:r w:rsidRPr="003F4581">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Toc499286710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C91EB6" w:rsidRPr="00C91EB6" w:rsidRDefault="00150863" w:rsidP="00C91EB6">
      <w:r>
        <w:fldChar w:fldCharType="end"/>
      </w:r>
    </w:p>
    <w:p w:rsidR="00F343FB" w:rsidRPr="00A6366F" w:rsidRDefault="00F842AD" w:rsidP="00150863">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25B70">
        <w:rPr>
          <w:rFonts w:hint="cs"/>
          <w:rtl/>
        </w:rPr>
        <w:t xml:space="preserve"> </w:t>
      </w:r>
      <w:r w:rsidR="00150863">
        <w:rPr>
          <w:rFonts w:hint="cs"/>
          <w:rtl/>
        </w:rPr>
        <w:t>عدم وجود اجماع و شهرت</w:t>
      </w:r>
      <w:r w:rsidR="00150863" w:rsidRPr="00A6366F">
        <w:rPr>
          <w:rFonts w:hint="cs"/>
          <w:rtl/>
        </w:rPr>
        <w:t xml:space="preserve"> </w:t>
      </w:r>
      <w:r w:rsidR="00386C11" w:rsidRPr="00A6366F">
        <w:rPr>
          <w:rFonts w:hint="cs"/>
          <w:rtl/>
        </w:rPr>
        <w:t>/</w:t>
      </w:r>
      <w:bookmarkStart w:id="1" w:name="BokSabj_d"/>
      <w:bookmarkEnd w:id="1"/>
      <w:r w:rsidR="00150863">
        <w:rPr>
          <w:rFonts w:hint="cs"/>
          <w:rtl/>
        </w:rPr>
        <w:t>معنای عمد و خطا</w:t>
      </w:r>
      <w:r w:rsidR="00386C11" w:rsidRPr="00A6366F">
        <w:rPr>
          <w:rFonts w:hint="cs"/>
          <w:rtl/>
        </w:rPr>
        <w:t xml:space="preserve"> /</w:t>
      </w:r>
      <w:bookmarkStart w:id="2" w:name="Bokkolli"/>
      <w:bookmarkEnd w:id="2"/>
      <w:r w:rsidR="0079792F">
        <w:rPr>
          <w:rFonts w:hint="cs"/>
          <w:rtl/>
        </w:rPr>
        <w:t>کتاب</w:t>
      </w:r>
      <w:r w:rsidR="0079792F">
        <w:rPr>
          <w:rtl/>
        </w:rPr>
        <w:t xml:space="preserve"> </w:t>
      </w:r>
      <w:r w:rsidR="0079792F">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47D2F" w:rsidRPr="003A6148" w:rsidRDefault="00E751DF" w:rsidP="003A6148">
      <w:pPr>
        <w:pBdr>
          <w:bottom w:val="double" w:sz="6" w:space="1" w:color="auto"/>
        </w:pBdr>
      </w:pPr>
      <w:r>
        <w:rPr>
          <w:rFonts w:hint="cs"/>
          <w:rtl/>
        </w:rPr>
        <w:t>بحث در ملاک عمد و خطا در قتل بود و بیان شد که ضابطه و ملاک مشهور و معروف بین علما چیست.</w:t>
      </w:r>
    </w:p>
    <w:p w:rsidR="008F5B4D" w:rsidRDefault="008F5B4D" w:rsidP="003A6148"/>
    <w:p w:rsidR="00E751DF" w:rsidRDefault="00E751DF" w:rsidP="00E751DF">
      <w:pPr>
        <w:rPr>
          <w:rtl/>
        </w:rPr>
      </w:pPr>
      <w:r w:rsidRPr="00E751DF">
        <w:rPr>
          <w:rtl/>
        </w:rPr>
        <w:t>در صورتی که داعی و قصد به قتل نباشد و آلت هم غالبا قتاله نباشد از دید مشهور و معروف قتل عمد محسوب نخواهد شد ولی حق این است که به لحاظ قاعده اولیه و مقتضای عرف و لغت، عمد نه متقوم به قصد به معنای عزم بر قتل است و نه غلبه قتال بودن آلت برای صدق این مفهوم مهم است، اگر شخص مباشرت کند بر فعلی که معرضیت دارد برای قتل الغیر این فعل قتل عمد حساب می شود.</w:t>
      </w:r>
    </w:p>
    <w:p w:rsidR="00E751DF" w:rsidRPr="00E751DF" w:rsidRDefault="00E751DF" w:rsidP="00E751DF">
      <w:pPr>
        <w:pStyle w:val="Heading2"/>
      </w:pPr>
      <w:bookmarkStart w:id="3" w:name="_Toc499286710"/>
      <w:r>
        <w:rPr>
          <w:rFonts w:hint="cs"/>
          <w:rtl/>
        </w:rPr>
        <w:t>عدم وجود اجماع و شهرت واقعی در مقام</w:t>
      </w:r>
      <w:bookmarkEnd w:id="3"/>
      <w:r>
        <w:rPr>
          <w:rFonts w:hint="cs"/>
          <w:rtl/>
        </w:rPr>
        <w:t xml:space="preserve"> </w:t>
      </w:r>
    </w:p>
    <w:p w:rsidR="00E751DF" w:rsidRPr="00E751DF" w:rsidRDefault="00E751DF" w:rsidP="00E751DF">
      <w:pPr>
        <w:rPr>
          <w:rtl/>
        </w:rPr>
      </w:pPr>
      <w:r w:rsidRPr="00E751DF">
        <w:rPr>
          <w:rtl/>
        </w:rPr>
        <w:t>در این مسئله ادعای اجماع هم شده است ولی حق این است که چنین اجماعی وجود ندارد مضافا به این که اگر هم بود اعتباری نداشت.</w:t>
      </w:r>
    </w:p>
    <w:p w:rsidR="00E751DF" w:rsidRPr="00E751DF" w:rsidRDefault="00E751DF" w:rsidP="00E751DF">
      <w:pPr>
        <w:rPr>
          <w:rtl/>
        </w:rPr>
      </w:pPr>
      <w:r w:rsidRPr="00E751DF">
        <w:rPr>
          <w:rtl/>
        </w:rPr>
        <w:t>در برخی عبارات عنوان الاشهر که در قبالش مشهور است وجود دارد.</w:t>
      </w:r>
    </w:p>
    <w:p w:rsidR="00E751DF" w:rsidRDefault="00E751DF" w:rsidP="00E751DF">
      <w:pPr>
        <w:rPr>
          <w:rtl/>
        </w:rPr>
      </w:pPr>
      <w:r w:rsidRPr="00E751DF">
        <w:rPr>
          <w:rtl/>
        </w:rPr>
        <w:t>مرحو م خوانساری در جامع المدارک؛ «</w:t>
      </w:r>
      <w:r w:rsidRPr="00E751DF">
        <w:rPr>
          <w:rStyle w:val="a3"/>
          <w:rtl/>
        </w:rPr>
        <w:t>و لا يخفى أنّ التقييد بإرادة القتل يوجب عدم تحقّق العمد و لو كان الإله غالبا يوجب القتل، و لعلّ العرف يساعد تحقّق العمد بدون القصد أيضا بمجرّد كون الفعل معرضا لتحقّق القتل به و إن لم يقصد كما قيل لو لاعب الرّجل حليلته بنحو صار موجبا لخروج المني في نهار رمضان مع عدم القصد، فيقال مجرّد معرضيّة الملاعبة لخروجه يكفي في تحقّق المفطر عن عمد و لازم هذا في المقام كفاية المعرضيّة و لو لم يكن الفعل غالبا موجبا للقتل، و إثبات الموضوع أو نفيه بخبر الواحد مشكل فمع صدق التعمّد بنظر العرف كيف يرفع اليد.»</w:t>
      </w:r>
      <w:r>
        <w:rPr>
          <w:rStyle w:val="FootnoteReference"/>
          <w:rtl/>
        </w:rPr>
        <w:footnoteReference w:id="1"/>
      </w:r>
    </w:p>
    <w:p w:rsidR="00E751DF" w:rsidRPr="00E751DF" w:rsidRDefault="00E751DF" w:rsidP="00E751DF">
      <w:pPr>
        <w:rPr>
          <w:rtl/>
        </w:rPr>
      </w:pPr>
      <w:r w:rsidRPr="00E751DF">
        <w:rPr>
          <w:rtl/>
        </w:rPr>
        <w:t>بر اساس کلام ایشان ملاک عمد معرضیت قتل است نه قصد خاص نسبت به قتل.</w:t>
      </w:r>
    </w:p>
    <w:p w:rsidR="00E751DF" w:rsidRPr="00E751DF" w:rsidRDefault="00E751DF" w:rsidP="00E751DF">
      <w:pPr>
        <w:rPr>
          <w:rtl/>
        </w:rPr>
      </w:pPr>
      <w:r w:rsidRPr="00E751DF">
        <w:rPr>
          <w:rtl/>
        </w:rPr>
        <w:t>عباراتی هم برای نفی اجماع در مقام بیان می شود.</w:t>
      </w:r>
    </w:p>
    <w:p w:rsidR="00E751DF" w:rsidRPr="00E751DF" w:rsidRDefault="00E751DF" w:rsidP="00E751DF">
      <w:pPr>
        <w:rPr>
          <w:rStyle w:val="a3"/>
          <w:rtl/>
        </w:rPr>
      </w:pPr>
      <w:r w:rsidRPr="00E751DF">
        <w:rPr>
          <w:rtl/>
        </w:rPr>
        <w:lastRenderedPageBreak/>
        <w:t xml:space="preserve">ملاذ مرحوم مجلسی : </w:t>
      </w:r>
      <w:r w:rsidRPr="00E751DF">
        <w:rPr>
          <w:rStyle w:val="a3"/>
          <w:rtl/>
        </w:rPr>
        <w:t>«و اعلم أن الأصحاب اختلفوا في شيئين: الأول ما إذا قصد القتل بما يقتل نادرا بل بما يحتمل الأمرين، فقيل: إنه عمد أيضا. و الثاني: ما إذا كان الفعل مما لا يحصل به القتل غالبا و لا قصد القتل به، و لكن قصد الفعل فاتفق القتل، كالضرب بالحصاة و العود الخفيف، ففي إلحاقه بالعمد في وجوب القود قولان، أشهرهما: العدم، و ذهب الشيخ في المبسوط إلى وجوب القود، و ظاهر الخبر وجوب القود في الصورتين.</w:t>
      </w:r>
    </w:p>
    <w:p w:rsidR="00E751DF" w:rsidRPr="00E751DF" w:rsidRDefault="00E751DF" w:rsidP="00E751DF">
      <w:pPr>
        <w:spacing w:line="240" w:lineRule="auto"/>
        <w:rPr>
          <w:rStyle w:val="a3"/>
          <w:rtl/>
        </w:rPr>
      </w:pPr>
      <w:r w:rsidRPr="00E751DF">
        <w:rPr>
          <w:rStyle w:val="a3"/>
          <w:rtl/>
        </w:rPr>
        <w:t>و يمكن حمله على أن المراد بالعمد هنا مقابل الخطإ المحض ليشمل شبيه العمد لعدم التصريح فيه بالقود. أو على أن المراد به أن يقصد أثرا معينا، فيحصل ذلك الأثر بعينه، فإذا قصد القتل و حصل يدخل فيه، فيدل على القود في الأول دون الثاني.»</w:t>
      </w:r>
      <w:r>
        <w:rPr>
          <w:rStyle w:val="FootnoteReference"/>
          <w:rFonts w:ascii="IRNazanin" w:eastAsia="Times New Roman" w:hAnsi="IRNazanin" w:cs="IRNazanin"/>
          <w:color w:val="000000"/>
          <w:sz w:val="36"/>
          <w:szCs w:val="36"/>
          <w:rtl/>
        </w:rPr>
        <w:footnoteReference w:id="2"/>
      </w:r>
      <w:r w:rsidRPr="00E751DF">
        <w:rPr>
          <w:rFonts w:ascii="IRNazanin" w:eastAsia="Times New Roman" w:hAnsi="IRNazanin" w:cs="IRNazanin"/>
          <w:color w:val="000000"/>
          <w:sz w:val="36"/>
          <w:szCs w:val="36"/>
          <w:rtl/>
        </w:rPr>
        <w:t xml:space="preserve"> </w:t>
      </w:r>
      <w:r w:rsidRPr="00E751DF">
        <w:rPr>
          <w:rtl/>
        </w:rPr>
        <w:t>کشف اللثام</w:t>
      </w:r>
      <w:r w:rsidRPr="00E751DF">
        <w:rPr>
          <w:rFonts w:hint="cs"/>
          <w:rtl/>
        </w:rPr>
        <w:t xml:space="preserve"> مرحوم فاضل هندی ره</w:t>
      </w:r>
      <w:r w:rsidRPr="00E751DF">
        <w:rPr>
          <w:rtl/>
        </w:rPr>
        <w:t>:</w:t>
      </w:r>
      <w:r w:rsidRPr="00E751DF">
        <w:rPr>
          <w:rFonts w:ascii="IRNazanin" w:eastAsia="Times New Roman" w:hAnsi="IRNazanin" w:cs="IRNazanin"/>
          <w:color w:val="000000"/>
          <w:sz w:val="36"/>
          <w:szCs w:val="36"/>
          <w:rtl/>
        </w:rPr>
        <w:t xml:space="preserve"> </w:t>
      </w:r>
      <w:r w:rsidRPr="00E751DF">
        <w:rPr>
          <w:rStyle w:val="a3"/>
          <w:rtl/>
        </w:rPr>
        <w:t>«أمّا لو قصد إلى الفعل الّذي يحصل به الموت و ليس قاتلًا في الغالب و لا قصد به القتل كما لو ضربه بحصاة أو عود خفيف فاتّفق القتل فالأقرب أنّه ليس بعمد و إن أوجب الدية في ماله لكونه شبيه العمد، لأنّه لم يقصد القتل و لا ما يتسبّب له عادة فيحتمل اتّفاق الموت معه من دون تسبّبه عنه، و لخبري أبي العبّاس و يونس المتقدّمين، و قول الصادق عليه السلام في خبر زرارة و أبي العبّاس: إنّ العمد أن يتعمّده فيقتله بما يقتل مثله، و الخطأ أن يتعمّده و لا يريد قتله فقتله بما لا يقتل مثله. و للاحتياط.</w:t>
      </w:r>
    </w:p>
    <w:p w:rsidR="00E751DF" w:rsidRPr="00E751DF" w:rsidRDefault="00E751DF" w:rsidP="00E751DF">
      <w:pPr>
        <w:spacing w:line="240" w:lineRule="auto"/>
        <w:rPr>
          <w:rFonts w:ascii="IRNazanin" w:eastAsia="Times New Roman" w:hAnsi="IRNazanin" w:cs="IRNazanin"/>
          <w:color w:val="000000"/>
          <w:sz w:val="36"/>
          <w:szCs w:val="36"/>
          <w:rtl/>
        </w:rPr>
      </w:pPr>
      <w:r w:rsidRPr="00E751DF">
        <w:rPr>
          <w:rStyle w:val="a3"/>
          <w:rtl/>
        </w:rPr>
        <w:t>و يحتمل على ضعف كونه عمداً، لأنّه قصد فعلًا تسبّب للقتل و إن لم يقصد القتل و لا كان ما قصده ممّا يقتل غالباً و عليه منع التسبّب، و لما تقدّم من أخبار الحلبي و أبي بصير و جميل</w:t>
      </w:r>
      <w:r>
        <w:rPr>
          <w:rStyle w:val="a3"/>
          <w:rFonts w:hint="cs"/>
          <w:rtl/>
        </w:rPr>
        <w:t xml:space="preserve"> </w:t>
      </w:r>
      <w:r w:rsidRPr="00E751DF">
        <w:rPr>
          <w:rStyle w:val="a3"/>
          <w:rtl/>
        </w:rPr>
        <w:t>و هو خيرة المبسوط في الأشياء المحدّدة.»</w:t>
      </w:r>
      <w:r>
        <w:rPr>
          <w:rStyle w:val="FootnoteReference"/>
          <w:rFonts w:ascii="IRNazanin" w:eastAsia="Times New Roman" w:hAnsi="IRNazanin" w:cs="IRNazanin"/>
          <w:color w:val="000000"/>
          <w:sz w:val="36"/>
          <w:szCs w:val="36"/>
          <w:rtl/>
        </w:rPr>
        <w:footnoteReference w:id="3"/>
      </w:r>
    </w:p>
    <w:p w:rsidR="00E751DF" w:rsidRPr="00E751DF" w:rsidRDefault="00E751DF" w:rsidP="00E751DF">
      <w:pPr>
        <w:rPr>
          <w:rStyle w:val="a3"/>
          <w:rtl/>
        </w:rPr>
      </w:pPr>
      <w:r>
        <w:rPr>
          <w:rtl/>
        </w:rPr>
        <w:t>عبارت مرحوم سید در ریاض</w:t>
      </w:r>
      <w:r w:rsidRPr="00E751DF">
        <w:rPr>
          <w:rtl/>
        </w:rPr>
        <w:t xml:space="preserve">: </w:t>
      </w:r>
      <w:r w:rsidRPr="00E751DF">
        <w:rPr>
          <w:rStyle w:val="a3"/>
          <w:rFonts w:hint="cs"/>
          <w:rtl/>
        </w:rPr>
        <w:t>«</w:t>
      </w:r>
      <w:r w:rsidRPr="00E751DF">
        <w:rPr>
          <w:rStyle w:val="a3"/>
          <w:rtl/>
        </w:rPr>
        <w:t>و لو قتل بما لا يقتل غالباً و لم يقصد القتل به، بل قصد الفعل خاصّة فاتفق قتله به ف‍ الأظهر الأشهر كما هنا و في المسالك أنّه خطأ شبيه عمد، و عليه عامّة من تأخّر، حتى الشهيد في اللمعة، بل عليه الإجماع في الغنية، و هو الحجّة.</w:t>
      </w:r>
    </w:p>
    <w:p w:rsidR="00E751DF" w:rsidRPr="00E751DF" w:rsidRDefault="00E751DF" w:rsidP="00E751DF">
      <w:pPr>
        <w:spacing w:line="240" w:lineRule="auto"/>
        <w:rPr>
          <w:rStyle w:val="a3"/>
          <w:rtl/>
        </w:rPr>
      </w:pPr>
      <w:r w:rsidRPr="00E751DF">
        <w:rPr>
          <w:rStyle w:val="a3"/>
          <w:rtl/>
        </w:rPr>
        <w:t>مضافاً إلى الأدلّة المتقدّمة سنداً للقول الثاني في المسألة السابقة، و منها أخبارها المنجبرة هنا بالشهرة العظيمة، و حكاية الإجماع المزبورة، مع وضوح الدلالة من غير جهة الإطلاق، و هو ظهورها في صورة عدم القصد إلى القتل بمقتضى ما عرفت من كونها الغالب من أفراد إطلاقها، و بموجب ذلك تترجّح على المعتبرة المقابلة لها في الصورة السابقة، الشاملة بإطلاقها أو عمومها لمفروضنا هنا، فتقيد أو تخصّص بها.</w:t>
      </w:r>
    </w:p>
    <w:p w:rsidR="00E751DF" w:rsidRPr="00E751DF" w:rsidRDefault="00E751DF" w:rsidP="00150863">
      <w:pPr>
        <w:spacing w:line="240" w:lineRule="auto"/>
        <w:rPr>
          <w:rFonts w:ascii="IRNazanin" w:eastAsia="Times New Roman" w:hAnsi="IRNazanin" w:cs="IRNazanin"/>
          <w:color w:val="000000"/>
          <w:sz w:val="36"/>
          <w:szCs w:val="36"/>
          <w:rtl/>
        </w:rPr>
      </w:pPr>
      <w:r w:rsidRPr="00E751DF">
        <w:rPr>
          <w:rStyle w:val="a3"/>
          <w:rtl/>
        </w:rPr>
        <w:t>خلافاً للمحكي عن المبسوط، فعمد كالسابق، إمّا مطلقا، كما حكاه عنه جماعة، أو في الأشياء المحدّدة خاصّة، كما حكاه عنه بعض الأجلة.</w:t>
      </w:r>
      <w:r w:rsidRPr="00E751DF">
        <w:rPr>
          <w:rStyle w:val="a3"/>
          <w:rFonts w:hint="cs"/>
          <w:rtl/>
        </w:rPr>
        <w:t>»</w:t>
      </w:r>
      <w:r w:rsidR="00150863">
        <w:rPr>
          <w:rStyle w:val="FootnoteReference"/>
          <w:b/>
          <w:bCs/>
          <w:color w:val="000080"/>
          <w:sz w:val="20"/>
          <w:rtl/>
        </w:rPr>
        <w:footnoteReference w:id="4"/>
      </w:r>
    </w:p>
    <w:p w:rsidR="00E751DF" w:rsidRPr="00E751DF" w:rsidRDefault="00E751DF" w:rsidP="00E751DF">
      <w:pPr>
        <w:rPr>
          <w:rtl/>
        </w:rPr>
      </w:pPr>
      <w:r w:rsidRPr="00E751DF">
        <w:rPr>
          <w:rtl/>
        </w:rPr>
        <w:lastRenderedPageBreak/>
        <w:t>روایت معتبره ابی العباس نهایت چیزی است که می توان برای اعتبار قید غلبه به آن تمسک نمود، در حالی که حق این است که بما یقتل مثله دال بر غلبه نیست،</w:t>
      </w:r>
      <w:r>
        <w:rPr>
          <w:rFonts w:hint="cs"/>
          <w:rtl/>
        </w:rPr>
        <w:t xml:space="preserve"> </w:t>
      </w:r>
      <w:r w:rsidRPr="00E751DF">
        <w:rPr>
          <w:rtl/>
        </w:rPr>
        <w:t>کما این که ماکولاتی که عده ای از مردم در منطقه ای آن را ماکول می دانند را در فقه قابل سجده نمی دانند.</w:t>
      </w:r>
    </w:p>
    <w:p w:rsidR="003E6650" w:rsidRPr="001A27D7" w:rsidRDefault="003E6650" w:rsidP="00824B22">
      <w:pPr>
        <w:rPr>
          <w:rtl/>
        </w:rPr>
      </w:pPr>
    </w:p>
    <w:p w:rsidR="001A1EA5" w:rsidRPr="006162A2" w:rsidRDefault="001A1EA5" w:rsidP="006162A2">
      <w:pPr>
        <w:rPr>
          <w:rtl/>
        </w:rPr>
      </w:pPr>
      <w:bookmarkStart w:id="4" w:name="_GoBack"/>
      <w:bookmarkEnd w:id="4"/>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6605" w:rsidRDefault="001E6605" w:rsidP="008B750B">
      <w:pPr>
        <w:spacing w:line="240" w:lineRule="auto"/>
      </w:pPr>
      <w:r>
        <w:separator/>
      </w:r>
    </w:p>
  </w:endnote>
  <w:endnote w:type="continuationSeparator" w:id="0">
    <w:p w:rsidR="001E6605" w:rsidRDefault="001E660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50863" w:rsidRPr="00150863">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79792F" w:rsidP="001B6799">
          <w:pPr>
            <w:pStyle w:val="Footer"/>
            <w:bidi w:val="0"/>
            <w:rPr>
              <w:color w:val="808080" w:themeColor="background1" w:themeShade="80"/>
              <w:rtl/>
            </w:rPr>
          </w:pPr>
          <w:bookmarkStart w:id="12" w:name="BokAdres"/>
          <w:bookmarkEnd w:id="12"/>
          <w:r>
            <w:rPr>
              <w:color w:val="808080" w:themeColor="background1" w:themeShade="80"/>
            </w:rPr>
            <w:t>F1mq1_13960622-004_ar1_mfeb.ir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6605" w:rsidRDefault="001E6605" w:rsidP="008B750B">
      <w:pPr>
        <w:spacing w:line="240" w:lineRule="auto"/>
      </w:pPr>
      <w:r>
        <w:separator/>
      </w:r>
    </w:p>
  </w:footnote>
  <w:footnote w:type="continuationSeparator" w:id="0">
    <w:p w:rsidR="001E6605" w:rsidRDefault="001E6605" w:rsidP="008B750B">
      <w:pPr>
        <w:spacing w:line="240" w:lineRule="auto"/>
      </w:pPr>
      <w:r>
        <w:continuationSeparator/>
      </w:r>
    </w:p>
  </w:footnote>
  <w:footnote w:id="1">
    <w:p w:rsidR="00E751DF" w:rsidRDefault="00E751DF">
      <w:pPr>
        <w:pStyle w:val="FootnoteText"/>
        <w:rPr>
          <w:rtl/>
        </w:rPr>
      </w:pPr>
      <w:r>
        <w:rPr>
          <w:rStyle w:val="FootnoteReference"/>
        </w:rPr>
        <w:footnoteRef/>
      </w:r>
      <w:r>
        <w:rPr>
          <w:rtl/>
        </w:rPr>
        <w:t xml:space="preserve"> </w:t>
      </w:r>
      <w:r>
        <w:rPr>
          <w:rFonts w:hint="cs"/>
          <w:rtl/>
        </w:rPr>
        <w:t xml:space="preserve">. </w:t>
      </w:r>
      <w:r w:rsidRPr="00E751DF">
        <w:rPr>
          <w:rFonts w:hint="cs"/>
          <w:rtl/>
        </w:rPr>
        <w:t>جامع</w:t>
      </w:r>
      <w:r w:rsidRPr="00E751DF">
        <w:rPr>
          <w:rtl/>
        </w:rPr>
        <w:t xml:space="preserve"> </w:t>
      </w:r>
      <w:r w:rsidRPr="00E751DF">
        <w:rPr>
          <w:rFonts w:hint="cs"/>
          <w:rtl/>
        </w:rPr>
        <w:t>المدارك</w:t>
      </w:r>
      <w:r w:rsidRPr="00E751DF">
        <w:rPr>
          <w:rtl/>
        </w:rPr>
        <w:t xml:space="preserve"> </w:t>
      </w:r>
      <w:r w:rsidRPr="00E751DF">
        <w:rPr>
          <w:rFonts w:hint="cs"/>
          <w:rtl/>
        </w:rPr>
        <w:t>في</w:t>
      </w:r>
      <w:r w:rsidRPr="00E751DF">
        <w:rPr>
          <w:rtl/>
        </w:rPr>
        <w:t xml:space="preserve"> </w:t>
      </w:r>
      <w:r w:rsidRPr="00E751DF">
        <w:rPr>
          <w:rFonts w:hint="cs"/>
          <w:rtl/>
        </w:rPr>
        <w:t>شرح</w:t>
      </w:r>
      <w:r w:rsidRPr="00E751DF">
        <w:rPr>
          <w:rtl/>
        </w:rPr>
        <w:t xml:space="preserve"> </w:t>
      </w:r>
      <w:r w:rsidRPr="00E751DF">
        <w:rPr>
          <w:rFonts w:hint="cs"/>
          <w:rtl/>
        </w:rPr>
        <w:t>مختصر</w:t>
      </w:r>
      <w:r w:rsidRPr="00E751DF">
        <w:rPr>
          <w:rtl/>
        </w:rPr>
        <w:t xml:space="preserve"> </w:t>
      </w:r>
      <w:r w:rsidRPr="00E751DF">
        <w:rPr>
          <w:rFonts w:hint="cs"/>
          <w:rtl/>
        </w:rPr>
        <w:t>النافع،</w:t>
      </w:r>
      <w:r w:rsidRPr="00E751DF">
        <w:rPr>
          <w:rtl/>
        </w:rPr>
        <w:t xml:space="preserve"> </w:t>
      </w:r>
      <w:r w:rsidRPr="00E751DF">
        <w:rPr>
          <w:rFonts w:hint="cs"/>
          <w:rtl/>
        </w:rPr>
        <w:t>ج‌</w:t>
      </w:r>
      <w:r w:rsidRPr="00E751DF">
        <w:rPr>
          <w:rtl/>
        </w:rPr>
        <w:t>7</w:t>
      </w:r>
      <w:r w:rsidRPr="00E751DF">
        <w:rPr>
          <w:rFonts w:hint="cs"/>
          <w:rtl/>
        </w:rPr>
        <w:t>،</w:t>
      </w:r>
      <w:r w:rsidRPr="00E751DF">
        <w:rPr>
          <w:rtl/>
        </w:rPr>
        <w:t xml:space="preserve"> </w:t>
      </w:r>
      <w:r w:rsidRPr="00E751DF">
        <w:rPr>
          <w:rFonts w:hint="cs"/>
          <w:rtl/>
        </w:rPr>
        <w:t>ص</w:t>
      </w:r>
      <w:r w:rsidRPr="00E751DF">
        <w:rPr>
          <w:rtl/>
        </w:rPr>
        <w:t>: 184</w:t>
      </w:r>
    </w:p>
  </w:footnote>
  <w:footnote w:id="2">
    <w:p w:rsidR="00E751DF" w:rsidRDefault="00E751DF">
      <w:pPr>
        <w:pStyle w:val="FootnoteText"/>
        <w:rPr>
          <w:rtl/>
        </w:rPr>
      </w:pPr>
      <w:r>
        <w:rPr>
          <w:rStyle w:val="FootnoteReference"/>
        </w:rPr>
        <w:footnoteRef/>
      </w:r>
      <w:r>
        <w:rPr>
          <w:rtl/>
        </w:rPr>
        <w:t xml:space="preserve"> </w:t>
      </w:r>
      <w:r>
        <w:rPr>
          <w:rFonts w:hint="cs"/>
          <w:rtl/>
        </w:rPr>
        <w:t xml:space="preserve">. </w:t>
      </w:r>
      <w:r w:rsidRPr="00E751DF">
        <w:rPr>
          <w:rFonts w:hint="cs"/>
          <w:rtl/>
        </w:rPr>
        <w:t>ملاذ</w:t>
      </w:r>
      <w:r w:rsidRPr="00E751DF">
        <w:rPr>
          <w:rtl/>
        </w:rPr>
        <w:t xml:space="preserve"> </w:t>
      </w:r>
      <w:r w:rsidRPr="00E751DF">
        <w:rPr>
          <w:rFonts w:hint="cs"/>
          <w:rtl/>
        </w:rPr>
        <w:t>الأخيار</w:t>
      </w:r>
      <w:r w:rsidRPr="00E751DF">
        <w:rPr>
          <w:rtl/>
        </w:rPr>
        <w:t xml:space="preserve"> </w:t>
      </w:r>
      <w:r w:rsidRPr="00E751DF">
        <w:rPr>
          <w:rFonts w:hint="cs"/>
          <w:rtl/>
        </w:rPr>
        <w:t>في</w:t>
      </w:r>
      <w:r w:rsidRPr="00E751DF">
        <w:rPr>
          <w:rtl/>
        </w:rPr>
        <w:t xml:space="preserve"> </w:t>
      </w:r>
      <w:r w:rsidRPr="00E751DF">
        <w:rPr>
          <w:rFonts w:hint="cs"/>
          <w:rtl/>
        </w:rPr>
        <w:t>فهم</w:t>
      </w:r>
      <w:r w:rsidRPr="00E751DF">
        <w:rPr>
          <w:rtl/>
        </w:rPr>
        <w:t xml:space="preserve"> </w:t>
      </w:r>
      <w:r w:rsidRPr="00E751DF">
        <w:rPr>
          <w:rFonts w:hint="cs"/>
          <w:rtl/>
        </w:rPr>
        <w:t>تهذيب</w:t>
      </w:r>
      <w:r w:rsidRPr="00E751DF">
        <w:rPr>
          <w:rtl/>
        </w:rPr>
        <w:t xml:space="preserve"> </w:t>
      </w:r>
      <w:r w:rsidRPr="00E751DF">
        <w:rPr>
          <w:rFonts w:hint="cs"/>
          <w:rtl/>
        </w:rPr>
        <w:t>الأخبار،</w:t>
      </w:r>
      <w:r w:rsidRPr="00E751DF">
        <w:rPr>
          <w:rtl/>
        </w:rPr>
        <w:t xml:space="preserve"> </w:t>
      </w:r>
      <w:r w:rsidRPr="00E751DF">
        <w:rPr>
          <w:rFonts w:hint="cs"/>
          <w:rtl/>
        </w:rPr>
        <w:t>ج‌</w:t>
      </w:r>
      <w:r w:rsidRPr="00E751DF">
        <w:rPr>
          <w:rtl/>
        </w:rPr>
        <w:t>16</w:t>
      </w:r>
      <w:r w:rsidRPr="00E751DF">
        <w:rPr>
          <w:rFonts w:hint="cs"/>
          <w:rtl/>
        </w:rPr>
        <w:t>،</w:t>
      </w:r>
      <w:r w:rsidRPr="00E751DF">
        <w:rPr>
          <w:rtl/>
        </w:rPr>
        <w:t xml:space="preserve"> </w:t>
      </w:r>
      <w:r w:rsidRPr="00E751DF">
        <w:rPr>
          <w:rFonts w:hint="cs"/>
          <w:rtl/>
        </w:rPr>
        <w:t>ص</w:t>
      </w:r>
      <w:r w:rsidRPr="00E751DF">
        <w:rPr>
          <w:rtl/>
        </w:rPr>
        <w:t>: 312</w:t>
      </w:r>
    </w:p>
  </w:footnote>
  <w:footnote w:id="3">
    <w:p w:rsidR="00E751DF" w:rsidRDefault="00E751DF">
      <w:pPr>
        <w:pStyle w:val="FootnoteText"/>
        <w:rPr>
          <w:rtl/>
        </w:rPr>
      </w:pPr>
      <w:r>
        <w:rPr>
          <w:rStyle w:val="FootnoteReference"/>
        </w:rPr>
        <w:footnoteRef/>
      </w:r>
      <w:r>
        <w:rPr>
          <w:rtl/>
        </w:rPr>
        <w:t xml:space="preserve"> </w:t>
      </w:r>
      <w:r>
        <w:rPr>
          <w:rFonts w:hint="cs"/>
          <w:rtl/>
        </w:rPr>
        <w:t xml:space="preserve">. </w:t>
      </w:r>
      <w:r w:rsidRPr="00E751DF">
        <w:rPr>
          <w:rFonts w:hint="cs"/>
          <w:rtl/>
        </w:rPr>
        <w:t>کشف</w:t>
      </w:r>
      <w:r w:rsidRPr="00E751DF">
        <w:rPr>
          <w:rtl/>
        </w:rPr>
        <w:t xml:space="preserve"> </w:t>
      </w:r>
      <w:r w:rsidRPr="00E751DF">
        <w:rPr>
          <w:rFonts w:hint="cs"/>
          <w:rtl/>
        </w:rPr>
        <w:t>اللثام</w:t>
      </w:r>
      <w:r w:rsidRPr="00E751DF">
        <w:rPr>
          <w:rtl/>
        </w:rPr>
        <w:t xml:space="preserve"> </w:t>
      </w:r>
      <w:r w:rsidRPr="00E751DF">
        <w:rPr>
          <w:rFonts w:hint="cs"/>
          <w:rtl/>
        </w:rPr>
        <w:t>ج</w:t>
      </w:r>
      <w:r w:rsidRPr="00E751DF">
        <w:rPr>
          <w:rtl/>
        </w:rPr>
        <w:t xml:space="preserve"> 11 </w:t>
      </w:r>
      <w:r w:rsidRPr="00E751DF">
        <w:rPr>
          <w:rFonts w:hint="cs"/>
          <w:rtl/>
        </w:rPr>
        <w:t>ص</w:t>
      </w:r>
      <w:r w:rsidRPr="00E751DF">
        <w:rPr>
          <w:rtl/>
        </w:rPr>
        <w:t xml:space="preserve"> 11</w:t>
      </w:r>
    </w:p>
  </w:footnote>
  <w:footnote w:id="4">
    <w:p w:rsidR="00150863" w:rsidRPr="00150863" w:rsidRDefault="00150863" w:rsidP="00150863">
      <w:pPr>
        <w:pStyle w:val="FootnoteText"/>
        <w:rPr>
          <w:rFonts w:hint="cs"/>
        </w:rPr>
      </w:pPr>
      <w:r w:rsidRPr="00150863">
        <w:footnoteRef/>
      </w:r>
      <w:r w:rsidRPr="00150863">
        <w:rPr>
          <w:rtl/>
        </w:rPr>
        <w:t xml:space="preserve"> </w:t>
      </w:r>
      <w:hyperlink r:id="rId1" w:history="1">
        <w:r w:rsidRPr="00150863">
          <w:rPr>
            <w:rStyle w:val="Hyperlink"/>
            <w:rFonts w:hint="cs"/>
            <w:rtl/>
          </w:rPr>
          <w:t>ریاض</w:t>
        </w:r>
        <w:r w:rsidRPr="00150863">
          <w:rPr>
            <w:rStyle w:val="Hyperlink"/>
            <w:rtl/>
          </w:rPr>
          <w:t xml:space="preserve"> </w:t>
        </w:r>
        <w:r w:rsidRPr="00150863">
          <w:rPr>
            <w:rStyle w:val="Hyperlink"/>
            <w:rFonts w:hint="cs"/>
            <w:rtl/>
          </w:rPr>
          <w:t>المسائل،</w:t>
        </w:r>
        <w:r w:rsidRPr="00150863">
          <w:rPr>
            <w:rStyle w:val="Hyperlink"/>
            <w:rtl/>
          </w:rPr>
          <w:t xml:space="preserve"> </w:t>
        </w:r>
        <w:r w:rsidRPr="00150863">
          <w:rPr>
            <w:rStyle w:val="Hyperlink"/>
            <w:rFonts w:hint="cs"/>
            <w:rtl/>
          </w:rPr>
          <w:t>سید</w:t>
        </w:r>
        <w:r w:rsidRPr="00150863">
          <w:rPr>
            <w:rStyle w:val="Hyperlink"/>
            <w:rtl/>
          </w:rPr>
          <w:t xml:space="preserve"> </w:t>
        </w:r>
        <w:r w:rsidRPr="00150863">
          <w:rPr>
            <w:rStyle w:val="Hyperlink"/>
            <w:rFonts w:hint="cs"/>
            <w:rtl/>
          </w:rPr>
          <w:t>علی</w:t>
        </w:r>
        <w:r w:rsidRPr="00150863">
          <w:rPr>
            <w:rStyle w:val="Hyperlink"/>
            <w:rtl/>
          </w:rPr>
          <w:t xml:space="preserve"> </w:t>
        </w:r>
        <w:r w:rsidRPr="00150863">
          <w:rPr>
            <w:rStyle w:val="Hyperlink"/>
            <w:rFonts w:hint="cs"/>
            <w:rtl/>
          </w:rPr>
          <w:t>طباطبایی،</w:t>
        </w:r>
        <w:r w:rsidRPr="00150863">
          <w:rPr>
            <w:rStyle w:val="Hyperlink"/>
            <w:rtl/>
          </w:rPr>
          <w:t xml:space="preserve"> </w:t>
        </w:r>
        <w:r w:rsidRPr="00150863">
          <w:rPr>
            <w:rStyle w:val="Hyperlink"/>
            <w:rFonts w:hint="cs"/>
            <w:rtl/>
          </w:rPr>
          <w:t>ج</w:t>
        </w:r>
        <w:r w:rsidRPr="00150863">
          <w:rPr>
            <w:rStyle w:val="Hyperlink"/>
            <w:rtl/>
          </w:rPr>
          <w:t>16</w:t>
        </w:r>
        <w:r w:rsidRPr="00150863">
          <w:rPr>
            <w:rStyle w:val="Hyperlink"/>
            <w:rFonts w:hint="cs"/>
            <w:rtl/>
          </w:rPr>
          <w:t>،</w:t>
        </w:r>
        <w:r w:rsidRPr="00150863">
          <w:rPr>
            <w:rStyle w:val="Hyperlink"/>
            <w:rtl/>
          </w:rPr>
          <w:t xml:space="preserve"> </w:t>
        </w:r>
        <w:r w:rsidRPr="00150863">
          <w:rPr>
            <w:rStyle w:val="Hyperlink"/>
            <w:rFonts w:hint="cs"/>
            <w:rtl/>
          </w:rPr>
          <w:t>ص</w:t>
        </w:r>
        <w:r w:rsidRPr="00150863">
          <w:rPr>
            <w:rStyle w:val="Hyperlink"/>
            <w:rtl/>
          </w:rPr>
          <w:t>186</w:t>
        </w:r>
        <w:r w:rsidRPr="00150863">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5" w:name="BokNum"/>
    <w:bookmarkEnd w:id="5"/>
    <w:r w:rsidR="0079792F">
      <w:rPr>
        <w:b/>
        <w:bCs/>
        <w:sz w:val="20"/>
        <w:szCs w:val="24"/>
        <w:rtl/>
      </w:rPr>
      <w:t>004</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6" w:name="Bokdars"/>
    <w:bookmarkEnd w:id="6"/>
    <w:r w:rsidR="0079792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7" w:name="Bokostad"/>
    <w:bookmarkEnd w:id="7"/>
    <w:r w:rsidR="0079792F">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8" w:name="BokTarikh"/>
    <w:bookmarkEnd w:id="8"/>
    <w:r w:rsidR="0079792F">
      <w:rPr>
        <w:sz w:val="24"/>
        <w:szCs w:val="24"/>
        <w:rtl/>
      </w:rPr>
      <w:t>22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9" w:name="BokSabj"/>
    <w:bookmarkEnd w:id="9"/>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0" w:name="Bokmoqarer"/>
    <w:bookmarkEnd w:id="10"/>
    <w:r w:rsidR="0079792F">
      <w:rPr>
        <w:rFonts w:hint="cs"/>
        <w:sz w:val="24"/>
        <w:szCs w:val="24"/>
        <w:rtl/>
      </w:rPr>
      <w:t>سيدعلي</w:t>
    </w:r>
    <w:r w:rsidR="0079792F">
      <w:rPr>
        <w:sz w:val="24"/>
        <w:szCs w:val="24"/>
        <w:rtl/>
      </w:rPr>
      <w:t xml:space="preserve"> </w:t>
    </w:r>
    <w:r w:rsidR="0079792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1" w:name="BokSabj2"/>
    <w:bookmarkEnd w:id="11"/>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0863"/>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1E6605"/>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1402"/>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2F"/>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43C17"/>
    <w:rsid w:val="00E50B41"/>
    <w:rsid w:val="00E5219B"/>
    <w:rsid w:val="00E52D07"/>
    <w:rsid w:val="00E5518B"/>
    <w:rsid w:val="00E609FE"/>
    <w:rsid w:val="00E751DF"/>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48894341">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27154/16/1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C375E-BF74-4E01-9A49-F34A28CBD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TotalTime>
  <Pages>3</Pages>
  <Words>579</Words>
  <Characters>3304</Characters>
  <Application>Microsoft Office Word</Application>
  <DocSecurity>0</DocSecurity>
  <Lines>27</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3876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5</cp:revision>
  <dcterms:created xsi:type="dcterms:W3CDTF">2017-11-20T14:51:00Z</dcterms:created>
  <dcterms:modified xsi:type="dcterms:W3CDTF">2017-11-24T08:09:00Z</dcterms:modified>
  <cp:contentStatus>ویرایش 2.3</cp:contentStatus>
  <cp:version>2.3</cp:version>
</cp:coreProperties>
</file>