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300B8" w:rsidRDefault="001300B8" w:rsidP="001300B8">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378409" w:history="1">
        <w:r w:rsidRPr="000B7CC4">
          <w:rPr>
            <w:rStyle w:val="Hyperlink"/>
            <w:rFonts w:hint="eastAsia"/>
            <w:noProof/>
            <w:rtl/>
          </w:rPr>
          <w:t>بررس</w:t>
        </w:r>
        <w:r w:rsidRPr="000B7CC4">
          <w:rPr>
            <w:rStyle w:val="Hyperlink"/>
            <w:rFonts w:hint="cs"/>
            <w:noProof/>
            <w:rtl/>
          </w:rPr>
          <w:t>ی</w:t>
        </w:r>
        <w:r w:rsidRPr="000B7CC4">
          <w:rPr>
            <w:rStyle w:val="Hyperlink"/>
            <w:noProof/>
            <w:rtl/>
          </w:rPr>
          <w:t xml:space="preserve"> </w:t>
        </w:r>
        <w:r w:rsidRPr="000B7CC4">
          <w:rPr>
            <w:rStyle w:val="Hyperlink"/>
            <w:rFonts w:hint="eastAsia"/>
            <w:noProof/>
            <w:rtl/>
          </w:rPr>
          <w:t>حکم</w:t>
        </w:r>
        <w:r w:rsidRPr="000B7CC4">
          <w:rPr>
            <w:rStyle w:val="Hyperlink"/>
            <w:noProof/>
            <w:rtl/>
          </w:rPr>
          <w:t xml:space="preserve"> </w:t>
        </w:r>
        <w:r w:rsidRPr="000B7CC4">
          <w:rPr>
            <w:rStyle w:val="Hyperlink"/>
            <w:rFonts w:hint="eastAsia"/>
            <w:noProof/>
            <w:rtl/>
          </w:rPr>
          <w:t>ناظر</w:t>
        </w:r>
        <w:r w:rsidRPr="000B7CC4">
          <w:rPr>
            <w:rStyle w:val="Hyperlink"/>
            <w:noProof/>
            <w:rtl/>
          </w:rPr>
          <w:t xml:space="preserve"> (</w:t>
        </w:r>
        <w:r w:rsidRPr="000B7CC4">
          <w:rPr>
            <w:rStyle w:val="Hyperlink"/>
            <w:rFonts w:hint="eastAsia"/>
            <w:noProof/>
            <w:rtl/>
          </w:rPr>
          <w:t>ادامه</w:t>
        </w:r>
        <w:r w:rsidRPr="000B7CC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501378409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300B8" w:rsidRDefault="00B62A68" w:rsidP="001300B8">
      <w:pPr>
        <w:pStyle w:val="TOC8"/>
        <w:tabs>
          <w:tab w:val="right" w:leader="dot" w:pos="10194"/>
        </w:tabs>
        <w:rPr>
          <w:rFonts w:asciiTheme="minorHAnsi" w:eastAsiaTheme="minorEastAsia" w:hAnsiTheme="minorHAnsi" w:cstheme="minorBidi"/>
          <w:noProof/>
          <w:color w:val="auto"/>
          <w:szCs w:val="22"/>
          <w:rtl/>
        </w:rPr>
      </w:pPr>
      <w:hyperlink w:anchor="_Toc501378410" w:history="1">
        <w:r w:rsidR="001300B8" w:rsidRPr="000B7CC4">
          <w:rPr>
            <w:rStyle w:val="Hyperlink"/>
            <w:rFonts w:hint="eastAsia"/>
            <w:noProof/>
            <w:rtl/>
          </w:rPr>
          <w:t>عدم</w:t>
        </w:r>
        <w:r w:rsidR="001300B8" w:rsidRPr="000B7CC4">
          <w:rPr>
            <w:rStyle w:val="Hyperlink"/>
            <w:noProof/>
            <w:rtl/>
          </w:rPr>
          <w:t xml:space="preserve"> </w:t>
        </w:r>
        <w:r w:rsidR="001300B8" w:rsidRPr="000B7CC4">
          <w:rPr>
            <w:rStyle w:val="Hyperlink"/>
            <w:rFonts w:hint="eastAsia"/>
            <w:noProof/>
            <w:rtl/>
          </w:rPr>
          <w:t>وجود</w:t>
        </w:r>
        <w:r w:rsidR="001300B8" w:rsidRPr="000B7CC4">
          <w:rPr>
            <w:rStyle w:val="Hyperlink"/>
            <w:noProof/>
            <w:rtl/>
          </w:rPr>
          <w:t xml:space="preserve"> </w:t>
        </w:r>
        <w:r w:rsidR="001300B8" w:rsidRPr="000B7CC4">
          <w:rPr>
            <w:rStyle w:val="Hyperlink"/>
            <w:rFonts w:hint="eastAsia"/>
            <w:noProof/>
            <w:rtl/>
          </w:rPr>
          <w:t>قدر</w:t>
        </w:r>
        <w:r w:rsidR="001300B8" w:rsidRPr="000B7CC4">
          <w:rPr>
            <w:rStyle w:val="Hyperlink"/>
            <w:noProof/>
            <w:rtl/>
          </w:rPr>
          <w:t xml:space="preserve"> </w:t>
        </w:r>
        <w:r w:rsidR="001300B8" w:rsidRPr="000B7CC4">
          <w:rPr>
            <w:rStyle w:val="Hyperlink"/>
            <w:rFonts w:hint="eastAsia"/>
            <w:noProof/>
            <w:rtl/>
          </w:rPr>
          <w:t>مت</w:t>
        </w:r>
        <w:r w:rsidR="001300B8" w:rsidRPr="000B7CC4">
          <w:rPr>
            <w:rStyle w:val="Hyperlink"/>
            <w:rFonts w:hint="cs"/>
            <w:noProof/>
            <w:rtl/>
          </w:rPr>
          <w:t>ی</w:t>
        </w:r>
        <w:r w:rsidR="001300B8" w:rsidRPr="000B7CC4">
          <w:rPr>
            <w:rStyle w:val="Hyperlink"/>
            <w:rFonts w:hint="eastAsia"/>
            <w:noProof/>
            <w:rtl/>
          </w:rPr>
          <w:t>قن</w:t>
        </w:r>
        <w:r w:rsidR="001300B8" w:rsidRPr="000B7CC4">
          <w:rPr>
            <w:rStyle w:val="Hyperlink"/>
            <w:noProof/>
            <w:rtl/>
          </w:rPr>
          <w:t xml:space="preserve"> </w:t>
        </w:r>
        <w:r w:rsidR="001300B8" w:rsidRPr="000B7CC4">
          <w:rPr>
            <w:rStyle w:val="Hyperlink"/>
            <w:rFonts w:hint="eastAsia"/>
            <w:noProof/>
            <w:rtl/>
          </w:rPr>
          <w:t>در</w:t>
        </w:r>
        <w:r w:rsidR="001300B8" w:rsidRPr="000B7CC4">
          <w:rPr>
            <w:rStyle w:val="Hyperlink"/>
            <w:noProof/>
            <w:rtl/>
          </w:rPr>
          <w:t xml:space="preserve"> </w:t>
        </w:r>
        <w:r w:rsidR="001300B8" w:rsidRPr="000B7CC4">
          <w:rPr>
            <w:rStyle w:val="Hyperlink"/>
            <w:rFonts w:hint="eastAsia"/>
            <w:noProof/>
            <w:rtl/>
          </w:rPr>
          <w:t>مقام</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501378410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1</w:t>
        </w:r>
        <w:r w:rsidR="001300B8">
          <w:rPr>
            <w:rStyle w:val="Hyperlink"/>
            <w:noProof/>
            <w:rtl/>
          </w:rPr>
          <w:fldChar w:fldCharType="end"/>
        </w:r>
      </w:hyperlink>
    </w:p>
    <w:p w:rsidR="001300B8" w:rsidRDefault="00B62A68" w:rsidP="001300B8">
      <w:pPr>
        <w:pStyle w:val="TOC8"/>
        <w:tabs>
          <w:tab w:val="right" w:leader="dot" w:pos="10194"/>
        </w:tabs>
        <w:rPr>
          <w:rFonts w:asciiTheme="minorHAnsi" w:eastAsiaTheme="minorEastAsia" w:hAnsiTheme="minorHAnsi" w:cstheme="minorBidi"/>
          <w:noProof/>
          <w:color w:val="auto"/>
          <w:szCs w:val="22"/>
          <w:rtl/>
        </w:rPr>
      </w:pPr>
      <w:hyperlink w:anchor="_Toc501378411" w:history="1">
        <w:r w:rsidR="001300B8" w:rsidRPr="000B7CC4">
          <w:rPr>
            <w:rStyle w:val="Hyperlink"/>
            <w:rFonts w:hint="eastAsia"/>
            <w:noProof/>
            <w:rtl/>
          </w:rPr>
          <w:t>ملاک</w:t>
        </w:r>
        <w:r w:rsidR="001300B8" w:rsidRPr="000B7CC4">
          <w:rPr>
            <w:rStyle w:val="Hyperlink"/>
            <w:rFonts w:hint="cs"/>
            <w:noProof/>
            <w:rtl/>
          </w:rPr>
          <w:t>ی</w:t>
        </w:r>
        <w:r w:rsidR="001300B8" w:rsidRPr="000B7CC4">
          <w:rPr>
            <w:rStyle w:val="Hyperlink"/>
            <w:rFonts w:hint="eastAsia"/>
            <w:noProof/>
            <w:rtl/>
          </w:rPr>
          <w:t>ت</w:t>
        </w:r>
        <w:r w:rsidR="001300B8" w:rsidRPr="000B7CC4">
          <w:rPr>
            <w:rStyle w:val="Hyperlink"/>
            <w:noProof/>
            <w:rtl/>
          </w:rPr>
          <w:t xml:space="preserve"> </w:t>
        </w:r>
        <w:r w:rsidR="001300B8" w:rsidRPr="000B7CC4">
          <w:rPr>
            <w:rStyle w:val="Hyperlink"/>
            <w:rFonts w:hint="eastAsia"/>
            <w:noProof/>
            <w:rtl/>
          </w:rPr>
          <w:t>د</w:t>
        </w:r>
        <w:r w:rsidR="001300B8" w:rsidRPr="000B7CC4">
          <w:rPr>
            <w:rStyle w:val="Hyperlink"/>
            <w:rFonts w:hint="cs"/>
            <w:noProof/>
            <w:rtl/>
          </w:rPr>
          <w:t>ی</w:t>
        </w:r>
        <w:r w:rsidR="001300B8" w:rsidRPr="000B7CC4">
          <w:rPr>
            <w:rStyle w:val="Hyperlink"/>
            <w:rFonts w:hint="eastAsia"/>
            <w:noProof/>
            <w:rtl/>
          </w:rPr>
          <w:t>ده</w:t>
        </w:r>
        <w:r w:rsidR="001300B8" w:rsidRPr="000B7CC4">
          <w:rPr>
            <w:rStyle w:val="Hyperlink"/>
            <w:noProof/>
            <w:rtl/>
          </w:rPr>
          <w:t xml:space="preserve"> </w:t>
        </w:r>
        <w:r w:rsidR="001300B8" w:rsidRPr="000B7CC4">
          <w:rPr>
            <w:rStyle w:val="Hyperlink"/>
            <w:rFonts w:hint="eastAsia"/>
            <w:noProof/>
            <w:rtl/>
          </w:rPr>
          <w:t>بان</w:t>
        </w:r>
        <w:r w:rsidR="001300B8" w:rsidRPr="000B7CC4">
          <w:rPr>
            <w:rStyle w:val="Hyperlink"/>
            <w:noProof/>
            <w:rtl/>
          </w:rPr>
          <w:t xml:space="preserve"> </w:t>
        </w:r>
        <w:r w:rsidR="001300B8" w:rsidRPr="000B7CC4">
          <w:rPr>
            <w:rStyle w:val="Hyperlink"/>
            <w:rFonts w:hint="eastAsia"/>
            <w:noProof/>
            <w:rtl/>
          </w:rPr>
          <w:t>ناظر</w:t>
        </w:r>
        <w:r w:rsidR="001300B8" w:rsidRPr="000B7CC4">
          <w:rPr>
            <w:rStyle w:val="Hyperlink"/>
            <w:noProof/>
            <w:rtl/>
          </w:rPr>
          <w:t xml:space="preserve"> </w:t>
        </w:r>
        <w:r w:rsidR="001300B8" w:rsidRPr="000B7CC4">
          <w:rPr>
            <w:rStyle w:val="Hyperlink"/>
            <w:rFonts w:hint="eastAsia"/>
            <w:noProof/>
            <w:rtl/>
          </w:rPr>
          <w:t>در</w:t>
        </w:r>
        <w:r w:rsidR="001300B8" w:rsidRPr="000B7CC4">
          <w:rPr>
            <w:rStyle w:val="Hyperlink"/>
            <w:noProof/>
            <w:rtl/>
          </w:rPr>
          <w:t xml:space="preserve"> </w:t>
        </w:r>
        <w:r w:rsidR="001300B8" w:rsidRPr="000B7CC4">
          <w:rPr>
            <w:rStyle w:val="Hyperlink"/>
            <w:rFonts w:hint="eastAsia"/>
            <w:noProof/>
            <w:rtl/>
          </w:rPr>
          <w:t>قانون</w:t>
        </w:r>
        <w:r w:rsidR="001300B8" w:rsidRPr="000B7CC4">
          <w:rPr>
            <w:rStyle w:val="Hyperlink"/>
            <w:noProof/>
            <w:rtl/>
          </w:rPr>
          <w:t xml:space="preserve"> </w:t>
        </w:r>
        <w:r w:rsidR="001300B8" w:rsidRPr="000B7CC4">
          <w:rPr>
            <w:rStyle w:val="Hyperlink"/>
            <w:rFonts w:hint="eastAsia"/>
            <w:noProof/>
            <w:rtl/>
          </w:rPr>
          <w:t>مجازات</w:t>
        </w:r>
        <w:r w:rsidR="001300B8" w:rsidRPr="000B7CC4">
          <w:rPr>
            <w:rStyle w:val="Hyperlink"/>
            <w:noProof/>
            <w:rtl/>
          </w:rPr>
          <w:t xml:space="preserve"> </w:t>
        </w:r>
        <w:r w:rsidR="001300B8" w:rsidRPr="000B7CC4">
          <w:rPr>
            <w:rStyle w:val="Hyperlink"/>
            <w:rFonts w:hint="eastAsia"/>
            <w:noProof/>
            <w:rtl/>
          </w:rPr>
          <w:t>اسلام</w:t>
        </w:r>
        <w:r w:rsidR="001300B8" w:rsidRPr="000B7CC4">
          <w:rPr>
            <w:rStyle w:val="Hyperlink"/>
            <w:rFonts w:hint="cs"/>
            <w:noProof/>
            <w:rtl/>
          </w:rPr>
          <w:t>ی</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501378411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2</w:t>
        </w:r>
        <w:r w:rsidR="001300B8">
          <w:rPr>
            <w:rStyle w:val="Hyperlink"/>
            <w:noProof/>
            <w:rtl/>
          </w:rPr>
          <w:fldChar w:fldCharType="end"/>
        </w:r>
      </w:hyperlink>
    </w:p>
    <w:p w:rsidR="001300B8" w:rsidRDefault="00B62A68" w:rsidP="001300B8">
      <w:pPr>
        <w:pStyle w:val="TOC6"/>
        <w:tabs>
          <w:tab w:val="right" w:leader="dot" w:pos="10194"/>
        </w:tabs>
        <w:rPr>
          <w:rFonts w:asciiTheme="minorHAnsi" w:eastAsiaTheme="minorEastAsia" w:hAnsiTheme="minorHAnsi" w:cstheme="minorBidi"/>
          <w:bCs w:val="0"/>
          <w:noProof/>
          <w:color w:val="auto"/>
          <w:szCs w:val="22"/>
          <w:rtl/>
        </w:rPr>
      </w:pPr>
      <w:hyperlink w:anchor="_Toc501378412" w:history="1">
        <w:r w:rsidR="001300B8" w:rsidRPr="000B7CC4">
          <w:rPr>
            <w:rStyle w:val="Hyperlink"/>
            <w:rFonts w:hint="eastAsia"/>
            <w:noProof/>
            <w:rtl/>
          </w:rPr>
          <w:t>فرض</w:t>
        </w:r>
        <w:r w:rsidR="001300B8" w:rsidRPr="000B7CC4">
          <w:rPr>
            <w:rStyle w:val="Hyperlink"/>
            <w:noProof/>
            <w:rtl/>
          </w:rPr>
          <w:t xml:space="preserve"> </w:t>
        </w:r>
        <w:r w:rsidR="001300B8" w:rsidRPr="000B7CC4">
          <w:rPr>
            <w:rStyle w:val="Hyperlink"/>
            <w:rFonts w:hint="eastAsia"/>
            <w:noProof/>
            <w:rtl/>
          </w:rPr>
          <w:t>امر</w:t>
        </w:r>
        <w:r w:rsidR="001300B8" w:rsidRPr="000B7CC4">
          <w:rPr>
            <w:rStyle w:val="Hyperlink"/>
            <w:noProof/>
            <w:rtl/>
          </w:rPr>
          <w:t xml:space="preserve"> </w:t>
        </w:r>
        <w:r w:rsidR="001300B8" w:rsidRPr="000B7CC4">
          <w:rPr>
            <w:rStyle w:val="Hyperlink"/>
            <w:rFonts w:hint="eastAsia"/>
            <w:noProof/>
            <w:rtl/>
          </w:rPr>
          <w:t>د</w:t>
        </w:r>
        <w:r w:rsidR="001300B8" w:rsidRPr="000B7CC4">
          <w:rPr>
            <w:rStyle w:val="Hyperlink"/>
            <w:rFonts w:hint="cs"/>
            <w:noProof/>
            <w:rtl/>
          </w:rPr>
          <w:t>ی</w:t>
        </w:r>
        <w:r w:rsidR="001300B8" w:rsidRPr="000B7CC4">
          <w:rPr>
            <w:rStyle w:val="Hyperlink"/>
            <w:rFonts w:hint="eastAsia"/>
            <w:noProof/>
            <w:rtl/>
          </w:rPr>
          <w:t>گر</w:t>
        </w:r>
        <w:r w:rsidR="001300B8" w:rsidRPr="000B7CC4">
          <w:rPr>
            <w:rStyle w:val="Hyperlink"/>
            <w:rFonts w:hint="cs"/>
            <w:noProof/>
            <w:rtl/>
          </w:rPr>
          <w:t>ی</w:t>
        </w:r>
        <w:r w:rsidR="001300B8" w:rsidRPr="000B7CC4">
          <w:rPr>
            <w:rStyle w:val="Hyperlink"/>
            <w:noProof/>
            <w:rtl/>
          </w:rPr>
          <w:t xml:space="preserve"> </w:t>
        </w:r>
        <w:r w:rsidR="001300B8" w:rsidRPr="000B7CC4">
          <w:rPr>
            <w:rStyle w:val="Hyperlink"/>
            <w:rFonts w:hint="eastAsia"/>
            <w:noProof/>
            <w:rtl/>
          </w:rPr>
          <w:t>به</w:t>
        </w:r>
        <w:r w:rsidR="001300B8" w:rsidRPr="000B7CC4">
          <w:rPr>
            <w:rStyle w:val="Hyperlink"/>
            <w:noProof/>
            <w:rtl/>
          </w:rPr>
          <w:t xml:space="preserve"> </w:t>
        </w:r>
        <w:r w:rsidR="001300B8" w:rsidRPr="000B7CC4">
          <w:rPr>
            <w:rStyle w:val="Hyperlink"/>
            <w:rFonts w:hint="eastAsia"/>
            <w:noProof/>
            <w:rtl/>
          </w:rPr>
          <w:t>قتل</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501378412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2</w:t>
        </w:r>
        <w:r w:rsidR="001300B8">
          <w:rPr>
            <w:rStyle w:val="Hyperlink"/>
            <w:noProof/>
            <w:rtl/>
          </w:rPr>
          <w:fldChar w:fldCharType="end"/>
        </w:r>
      </w:hyperlink>
    </w:p>
    <w:p w:rsidR="001300B8" w:rsidRDefault="00B62A68" w:rsidP="001300B8">
      <w:pPr>
        <w:pStyle w:val="TOC7"/>
        <w:tabs>
          <w:tab w:val="right" w:leader="dot" w:pos="10194"/>
        </w:tabs>
        <w:rPr>
          <w:rFonts w:asciiTheme="minorHAnsi" w:eastAsiaTheme="minorEastAsia" w:hAnsiTheme="minorHAnsi" w:cstheme="minorBidi"/>
          <w:bCs w:val="0"/>
          <w:noProof/>
          <w:color w:val="auto"/>
          <w:szCs w:val="22"/>
          <w:rtl/>
        </w:rPr>
      </w:pPr>
      <w:hyperlink w:anchor="_Toc501378413" w:history="1">
        <w:r w:rsidR="001300B8" w:rsidRPr="000B7CC4">
          <w:rPr>
            <w:rStyle w:val="Hyperlink"/>
            <w:rFonts w:hint="eastAsia"/>
            <w:noProof/>
            <w:rtl/>
          </w:rPr>
          <w:t>صح</w:t>
        </w:r>
        <w:r w:rsidR="001300B8" w:rsidRPr="000B7CC4">
          <w:rPr>
            <w:rStyle w:val="Hyperlink"/>
            <w:rFonts w:hint="cs"/>
            <w:noProof/>
            <w:rtl/>
          </w:rPr>
          <w:t>ی</w:t>
        </w:r>
        <w:r w:rsidR="001300B8" w:rsidRPr="000B7CC4">
          <w:rPr>
            <w:rStyle w:val="Hyperlink"/>
            <w:rFonts w:hint="eastAsia"/>
            <w:noProof/>
            <w:rtl/>
          </w:rPr>
          <w:t>حه</w:t>
        </w:r>
        <w:r w:rsidR="001300B8" w:rsidRPr="000B7CC4">
          <w:rPr>
            <w:rStyle w:val="Hyperlink"/>
            <w:noProof/>
            <w:rtl/>
          </w:rPr>
          <w:t xml:space="preserve"> </w:t>
        </w:r>
        <w:r w:rsidR="001300B8" w:rsidRPr="000B7CC4">
          <w:rPr>
            <w:rStyle w:val="Hyperlink"/>
            <w:rFonts w:hint="eastAsia"/>
            <w:noProof/>
            <w:rtl/>
          </w:rPr>
          <w:t>زراره</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501378413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3</w:t>
        </w:r>
        <w:r w:rsidR="001300B8">
          <w:rPr>
            <w:rStyle w:val="Hyperlink"/>
            <w:noProof/>
            <w:rtl/>
          </w:rPr>
          <w:fldChar w:fldCharType="end"/>
        </w:r>
      </w:hyperlink>
    </w:p>
    <w:p w:rsidR="001300B8" w:rsidRDefault="00B62A68" w:rsidP="001300B8">
      <w:pPr>
        <w:pStyle w:val="TOC8"/>
        <w:tabs>
          <w:tab w:val="right" w:leader="dot" w:pos="10194"/>
        </w:tabs>
        <w:rPr>
          <w:rFonts w:asciiTheme="minorHAnsi" w:eastAsiaTheme="minorEastAsia" w:hAnsiTheme="minorHAnsi" w:cstheme="minorBidi"/>
          <w:noProof/>
          <w:color w:val="auto"/>
          <w:szCs w:val="22"/>
          <w:rtl/>
        </w:rPr>
      </w:pPr>
      <w:hyperlink w:anchor="_Toc501378414" w:history="1">
        <w:r w:rsidR="001300B8" w:rsidRPr="000B7CC4">
          <w:rPr>
            <w:rStyle w:val="Hyperlink"/>
            <w:rFonts w:hint="eastAsia"/>
            <w:noProof/>
            <w:rtl/>
          </w:rPr>
          <w:t>دلالت</w:t>
        </w:r>
        <w:r w:rsidR="001300B8" w:rsidRPr="000B7CC4">
          <w:rPr>
            <w:rStyle w:val="Hyperlink"/>
            <w:noProof/>
            <w:rtl/>
          </w:rPr>
          <w:t xml:space="preserve"> </w:t>
        </w:r>
        <w:r w:rsidR="001300B8" w:rsidRPr="000B7CC4">
          <w:rPr>
            <w:rStyle w:val="Hyperlink"/>
            <w:rFonts w:hint="eastAsia"/>
            <w:noProof/>
            <w:rtl/>
          </w:rPr>
          <w:t>روا</w:t>
        </w:r>
        <w:r w:rsidR="001300B8" w:rsidRPr="000B7CC4">
          <w:rPr>
            <w:rStyle w:val="Hyperlink"/>
            <w:rFonts w:hint="cs"/>
            <w:noProof/>
            <w:rtl/>
          </w:rPr>
          <w:t>ی</w:t>
        </w:r>
        <w:r w:rsidR="001300B8" w:rsidRPr="000B7CC4">
          <w:rPr>
            <w:rStyle w:val="Hyperlink"/>
            <w:rFonts w:hint="eastAsia"/>
            <w:noProof/>
            <w:rtl/>
          </w:rPr>
          <w:t>ت</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501378414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3</w:t>
        </w:r>
        <w:r w:rsidR="001300B8">
          <w:rPr>
            <w:rStyle w:val="Hyperlink"/>
            <w:noProof/>
            <w:rtl/>
          </w:rPr>
          <w:fldChar w:fldCharType="end"/>
        </w:r>
      </w:hyperlink>
    </w:p>
    <w:p w:rsidR="001300B8" w:rsidRDefault="00B62A68" w:rsidP="001300B8">
      <w:pPr>
        <w:pStyle w:val="TOC9"/>
        <w:tabs>
          <w:tab w:val="right" w:leader="dot" w:pos="10194"/>
        </w:tabs>
        <w:rPr>
          <w:rFonts w:asciiTheme="minorHAnsi" w:eastAsiaTheme="minorEastAsia" w:hAnsiTheme="minorHAnsi" w:cstheme="minorBidi"/>
          <w:noProof/>
          <w:color w:val="auto"/>
          <w:szCs w:val="22"/>
          <w:rtl/>
        </w:rPr>
      </w:pPr>
      <w:hyperlink w:anchor="_Toc501378415" w:history="1">
        <w:r w:rsidR="001300B8" w:rsidRPr="000B7CC4">
          <w:rPr>
            <w:rStyle w:val="Hyperlink"/>
            <w:rFonts w:hint="eastAsia"/>
            <w:noProof/>
            <w:rtl/>
          </w:rPr>
          <w:t>الغا</w:t>
        </w:r>
        <w:r w:rsidR="001300B8" w:rsidRPr="000B7CC4">
          <w:rPr>
            <w:rStyle w:val="Hyperlink"/>
            <w:rFonts w:hint="cs"/>
            <w:noProof/>
            <w:rtl/>
          </w:rPr>
          <w:t>ی</w:t>
        </w:r>
        <w:r w:rsidR="001300B8" w:rsidRPr="000B7CC4">
          <w:rPr>
            <w:rStyle w:val="Hyperlink"/>
            <w:noProof/>
            <w:rtl/>
          </w:rPr>
          <w:t xml:space="preserve"> </w:t>
        </w:r>
        <w:r w:rsidR="001300B8" w:rsidRPr="000B7CC4">
          <w:rPr>
            <w:rStyle w:val="Hyperlink"/>
            <w:rFonts w:hint="eastAsia"/>
            <w:noProof/>
            <w:rtl/>
          </w:rPr>
          <w:t>خصوص</w:t>
        </w:r>
        <w:r w:rsidR="001300B8" w:rsidRPr="000B7CC4">
          <w:rPr>
            <w:rStyle w:val="Hyperlink"/>
            <w:rFonts w:hint="cs"/>
            <w:noProof/>
            <w:rtl/>
          </w:rPr>
          <w:t>ی</w:t>
        </w:r>
        <w:r w:rsidR="001300B8" w:rsidRPr="000B7CC4">
          <w:rPr>
            <w:rStyle w:val="Hyperlink"/>
            <w:rFonts w:hint="eastAsia"/>
            <w:noProof/>
            <w:rtl/>
          </w:rPr>
          <w:t>ت</w:t>
        </w:r>
        <w:r w:rsidR="001300B8" w:rsidRPr="000B7CC4">
          <w:rPr>
            <w:rStyle w:val="Hyperlink"/>
            <w:noProof/>
            <w:rtl/>
          </w:rPr>
          <w:t xml:space="preserve"> </w:t>
        </w:r>
        <w:r w:rsidR="001300B8" w:rsidRPr="000B7CC4">
          <w:rPr>
            <w:rStyle w:val="Hyperlink"/>
            <w:rFonts w:hint="eastAsia"/>
            <w:noProof/>
            <w:rtl/>
          </w:rPr>
          <w:t>از</w:t>
        </w:r>
        <w:r w:rsidR="001300B8" w:rsidRPr="000B7CC4">
          <w:rPr>
            <w:rStyle w:val="Hyperlink"/>
            <w:noProof/>
            <w:rtl/>
          </w:rPr>
          <w:t xml:space="preserve"> «</w:t>
        </w:r>
        <w:r w:rsidR="001300B8" w:rsidRPr="000B7CC4">
          <w:rPr>
            <w:rStyle w:val="Hyperlink"/>
            <w:rFonts w:hint="eastAsia"/>
            <w:noProof/>
            <w:rtl/>
          </w:rPr>
          <w:t>رجل</w:t>
        </w:r>
        <w:r w:rsidR="001300B8" w:rsidRPr="000B7CC4">
          <w:rPr>
            <w:rStyle w:val="Hyperlink"/>
            <w:noProof/>
            <w:rtl/>
          </w:rPr>
          <w:t xml:space="preserve">» </w:t>
        </w:r>
        <w:r w:rsidR="001300B8" w:rsidRPr="000B7CC4">
          <w:rPr>
            <w:rStyle w:val="Hyperlink"/>
            <w:rFonts w:hint="eastAsia"/>
            <w:noProof/>
            <w:rtl/>
          </w:rPr>
          <w:t>در</w:t>
        </w:r>
        <w:r w:rsidR="001300B8" w:rsidRPr="000B7CC4">
          <w:rPr>
            <w:rStyle w:val="Hyperlink"/>
            <w:noProof/>
            <w:rtl/>
          </w:rPr>
          <w:t xml:space="preserve"> </w:t>
        </w:r>
        <w:r w:rsidR="001300B8" w:rsidRPr="000B7CC4">
          <w:rPr>
            <w:rStyle w:val="Hyperlink"/>
            <w:rFonts w:hint="eastAsia"/>
            <w:noProof/>
            <w:rtl/>
          </w:rPr>
          <w:t>موارد</w:t>
        </w:r>
        <w:r w:rsidR="001300B8" w:rsidRPr="000B7CC4">
          <w:rPr>
            <w:rStyle w:val="Hyperlink"/>
            <w:noProof/>
            <w:rtl/>
          </w:rPr>
          <w:t xml:space="preserve"> </w:t>
        </w:r>
        <w:r w:rsidR="001300B8" w:rsidRPr="000B7CC4">
          <w:rPr>
            <w:rStyle w:val="Hyperlink"/>
            <w:rFonts w:hint="eastAsia"/>
            <w:noProof/>
            <w:rtl/>
          </w:rPr>
          <w:t>وقوع</w:t>
        </w:r>
        <w:r w:rsidR="001300B8" w:rsidRPr="000B7CC4">
          <w:rPr>
            <w:rStyle w:val="Hyperlink"/>
            <w:noProof/>
            <w:rtl/>
          </w:rPr>
          <w:t xml:space="preserve"> </w:t>
        </w:r>
        <w:r w:rsidR="001300B8" w:rsidRPr="000B7CC4">
          <w:rPr>
            <w:rStyle w:val="Hyperlink"/>
            <w:rFonts w:hint="eastAsia"/>
            <w:noProof/>
            <w:rtl/>
          </w:rPr>
          <w:t>حکم</w:t>
        </w:r>
        <w:r w:rsidR="001300B8" w:rsidRPr="000B7CC4">
          <w:rPr>
            <w:rStyle w:val="Hyperlink"/>
            <w:noProof/>
            <w:rtl/>
          </w:rPr>
          <w:t xml:space="preserve"> </w:t>
        </w:r>
        <w:r w:rsidR="001300B8" w:rsidRPr="000B7CC4">
          <w:rPr>
            <w:rStyle w:val="Hyperlink"/>
            <w:rFonts w:hint="eastAsia"/>
            <w:noProof/>
            <w:rtl/>
          </w:rPr>
          <w:t>عل</w:t>
        </w:r>
        <w:r w:rsidR="001300B8" w:rsidRPr="000B7CC4">
          <w:rPr>
            <w:rStyle w:val="Hyperlink"/>
            <w:rFonts w:hint="cs"/>
            <w:noProof/>
            <w:rtl/>
          </w:rPr>
          <w:t>ی</w:t>
        </w:r>
        <w:r w:rsidR="001300B8" w:rsidRPr="000B7CC4">
          <w:rPr>
            <w:rStyle w:val="Hyperlink"/>
            <w:noProof/>
            <w:rtl/>
          </w:rPr>
          <w:t xml:space="preserve"> </w:t>
        </w:r>
        <w:r w:rsidR="001300B8" w:rsidRPr="000B7CC4">
          <w:rPr>
            <w:rStyle w:val="Hyperlink"/>
            <w:rFonts w:hint="eastAsia"/>
            <w:noProof/>
            <w:rtl/>
          </w:rPr>
          <w:t>نفسه</w:t>
        </w:r>
        <w:r w:rsidR="001300B8">
          <w:rPr>
            <w:noProof/>
            <w:webHidden/>
            <w:rtl/>
          </w:rPr>
          <w:tab/>
        </w:r>
        <w:r w:rsidR="001300B8">
          <w:rPr>
            <w:rStyle w:val="Hyperlink"/>
            <w:noProof/>
            <w:rtl/>
          </w:rPr>
          <w:fldChar w:fldCharType="begin"/>
        </w:r>
        <w:r w:rsidR="001300B8">
          <w:rPr>
            <w:noProof/>
            <w:webHidden/>
            <w:rtl/>
          </w:rPr>
          <w:instrText xml:space="preserve"> </w:instrText>
        </w:r>
        <w:r w:rsidR="001300B8">
          <w:rPr>
            <w:noProof/>
            <w:webHidden/>
          </w:rPr>
          <w:instrText>PAGEREF</w:instrText>
        </w:r>
        <w:r w:rsidR="001300B8">
          <w:rPr>
            <w:noProof/>
            <w:webHidden/>
            <w:rtl/>
          </w:rPr>
          <w:instrText xml:space="preserve"> _</w:instrText>
        </w:r>
        <w:r w:rsidR="001300B8">
          <w:rPr>
            <w:noProof/>
            <w:webHidden/>
          </w:rPr>
          <w:instrText>Toc</w:instrText>
        </w:r>
        <w:r w:rsidR="001300B8">
          <w:rPr>
            <w:noProof/>
            <w:webHidden/>
            <w:rtl/>
          </w:rPr>
          <w:instrText xml:space="preserve">501378415 </w:instrText>
        </w:r>
        <w:r w:rsidR="001300B8">
          <w:rPr>
            <w:noProof/>
            <w:webHidden/>
          </w:rPr>
          <w:instrText>\h</w:instrText>
        </w:r>
        <w:r w:rsidR="001300B8">
          <w:rPr>
            <w:noProof/>
            <w:webHidden/>
            <w:rtl/>
          </w:rPr>
          <w:instrText xml:space="preserve"> </w:instrText>
        </w:r>
        <w:r w:rsidR="001300B8">
          <w:rPr>
            <w:rStyle w:val="Hyperlink"/>
            <w:noProof/>
            <w:rtl/>
          </w:rPr>
        </w:r>
        <w:r w:rsidR="001300B8">
          <w:rPr>
            <w:rStyle w:val="Hyperlink"/>
            <w:noProof/>
            <w:rtl/>
          </w:rPr>
          <w:fldChar w:fldCharType="separate"/>
        </w:r>
        <w:r w:rsidR="001300B8">
          <w:rPr>
            <w:noProof/>
            <w:webHidden/>
            <w:rtl/>
          </w:rPr>
          <w:t>3</w:t>
        </w:r>
        <w:r w:rsidR="001300B8">
          <w:rPr>
            <w:rStyle w:val="Hyperlink"/>
            <w:noProof/>
            <w:rtl/>
          </w:rPr>
          <w:fldChar w:fldCharType="end"/>
        </w:r>
      </w:hyperlink>
    </w:p>
    <w:p w:rsidR="00C91EB6" w:rsidRPr="00C91EB6" w:rsidRDefault="001300B8"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3074FE">
        <w:rPr>
          <w:rFonts w:hint="cs"/>
          <w:rtl/>
        </w:rPr>
        <w:t>قتل</w:t>
      </w:r>
      <w:r w:rsidR="003074FE">
        <w:rPr>
          <w:rtl/>
        </w:rPr>
        <w:t xml:space="preserve"> </w:t>
      </w:r>
      <w:r w:rsidR="003074FE">
        <w:rPr>
          <w:rFonts w:hint="cs"/>
          <w:rtl/>
        </w:rPr>
        <w:t>به</w:t>
      </w:r>
      <w:r w:rsidR="003074FE">
        <w:rPr>
          <w:rtl/>
        </w:rPr>
        <w:t xml:space="preserve"> </w:t>
      </w:r>
      <w:r w:rsidR="003074FE">
        <w:rPr>
          <w:rFonts w:hint="cs"/>
          <w:rtl/>
        </w:rPr>
        <w:t>تسبیب</w:t>
      </w:r>
      <w:r w:rsidR="003074FE">
        <w:rPr>
          <w:rtl/>
        </w:rPr>
        <w:t>/</w:t>
      </w:r>
      <w:r w:rsidR="003074FE">
        <w:rPr>
          <w:rFonts w:hint="cs"/>
          <w:rtl/>
        </w:rPr>
        <w:t>مراتب</w:t>
      </w:r>
      <w:r w:rsidR="003074FE">
        <w:rPr>
          <w:rtl/>
        </w:rPr>
        <w:t xml:space="preserve"> </w:t>
      </w:r>
      <w:r w:rsidR="003074FE">
        <w:rPr>
          <w:rFonts w:hint="cs"/>
          <w:rtl/>
        </w:rPr>
        <w:t>تسبیب</w:t>
      </w:r>
      <w:r w:rsidR="003074FE">
        <w:rPr>
          <w:rtl/>
        </w:rPr>
        <w:t>/</w:t>
      </w:r>
      <w:r w:rsidR="003074FE">
        <w:rPr>
          <w:rFonts w:hint="cs"/>
          <w:rtl/>
        </w:rPr>
        <w:t>مرتبه</w:t>
      </w:r>
      <w:r w:rsidR="003074FE">
        <w:rPr>
          <w:rtl/>
        </w:rPr>
        <w:t xml:space="preserve"> </w:t>
      </w:r>
      <w:r w:rsidR="003074FE">
        <w:rPr>
          <w:rFonts w:hint="cs"/>
          <w:rtl/>
        </w:rPr>
        <w:t>چهارم</w:t>
      </w:r>
      <w:r w:rsidR="003074FE">
        <w:rPr>
          <w:rtl/>
        </w:rPr>
        <w:t>/</w:t>
      </w:r>
      <w:r w:rsidR="003074FE">
        <w:rPr>
          <w:rFonts w:hint="cs"/>
          <w:rtl/>
        </w:rPr>
        <w:t>صورت</w:t>
      </w:r>
      <w:r w:rsidR="003074FE">
        <w:rPr>
          <w:rtl/>
        </w:rPr>
        <w:t xml:space="preserve"> </w:t>
      </w:r>
      <w:r w:rsidR="003074FE">
        <w:rPr>
          <w:rFonts w:hint="cs"/>
          <w:rtl/>
        </w:rPr>
        <w:t>اول</w:t>
      </w:r>
      <w:r w:rsidR="00025B70">
        <w:rPr>
          <w:rFonts w:hint="cs"/>
          <w:rtl/>
        </w:rPr>
        <w:t xml:space="preserve"> </w:t>
      </w:r>
      <w:r w:rsidR="00386C11" w:rsidRPr="00A6366F">
        <w:rPr>
          <w:rFonts w:hint="cs"/>
          <w:rtl/>
        </w:rPr>
        <w:t>/</w:t>
      </w:r>
      <w:bookmarkStart w:id="1" w:name="BokSabj_d"/>
      <w:bookmarkEnd w:id="1"/>
      <w:r w:rsidR="003074FE">
        <w:rPr>
          <w:rFonts w:hint="cs"/>
          <w:rtl/>
        </w:rPr>
        <w:t>قتل</w:t>
      </w:r>
      <w:r w:rsidR="003074FE">
        <w:rPr>
          <w:rtl/>
        </w:rPr>
        <w:t xml:space="preserve"> </w:t>
      </w:r>
      <w:r w:rsidR="003074FE">
        <w:rPr>
          <w:rFonts w:hint="cs"/>
          <w:rtl/>
        </w:rPr>
        <w:t>عمد</w:t>
      </w:r>
      <w:r w:rsidR="00386C11" w:rsidRPr="00A6366F">
        <w:rPr>
          <w:rFonts w:hint="cs"/>
          <w:rtl/>
        </w:rPr>
        <w:t xml:space="preserve"> /</w:t>
      </w:r>
      <w:bookmarkStart w:id="2" w:name="Bokkolli"/>
      <w:bookmarkEnd w:id="2"/>
      <w:r w:rsidR="003074FE">
        <w:rPr>
          <w:rFonts w:hint="cs"/>
          <w:rtl/>
        </w:rPr>
        <w:t>کتاب</w:t>
      </w:r>
      <w:r w:rsidR="003074FE">
        <w:rPr>
          <w:rtl/>
        </w:rPr>
        <w:t xml:space="preserve"> </w:t>
      </w:r>
      <w:r w:rsidR="003074FE">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9D01CB" w:rsidP="003A6148">
      <w:pPr>
        <w:pBdr>
          <w:bottom w:val="double" w:sz="6" w:space="1" w:color="auto"/>
        </w:pBdr>
        <w:rPr>
          <w:rtl/>
        </w:rPr>
      </w:pPr>
      <w:r>
        <w:rPr>
          <w:rFonts w:hint="cs"/>
          <w:rtl/>
        </w:rPr>
        <w:t>بحث در اولین صورت از چهارمین مرتبه قتل به تسبیب یعنی جایی که بر اساس اشتراک سه نفر قتل صورت بگیرد که بیان شد در مورد قاتل و ممسک قضیه روشن است اما در مورد حکم ناظر در این قتل ابهاماتی وجود دارد.</w:t>
      </w:r>
    </w:p>
    <w:p w:rsidR="00247D2F" w:rsidRPr="003A6148" w:rsidRDefault="00247D2F" w:rsidP="003A6148">
      <w:pPr>
        <w:pBdr>
          <w:bottom w:val="double" w:sz="6" w:space="1" w:color="auto"/>
        </w:pBdr>
      </w:pPr>
    </w:p>
    <w:p w:rsidR="007D77B3" w:rsidRPr="007D77B3" w:rsidRDefault="002B374A" w:rsidP="00DA3780">
      <w:pPr>
        <w:pStyle w:val="Heading7"/>
        <w:rPr>
          <w:rFonts w:ascii="IRNazanin" w:hAnsi="IRNazanin" w:cs="IRNazanin"/>
        </w:rPr>
      </w:pPr>
      <w:bookmarkStart w:id="3" w:name="_Toc501378409"/>
      <w:r>
        <w:rPr>
          <w:rFonts w:hint="cs"/>
          <w:rtl/>
        </w:rPr>
        <w:t>بررسی حکم ناظر (</w:t>
      </w:r>
      <w:r w:rsidR="00DA3780">
        <w:rPr>
          <w:rFonts w:hint="cs"/>
          <w:rtl/>
        </w:rPr>
        <w:t>ادامه</w:t>
      </w:r>
      <w:r>
        <w:rPr>
          <w:rFonts w:hint="cs"/>
          <w:rtl/>
        </w:rPr>
        <w:t>)</w:t>
      </w:r>
      <w:bookmarkEnd w:id="3"/>
      <w:r>
        <w:rPr>
          <w:rFonts w:hint="cs"/>
          <w:rtl/>
        </w:rPr>
        <w:t xml:space="preserve"> </w:t>
      </w:r>
      <w:r w:rsidR="007D77B3" w:rsidRPr="007D77B3">
        <w:rPr>
          <w:rFonts w:cs="Cambria" w:hint="cs"/>
          <w:rtl/>
        </w:rPr>
        <w:t> </w:t>
      </w:r>
    </w:p>
    <w:p w:rsidR="007D77B3" w:rsidRPr="007D77B3" w:rsidRDefault="007D77B3" w:rsidP="007D77B3">
      <w:pPr>
        <w:rPr>
          <w:rtl/>
        </w:rPr>
      </w:pPr>
      <w:r>
        <w:rPr>
          <w:rFonts w:hint="cs"/>
          <w:rtl/>
        </w:rPr>
        <w:t xml:space="preserve">بر اساس آن چه که بیان شد، </w:t>
      </w:r>
      <w:r w:rsidRPr="007D77B3">
        <w:rPr>
          <w:rtl/>
        </w:rPr>
        <w:t xml:space="preserve">در رابطه با </w:t>
      </w:r>
      <w:r>
        <w:rPr>
          <w:rFonts w:hint="cs"/>
          <w:rtl/>
        </w:rPr>
        <w:t xml:space="preserve">فرض </w:t>
      </w:r>
      <w:r>
        <w:rPr>
          <w:rtl/>
        </w:rPr>
        <w:t xml:space="preserve">اجتماع </w:t>
      </w:r>
      <w:r>
        <w:rPr>
          <w:rFonts w:hint="cs"/>
          <w:rtl/>
        </w:rPr>
        <w:t>سه نفر در قتل شخص واحدی،</w:t>
      </w:r>
      <w:r w:rsidRPr="007D77B3">
        <w:rPr>
          <w:rtl/>
        </w:rPr>
        <w:t xml:space="preserve"> </w:t>
      </w:r>
      <w:r>
        <w:rPr>
          <w:rFonts w:hint="cs"/>
          <w:rtl/>
        </w:rPr>
        <w:t xml:space="preserve">بعد از فراغ از قصاص قاتل و محکومیت ممسک به حبس ابد، در مورد شخص سوم که به عنوان ناظر مطرح شده است، </w:t>
      </w:r>
      <w:r w:rsidRPr="007D77B3">
        <w:rPr>
          <w:rtl/>
        </w:rPr>
        <w:t xml:space="preserve">احتمالاتی </w:t>
      </w:r>
      <w:r>
        <w:rPr>
          <w:rFonts w:hint="cs"/>
          <w:rtl/>
        </w:rPr>
        <w:t>وجود دارد و از آن جا که معینی برای هیچ یک از این احتمالات پیدا نشد، لابد از اجمال و توقف می شویم و لذا نه می توان بر نظارت و دیدن صرف را موضوع و ملاک حکم قرار داد و ن</w:t>
      </w:r>
      <w:bookmarkStart w:id="4" w:name="_GoBack"/>
      <w:bookmarkEnd w:id="4"/>
      <w:r>
        <w:rPr>
          <w:rFonts w:hint="cs"/>
          <w:rtl/>
        </w:rPr>
        <w:t>ه این که دیده بان بودن این ناظر را به عنوان معیار تلقی نمود.</w:t>
      </w:r>
    </w:p>
    <w:p w:rsidR="00DA3780" w:rsidRDefault="00DA3780" w:rsidP="00DA3780">
      <w:pPr>
        <w:pStyle w:val="Heading8"/>
        <w:rPr>
          <w:rtl/>
        </w:rPr>
      </w:pPr>
      <w:bookmarkStart w:id="5" w:name="_Toc501378410"/>
      <w:r>
        <w:rPr>
          <w:rFonts w:hint="cs"/>
          <w:rtl/>
        </w:rPr>
        <w:t>عدم وجود قدر متیقن در مقام</w:t>
      </w:r>
      <w:bookmarkEnd w:id="5"/>
    </w:p>
    <w:p w:rsidR="002B374A" w:rsidRDefault="007D77B3" w:rsidP="002B374A">
      <w:pPr>
        <w:rPr>
          <w:rtl/>
        </w:rPr>
      </w:pPr>
      <w:r>
        <w:rPr>
          <w:rFonts w:hint="cs"/>
          <w:rtl/>
        </w:rPr>
        <w:t xml:space="preserve">البته از آن جا که تحقق قدر متیقن در مقام بسیار بعید و حتی غیر ممکن است، در هیچ جایی نمی توان قائل به حکم موجود در روایت شد؛ چرا که هیچ فردی که واجد تمام خصوصیاتی که احتمال دخل آن ها در تحقق موضوع حکم داده می شود، قابل تصویر نیست، و حتی دیده بانی که نظارت بر وقوع جنایت و قتل دارد هم واجد این خصوصیات نمی باشد؛ </w:t>
      </w:r>
      <w:r w:rsidR="002B374A">
        <w:rPr>
          <w:rFonts w:hint="cs"/>
          <w:rtl/>
        </w:rPr>
        <w:t xml:space="preserve">چرا که </w:t>
      </w:r>
      <w:r w:rsidR="002B374A">
        <w:rPr>
          <w:rFonts w:hint="cs"/>
          <w:rtl/>
        </w:rPr>
        <w:lastRenderedPageBreak/>
        <w:t>گذشت که نسبت به نسخه «رؤیة» از روایت هم احتمالات مختلفی وجود دارد و صرف این امر به تنهایی قابل التزام نیست و گویی همان استیحاش و بُعدی که احساس می شود در این جا از اطلاق این حکم مانع می شود و این رؤیت را برای تحقق حکم، محتاج به ضمیمه ای می نماید، ضمیمه ای مثل ترک اعانه و یا تأیید جنایت و مانند آن.</w:t>
      </w:r>
    </w:p>
    <w:p w:rsidR="007D77B3" w:rsidRPr="007D77B3" w:rsidRDefault="002B374A" w:rsidP="002B374A">
      <w:pPr>
        <w:rPr>
          <w:rtl/>
        </w:rPr>
      </w:pPr>
      <w:r>
        <w:rPr>
          <w:rFonts w:hint="cs"/>
          <w:rtl/>
        </w:rPr>
        <w:t>بنابراین، فراتر از نسخی که باعث اختلاف شده است،</w:t>
      </w:r>
      <w:r w:rsidR="007D77B3" w:rsidRPr="007D77B3">
        <w:rPr>
          <w:rtl/>
        </w:rPr>
        <w:t xml:space="preserve"> بر اساس مناسبات حکم و موضوع</w:t>
      </w:r>
      <w:r>
        <w:rPr>
          <w:rFonts w:hint="cs"/>
          <w:rtl/>
        </w:rPr>
        <w:t>، نمی توان صرف رؤیت را برای تحقق موضوع کافی دانست،</w:t>
      </w:r>
      <w:r w:rsidR="007D77B3" w:rsidRPr="007D77B3">
        <w:rPr>
          <w:rtl/>
        </w:rPr>
        <w:t xml:space="preserve"> کما این که مرحوم </w:t>
      </w:r>
      <w:r>
        <w:rPr>
          <w:rFonts w:hint="cs"/>
          <w:rtl/>
        </w:rPr>
        <w:t xml:space="preserve">محقق </w:t>
      </w:r>
      <w:r w:rsidR="007D77B3" w:rsidRPr="007D77B3">
        <w:rPr>
          <w:rtl/>
        </w:rPr>
        <w:t xml:space="preserve">اردبیلی </w:t>
      </w:r>
      <w:r>
        <w:rPr>
          <w:rFonts w:hint="cs"/>
          <w:rtl/>
        </w:rPr>
        <w:t xml:space="preserve">قدس سره هم </w:t>
      </w:r>
      <w:r w:rsidR="007D77B3" w:rsidRPr="007D77B3">
        <w:rPr>
          <w:rtl/>
        </w:rPr>
        <w:t>به واسطه اصل</w:t>
      </w:r>
      <w:r>
        <w:rPr>
          <w:rFonts w:hint="cs"/>
          <w:rtl/>
        </w:rPr>
        <w:t>،</w:t>
      </w:r>
      <w:r w:rsidR="007D77B3" w:rsidRPr="007D77B3">
        <w:rPr>
          <w:rtl/>
        </w:rPr>
        <w:t xml:space="preserve"> عقوبت را از ر</w:t>
      </w:r>
      <w:r>
        <w:rPr>
          <w:rFonts w:hint="cs"/>
          <w:rtl/>
        </w:rPr>
        <w:t>ؤ</w:t>
      </w:r>
      <w:r w:rsidR="007D77B3" w:rsidRPr="007D77B3">
        <w:rPr>
          <w:rtl/>
        </w:rPr>
        <w:t>یت صرف</w:t>
      </w:r>
      <w:r>
        <w:rPr>
          <w:rFonts w:hint="cs"/>
          <w:rtl/>
        </w:rPr>
        <w:t>،</w:t>
      </w:r>
      <w:r w:rsidR="007D77B3" w:rsidRPr="007D77B3">
        <w:rPr>
          <w:rtl/>
        </w:rPr>
        <w:t xml:space="preserve"> دفع می کند.</w:t>
      </w:r>
      <w:r>
        <w:rPr>
          <w:rStyle w:val="FootnoteReference"/>
          <w:rtl/>
        </w:rPr>
        <w:footnoteReference w:id="1"/>
      </w:r>
    </w:p>
    <w:p w:rsidR="00DA3780" w:rsidRDefault="00DA3780" w:rsidP="00DA3780">
      <w:pPr>
        <w:rPr>
          <w:rtl/>
        </w:rPr>
      </w:pPr>
    </w:p>
    <w:p w:rsidR="00DA3780" w:rsidRDefault="00DA3780" w:rsidP="00DA3780">
      <w:pPr>
        <w:pStyle w:val="Heading8"/>
        <w:rPr>
          <w:rtl/>
        </w:rPr>
      </w:pPr>
      <w:bookmarkStart w:id="6" w:name="_Toc501378411"/>
      <w:r>
        <w:rPr>
          <w:rFonts w:hint="cs"/>
          <w:rtl/>
        </w:rPr>
        <w:t>ملاکیت دیده بان ناظر در قانون مجازات اسلامی</w:t>
      </w:r>
      <w:bookmarkEnd w:id="6"/>
    </w:p>
    <w:p w:rsidR="007D77B3" w:rsidRPr="007D77B3" w:rsidRDefault="007D77B3" w:rsidP="00DA3780">
      <w:pPr>
        <w:rPr>
          <w:rtl/>
        </w:rPr>
      </w:pPr>
      <w:r w:rsidRPr="007D77B3">
        <w:rPr>
          <w:rtl/>
        </w:rPr>
        <w:t xml:space="preserve">در قانون مجازات </w:t>
      </w:r>
      <w:r w:rsidR="00DA3780">
        <w:rPr>
          <w:rFonts w:hint="cs"/>
          <w:rtl/>
        </w:rPr>
        <w:t xml:space="preserve">اسلامی، </w:t>
      </w:r>
      <w:r w:rsidRPr="007D77B3">
        <w:rPr>
          <w:rtl/>
        </w:rPr>
        <w:t>ر</w:t>
      </w:r>
      <w:r w:rsidR="00DA3780">
        <w:rPr>
          <w:rFonts w:hint="cs"/>
          <w:rtl/>
        </w:rPr>
        <w:t>ؤ</w:t>
      </w:r>
      <w:r w:rsidRPr="007D77B3">
        <w:rPr>
          <w:rtl/>
        </w:rPr>
        <w:t xml:space="preserve">یت </w:t>
      </w:r>
      <w:r w:rsidR="00DA3780">
        <w:rPr>
          <w:rFonts w:hint="cs"/>
          <w:rtl/>
        </w:rPr>
        <w:t xml:space="preserve">را </w:t>
      </w:r>
      <w:r w:rsidRPr="007D77B3">
        <w:rPr>
          <w:rtl/>
        </w:rPr>
        <w:t>در کنار دیده بانی ملاک</w:t>
      </w:r>
      <w:r w:rsidR="00DA3780">
        <w:rPr>
          <w:rFonts w:hint="cs"/>
          <w:rtl/>
        </w:rPr>
        <w:t xml:space="preserve"> و معیار ثبوت حکم </w:t>
      </w:r>
      <w:r w:rsidRPr="007D77B3">
        <w:rPr>
          <w:rtl/>
        </w:rPr>
        <w:t xml:space="preserve"> قرار داده اند</w:t>
      </w:r>
      <w:r w:rsidR="00DA3780">
        <w:rPr>
          <w:rFonts w:hint="cs"/>
          <w:rtl/>
        </w:rPr>
        <w:t>،</w:t>
      </w:r>
      <w:r w:rsidRPr="007D77B3">
        <w:rPr>
          <w:rtl/>
        </w:rPr>
        <w:t xml:space="preserve"> لذا صرف ر</w:t>
      </w:r>
      <w:r w:rsidR="00DA3780">
        <w:rPr>
          <w:rFonts w:hint="cs"/>
          <w:rtl/>
        </w:rPr>
        <w:t>ؤ</w:t>
      </w:r>
      <w:r w:rsidRPr="007D77B3">
        <w:rPr>
          <w:rtl/>
        </w:rPr>
        <w:t>یت</w:t>
      </w:r>
      <w:r w:rsidR="00DA3780">
        <w:rPr>
          <w:rFonts w:hint="cs"/>
          <w:rtl/>
        </w:rPr>
        <w:t>،</w:t>
      </w:r>
      <w:r w:rsidRPr="007D77B3">
        <w:rPr>
          <w:rtl/>
        </w:rPr>
        <w:t xml:space="preserve"> </w:t>
      </w:r>
      <w:r w:rsidR="00DA3780">
        <w:rPr>
          <w:rFonts w:hint="cs"/>
          <w:rtl/>
        </w:rPr>
        <w:t xml:space="preserve">متضمن </w:t>
      </w:r>
      <w:r w:rsidRPr="007D77B3">
        <w:rPr>
          <w:rtl/>
        </w:rPr>
        <w:t xml:space="preserve">این </w:t>
      </w:r>
      <w:r w:rsidR="00DA3780">
        <w:rPr>
          <w:rFonts w:hint="cs"/>
          <w:rtl/>
        </w:rPr>
        <w:t>مجازات نیست</w:t>
      </w:r>
      <w:r w:rsidR="00DA3780">
        <w:rPr>
          <w:rtl/>
        </w:rPr>
        <w:t xml:space="preserve"> و در واقع نوعی احتیاط حد</w:t>
      </w:r>
      <w:r w:rsidRPr="007D77B3">
        <w:rPr>
          <w:rtl/>
        </w:rPr>
        <w:t>اقلی شده است</w:t>
      </w:r>
      <w:r w:rsidR="00DA3780">
        <w:rPr>
          <w:rFonts w:hint="cs"/>
          <w:rtl/>
        </w:rPr>
        <w:t>؛</w:t>
      </w:r>
      <w:r w:rsidRPr="007D77B3">
        <w:rPr>
          <w:rtl/>
        </w:rPr>
        <w:t xml:space="preserve"> چرا که بیان شد</w:t>
      </w:r>
      <w:r w:rsidR="00DA3780">
        <w:rPr>
          <w:rFonts w:hint="cs"/>
          <w:rtl/>
        </w:rPr>
        <w:t xml:space="preserve"> در غیر نسخه «ربیئه» با توجه به این</w:t>
      </w:r>
      <w:r w:rsidRPr="007D77B3">
        <w:rPr>
          <w:rtl/>
        </w:rPr>
        <w:t xml:space="preserve"> که ر</w:t>
      </w:r>
      <w:r w:rsidR="00DA3780">
        <w:rPr>
          <w:rFonts w:hint="cs"/>
          <w:rtl/>
        </w:rPr>
        <w:t>ؤ</w:t>
      </w:r>
      <w:r w:rsidRPr="007D77B3">
        <w:rPr>
          <w:rtl/>
        </w:rPr>
        <w:t>یت</w:t>
      </w:r>
      <w:r w:rsidR="00DA3780">
        <w:rPr>
          <w:rFonts w:hint="cs"/>
          <w:rtl/>
        </w:rPr>
        <w:t xml:space="preserve"> به تنهایی قابل التزام نیست،</w:t>
      </w:r>
      <w:r w:rsidRPr="007D77B3">
        <w:rPr>
          <w:rtl/>
        </w:rPr>
        <w:t xml:space="preserve"> احتمالاتی</w:t>
      </w:r>
      <w:r w:rsidR="00DA3780">
        <w:rPr>
          <w:rFonts w:hint="cs"/>
          <w:rtl/>
        </w:rPr>
        <w:t xml:space="preserve"> در کنار رؤیت باید ضمیمه شود</w:t>
      </w:r>
      <w:r w:rsidRPr="007D77B3">
        <w:rPr>
          <w:rtl/>
        </w:rPr>
        <w:t xml:space="preserve"> و </w:t>
      </w:r>
      <w:r w:rsidR="00DA3780">
        <w:rPr>
          <w:rFonts w:hint="cs"/>
          <w:rtl/>
        </w:rPr>
        <w:t xml:space="preserve">در واقع </w:t>
      </w:r>
      <w:r w:rsidRPr="007D77B3">
        <w:rPr>
          <w:rtl/>
        </w:rPr>
        <w:t>این شبهه استیحاش</w:t>
      </w:r>
      <w:r w:rsidR="00DA3780">
        <w:rPr>
          <w:rFonts w:hint="cs"/>
          <w:rtl/>
        </w:rPr>
        <w:t>ِ</w:t>
      </w:r>
      <w:r w:rsidRPr="007D77B3">
        <w:rPr>
          <w:rtl/>
        </w:rPr>
        <w:t xml:space="preserve"> چنین عقوبتی بر صرف دیدن، شبهه ای قوی است و قابل اعتنا</w:t>
      </w:r>
      <w:r w:rsidR="00DA3780">
        <w:rPr>
          <w:rFonts w:hint="cs"/>
          <w:rtl/>
        </w:rPr>
        <w:t>ء</w:t>
      </w:r>
      <w:r w:rsidRPr="007D77B3">
        <w:rPr>
          <w:rtl/>
        </w:rPr>
        <w:t xml:space="preserve"> است و حتی با برگزیدن نسخه ر</w:t>
      </w:r>
      <w:r w:rsidR="00DA3780">
        <w:rPr>
          <w:rFonts w:hint="cs"/>
          <w:rtl/>
        </w:rPr>
        <w:t>ؤ</w:t>
      </w:r>
      <w:r w:rsidR="00DA3780">
        <w:rPr>
          <w:rtl/>
        </w:rPr>
        <w:t>یت هم نمی توان چنین فتوایی داد</w:t>
      </w:r>
      <w:r w:rsidR="00DA3780">
        <w:rPr>
          <w:rFonts w:hint="cs"/>
          <w:rtl/>
        </w:rPr>
        <w:t xml:space="preserve"> و منکر اجمال و ابهام شد.</w:t>
      </w:r>
    </w:p>
    <w:p w:rsidR="007D77B3" w:rsidRPr="007D77B3" w:rsidRDefault="007D77B3" w:rsidP="006A36D4">
      <w:pPr>
        <w:rPr>
          <w:rtl/>
        </w:rPr>
      </w:pPr>
      <w:r w:rsidRPr="007D77B3">
        <w:rPr>
          <w:rtl/>
        </w:rPr>
        <w:t>در واقع بر اساس احتمالاتی که در کنار ر</w:t>
      </w:r>
      <w:r w:rsidR="006A36D4">
        <w:rPr>
          <w:rFonts w:hint="cs"/>
          <w:rtl/>
        </w:rPr>
        <w:t>ؤ</w:t>
      </w:r>
      <w:r w:rsidRPr="007D77B3">
        <w:rPr>
          <w:rtl/>
        </w:rPr>
        <w:t xml:space="preserve">یت داده شده است، باید گفت که </w:t>
      </w:r>
      <w:r w:rsidR="006A36D4">
        <w:rPr>
          <w:rFonts w:hint="cs"/>
          <w:rtl/>
        </w:rPr>
        <w:t xml:space="preserve">وجود </w:t>
      </w:r>
      <w:r w:rsidRPr="007D77B3">
        <w:rPr>
          <w:rtl/>
        </w:rPr>
        <w:t xml:space="preserve">نوعی ارتکاز </w:t>
      </w:r>
      <w:r w:rsidR="006A36D4">
        <w:rPr>
          <w:rFonts w:hint="cs"/>
          <w:rtl/>
        </w:rPr>
        <w:t xml:space="preserve">در اذهان باعث شده است که </w:t>
      </w:r>
      <w:r w:rsidRPr="007D77B3">
        <w:rPr>
          <w:rtl/>
        </w:rPr>
        <w:t xml:space="preserve"> از ابتدا </w:t>
      </w:r>
      <w:r w:rsidR="006A36D4">
        <w:rPr>
          <w:rFonts w:hint="cs"/>
          <w:rtl/>
        </w:rPr>
        <w:t xml:space="preserve">برای روایت، </w:t>
      </w:r>
      <w:r w:rsidRPr="007D77B3">
        <w:rPr>
          <w:rtl/>
        </w:rPr>
        <w:t xml:space="preserve">ظهوری در </w:t>
      </w:r>
      <w:r w:rsidR="006A36D4">
        <w:rPr>
          <w:rFonts w:hint="cs"/>
          <w:rtl/>
        </w:rPr>
        <w:t>صرف</w:t>
      </w:r>
      <w:r w:rsidRPr="007D77B3">
        <w:rPr>
          <w:rtl/>
        </w:rPr>
        <w:t xml:space="preserve"> ر</w:t>
      </w:r>
      <w:r w:rsidR="006A36D4">
        <w:rPr>
          <w:rFonts w:hint="cs"/>
          <w:rtl/>
        </w:rPr>
        <w:t>ؤ</w:t>
      </w:r>
      <w:r w:rsidRPr="007D77B3">
        <w:rPr>
          <w:rtl/>
        </w:rPr>
        <w:t>یت</w:t>
      </w:r>
      <w:r w:rsidR="006A36D4">
        <w:rPr>
          <w:rFonts w:hint="cs"/>
          <w:rtl/>
        </w:rPr>
        <w:t xml:space="preserve"> شکل نگرفته باشد</w:t>
      </w:r>
      <w:r w:rsidRPr="007D77B3">
        <w:rPr>
          <w:rtl/>
        </w:rPr>
        <w:t xml:space="preserve"> تا بعد لازم شود </w:t>
      </w:r>
      <w:r w:rsidR="006A36D4">
        <w:rPr>
          <w:rFonts w:hint="cs"/>
          <w:rtl/>
        </w:rPr>
        <w:t xml:space="preserve">به واسطه شواهدی </w:t>
      </w:r>
      <w:r w:rsidRPr="007D77B3">
        <w:rPr>
          <w:rtl/>
        </w:rPr>
        <w:t>از این ظهور دست برداشته شود.</w:t>
      </w:r>
    </w:p>
    <w:p w:rsidR="008373B2" w:rsidRDefault="007D77B3" w:rsidP="008373B2">
      <w:pPr>
        <w:spacing w:line="240" w:lineRule="auto"/>
        <w:rPr>
          <w:rtl/>
        </w:rPr>
      </w:pPr>
      <w:r w:rsidRPr="007D77B3">
        <w:rPr>
          <w:rtl/>
        </w:rPr>
        <w:t>بنابراین</w:t>
      </w:r>
      <w:r w:rsidR="006A36D4" w:rsidRPr="008373B2">
        <w:rPr>
          <w:rFonts w:hint="cs"/>
          <w:rtl/>
        </w:rPr>
        <w:t>،</w:t>
      </w:r>
      <w:r w:rsidRPr="007D77B3">
        <w:rPr>
          <w:rtl/>
        </w:rPr>
        <w:t xml:space="preserve"> تنها راه اثبات</w:t>
      </w:r>
      <w:r w:rsidR="006A36D4" w:rsidRPr="008373B2">
        <w:rPr>
          <w:rFonts w:hint="cs"/>
          <w:rtl/>
        </w:rPr>
        <w:t xml:space="preserve">، حکم کور کردن چشم در این جا، اثبات </w:t>
      </w:r>
      <w:r w:rsidRPr="007D77B3">
        <w:rPr>
          <w:rtl/>
        </w:rPr>
        <w:t xml:space="preserve"> نسخه </w:t>
      </w:r>
      <w:r w:rsidR="006A36D4" w:rsidRPr="008373B2">
        <w:rPr>
          <w:rFonts w:hint="cs"/>
          <w:rtl/>
        </w:rPr>
        <w:t>تهذیب، یعنی «</w:t>
      </w:r>
      <w:r w:rsidR="006A36D4" w:rsidRPr="008373B2">
        <w:rPr>
          <w:rtl/>
        </w:rPr>
        <w:t>ربیئ</w:t>
      </w:r>
      <w:r w:rsidR="006A36D4" w:rsidRPr="008373B2">
        <w:rPr>
          <w:rFonts w:hint="cs"/>
          <w:rtl/>
        </w:rPr>
        <w:t xml:space="preserve">ة» است که </w:t>
      </w:r>
      <w:r w:rsidR="008373B2" w:rsidRPr="008373B2">
        <w:rPr>
          <w:rFonts w:hint="cs"/>
          <w:rtl/>
        </w:rPr>
        <w:t>هیچ نوع خدشه و احتمالی در آن نیست.</w:t>
      </w:r>
    </w:p>
    <w:p w:rsidR="008373B2" w:rsidRDefault="008373B2" w:rsidP="008373B2">
      <w:pPr>
        <w:pStyle w:val="Heading6"/>
        <w:rPr>
          <w:rtl/>
        </w:rPr>
      </w:pPr>
      <w:bookmarkStart w:id="7" w:name="_Toc501378412"/>
      <w:r>
        <w:rPr>
          <w:rFonts w:hint="cs"/>
          <w:rtl/>
        </w:rPr>
        <w:t>فرض امر دیگری به قتل</w:t>
      </w:r>
      <w:bookmarkEnd w:id="7"/>
    </w:p>
    <w:p w:rsidR="008373B2" w:rsidRPr="008373B2" w:rsidRDefault="008373B2" w:rsidP="008373B2">
      <w:pPr>
        <w:spacing w:before="100" w:beforeAutospacing="1" w:after="100" w:afterAutospacing="1" w:line="240" w:lineRule="auto"/>
        <w:rPr>
          <w:rFonts w:ascii="Noor_Lotus" w:eastAsia="Times New Roman" w:hAnsi="Noor_Lotus" w:cs="Noor_Lotus"/>
          <w:color w:val="0000FF"/>
          <w:sz w:val="30"/>
          <w:szCs w:val="30"/>
          <w:rtl/>
        </w:rPr>
      </w:pPr>
      <w:r w:rsidRPr="008373B2">
        <w:rPr>
          <w:rFonts w:ascii="Noor_Lotus" w:eastAsia="Times New Roman" w:hAnsi="Noor_Lotus" w:cs="Noor_Lotus" w:hint="cs"/>
          <w:color w:val="0000FF"/>
          <w:sz w:val="30"/>
          <w:szCs w:val="30"/>
          <w:rtl/>
        </w:rPr>
        <w:t>لو أمر غيره بقتل أحد، فقتله، فعلى القاتل القود، و على الآمر الحبس مؤبّداً إلى أن يموت</w:t>
      </w:r>
      <w:r>
        <w:rPr>
          <w:rFonts w:ascii="Noor_Lotus" w:eastAsia="Times New Roman" w:hAnsi="Noor_Lotus" w:cs="Noor_Lotus" w:hint="cs"/>
          <w:color w:val="0000FF"/>
          <w:sz w:val="30"/>
          <w:szCs w:val="30"/>
          <w:rtl/>
        </w:rPr>
        <w:t>.</w:t>
      </w:r>
      <w:r>
        <w:rPr>
          <w:rStyle w:val="FootnoteReference"/>
          <w:rFonts w:ascii="Noor_Lotus" w:eastAsia="Times New Roman" w:hAnsi="Noor_Lotus" w:cs="Noor_Lotus"/>
          <w:color w:val="0000FF"/>
          <w:sz w:val="30"/>
          <w:szCs w:val="30"/>
          <w:rtl/>
        </w:rPr>
        <w:footnoteReference w:id="2"/>
      </w:r>
    </w:p>
    <w:p w:rsidR="007D77B3" w:rsidRPr="007D77B3" w:rsidRDefault="008373B2" w:rsidP="008373B2">
      <w:pPr>
        <w:rPr>
          <w:rtl/>
        </w:rPr>
      </w:pPr>
      <w:r w:rsidRPr="007D77B3">
        <w:rPr>
          <w:rtl/>
        </w:rPr>
        <w:lastRenderedPageBreak/>
        <w:t xml:space="preserve"> </w:t>
      </w:r>
      <w:r w:rsidR="007D77B3" w:rsidRPr="007D77B3">
        <w:rPr>
          <w:rtl/>
        </w:rPr>
        <w:t>مرحوم آقای خویی ره در ادامه</w:t>
      </w:r>
      <w:r>
        <w:rPr>
          <w:rFonts w:hint="cs"/>
          <w:rtl/>
        </w:rPr>
        <w:t xml:space="preserve"> بحث،</w:t>
      </w:r>
      <w:r w:rsidR="007D77B3" w:rsidRPr="007D77B3">
        <w:rPr>
          <w:rtl/>
        </w:rPr>
        <w:t xml:space="preserve"> فرضی را </w:t>
      </w:r>
      <w:r>
        <w:rPr>
          <w:rFonts w:hint="cs"/>
          <w:rtl/>
        </w:rPr>
        <w:t>در قالب مسأله 17 مطرح</w:t>
      </w:r>
      <w:r w:rsidR="007D77B3" w:rsidRPr="007D77B3">
        <w:rPr>
          <w:rtl/>
        </w:rPr>
        <w:t xml:space="preserve"> می کند که </w:t>
      </w:r>
      <w:r>
        <w:rPr>
          <w:rFonts w:hint="cs"/>
          <w:rtl/>
        </w:rPr>
        <w:t xml:space="preserve">مربوط به جایی است که </w:t>
      </w:r>
      <w:r>
        <w:rPr>
          <w:rtl/>
        </w:rPr>
        <w:t>شخص</w:t>
      </w:r>
      <w:r>
        <w:rPr>
          <w:rFonts w:hint="cs"/>
          <w:rtl/>
        </w:rPr>
        <w:t xml:space="preserve"> به واسطه امر دیگری، اقدام به قتل می کند که در این صورت </w:t>
      </w:r>
      <w:r w:rsidR="007D77B3" w:rsidRPr="007D77B3">
        <w:rPr>
          <w:rtl/>
        </w:rPr>
        <w:t xml:space="preserve">قاتل </w:t>
      </w:r>
      <w:r>
        <w:rPr>
          <w:rFonts w:hint="cs"/>
          <w:rtl/>
        </w:rPr>
        <w:t xml:space="preserve">مباشر </w:t>
      </w:r>
      <w:r>
        <w:rPr>
          <w:rtl/>
        </w:rPr>
        <w:t>قصاص</w:t>
      </w:r>
      <w:r>
        <w:rPr>
          <w:rFonts w:hint="cs"/>
          <w:rtl/>
        </w:rPr>
        <w:t xml:space="preserve">، و </w:t>
      </w:r>
      <w:r w:rsidR="007D77B3" w:rsidRPr="007D77B3">
        <w:rPr>
          <w:rtl/>
        </w:rPr>
        <w:t xml:space="preserve">آمر </w:t>
      </w:r>
      <w:r>
        <w:rPr>
          <w:rFonts w:hint="cs"/>
          <w:rtl/>
        </w:rPr>
        <w:t xml:space="preserve">به قتل، محکوم به </w:t>
      </w:r>
      <w:r w:rsidR="007D77B3" w:rsidRPr="007D77B3">
        <w:rPr>
          <w:rtl/>
        </w:rPr>
        <w:t>حبس م</w:t>
      </w:r>
      <w:r>
        <w:rPr>
          <w:rFonts w:hint="cs"/>
          <w:rtl/>
        </w:rPr>
        <w:t>ؤ</w:t>
      </w:r>
      <w:r w:rsidR="007D77B3" w:rsidRPr="007D77B3">
        <w:rPr>
          <w:rtl/>
        </w:rPr>
        <w:t>بد</w:t>
      </w:r>
      <w:r>
        <w:rPr>
          <w:rFonts w:hint="cs"/>
          <w:rtl/>
        </w:rPr>
        <w:t xml:space="preserve"> می شود</w:t>
      </w:r>
      <w:r w:rsidR="007D77B3" w:rsidRPr="007D77B3">
        <w:rPr>
          <w:rtl/>
        </w:rPr>
        <w:t>.</w:t>
      </w:r>
    </w:p>
    <w:p w:rsidR="007D77B3" w:rsidRPr="007D77B3" w:rsidRDefault="007D77B3" w:rsidP="008373B2">
      <w:pPr>
        <w:rPr>
          <w:rtl/>
        </w:rPr>
      </w:pPr>
      <w:r w:rsidRPr="007D77B3">
        <w:rPr>
          <w:rtl/>
        </w:rPr>
        <w:t xml:space="preserve">حکم </w:t>
      </w:r>
      <w:r w:rsidR="008373B2">
        <w:rPr>
          <w:rFonts w:hint="cs"/>
          <w:rtl/>
        </w:rPr>
        <w:t xml:space="preserve">فوق </w:t>
      </w:r>
      <w:r w:rsidRPr="007D77B3">
        <w:rPr>
          <w:rtl/>
        </w:rPr>
        <w:t>علاوه بر این که منصوص است</w:t>
      </w:r>
      <w:r w:rsidR="008373B2">
        <w:rPr>
          <w:rFonts w:hint="cs"/>
          <w:rtl/>
        </w:rPr>
        <w:t>،</w:t>
      </w:r>
      <w:r w:rsidRPr="007D77B3">
        <w:rPr>
          <w:rtl/>
        </w:rPr>
        <w:t xml:space="preserve"> مقتضای قاعده هم هست؛ چرا که آمر به قتل</w:t>
      </w:r>
      <w:r w:rsidR="008373B2">
        <w:rPr>
          <w:rFonts w:hint="cs"/>
          <w:rtl/>
        </w:rPr>
        <w:t xml:space="preserve">، </w:t>
      </w:r>
      <w:r w:rsidRPr="007D77B3">
        <w:rPr>
          <w:rtl/>
        </w:rPr>
        <w:t>بعد از استقلال مباشر در اراده</w:t>
      </w:r>
      <w:r w:rsidR="008373B2">
        <w:rPr>
          <w:rFonts w:hint="cs"/>
          <w:rtl/>
        </w:rPr>
        <w:t xml:space="preserve"> قتل، قاتل محسوب نمی شود،</w:t>
      </w:r>
      <w:r w:rsidRPr="007D77B3">
        <w:rPr>
          <w:rtl/>
        </w:rPr>
        <w:t xml:space="preserve"> ولو این که </w:t>
      </w:r>
      <w:r w:rsidR="008373B2">
        <w:rPr>
          <w:rFonts w:hint="cs"/>
          <w:rtl/>
        </w:rPr>
        <w:t xml:space="preserve">قاتل، </w:t>
      </w:r>
      <w:r w:rsidR="008373B2">
        <w:rPr>
          <w:rtl/>
        </w:rPr>
        <w:t xml:space="preserve">صبی ممیز و نابالغ باشد، </w:t>
      </w:r>
      <w:r w:rsidR="008373B2">
        <w:rPr>
          <w:rFonts w:hint="cs"/>
          <w:rtl/>
        </w:rPr>
        <w:t xml:space="preserve">و همان گونه که </w:t>
      </w:r>
      <w:r w:rsidRPr="007D77B3">
        <w:rPr>
          <w:rtl/>
        </w:rPr>
        <w:t xml:space="preserve">در </w:t>
      </w:r>
      <w:r w:rsidR="008373B2">
        <w:rPr>
          <w:rFonts w:hint="cs"/>
          <w:rtl/>
        </w:rPr>
        <w:t xml:space="preserve">فرض </w:t>
      </w:r>
      <w:r w:rsidRPr="007D77B3">
        <w:rPr>
          <w:rtl/>
        </w:rPr>
        <w:t xml:space="preserve">تقدیم طعام مسموم </w:t>
      </w:r>
      <w:r w:rsidR="008373B2">
        <w:rPr>
          <w:rFonts w:hint="cs"/>
          <w:rtl/>
        </w:rPr>
        <w:t xml:space="preserve">به غیر هم </w:t>
      </w:r>
      <w:r w:rsidR="008373B2">
        <w:rPr>
          <w:rtl/>
        </w:rPr>
        <w:t xml:space="preserve">علم مباشر قاطع استناد </w:t>
      </w:r>
      <w:r w:rsidR="008373B2">
        <w:rPr>
          <w:rFonts w:hint="cs"/>
          <w:rtl/>
        </w:rPr>
        <w:t xml:space="preserve">قتل به مقدِّم طعام </w:t>
      </w:r>
      <w:r w:rsidR="008373B2">
        <w:rPr>
          <w:rtl/>
        </w:rPr>
        <w:t>بود</w:t>
      </w:r>
      <w:r w:rsidR="008373B2">
        <w:rPr>
          <w:rFonts w:hint="cs"/>
          <w:rtl/>
        </w:rPr>
        <w:t xml:space="preserve">، در این جا نیز این اراده استناد قتل به آمر را ساقط می کند. </w:t>
      </w:r>
    </w:p>
    <w:p w:rsidR="00FF264B" w:rsidRDefault="00FF264B" w:rsidP="00FF264B">
      <w:pPr>
        <w:pStyle w:val="Heading7"/>
        <w:rPr>
          <w:rtl/>
        </w:rPr>
      </w:pPr>
      <w:bookmarkStart w:id="8" w:name="_Toc501378413"/>
      <w:r>
        <w:rPr>
          <w:rtl/>
        </w:rPr>
        <w:t>صحیحه زراره</w:t>
      </w:r>
      <w:bookmarkEnd w:id="8"/>
    </w:p>
    <w:p w:rsidR="007D77B3" w:rsidRPr="007D77B3" w:rsidRDefault="007D77B3" w:rsidP="00FF264B">
      <w:pPr>
        <w:spacing w:line="240" w:lineRule="auto"/>
        <w:rPr>
          <w:rFonts w:ascii="IRNazanin" w:eastAsia="Times New Roman" w:hAnsi="IRNazanin" w:cs="IRNazanin"/>
          <w:color w:val="008000"/>
          <w:sz w:val="36"/>
          <w:szCs w:val="36"/>
          <w:rtl/>
        </w:rPr>
      </w:pPr>
      <w:r w:rsidRPr="007D77B3">
        <w:rPr>
          <w:rFonts w:ascii="IRNazanin" w:eastAsia="Times New Roman" w:hAnsi="IRNazanin" w:cs="IRNazanin"/>
          <w:color w:val="008000"/>
          <w:sz w:val="36"/>
          <w:szCs w:val="36"/>
          <w:rtl/>
        </w:rPr>
        <w:t xml:space="preserve"> </w:t>
      </w:r>
      <w:r w:rsidRPr="007D77B3">
        <w:rPr>
          <w:rFonts w:ascii="Traditional Arabic" w:eastAsia="Times New Roman" w:hAnsi="IRNazanin" w:cs="Traditional Arabic" w:hint="cs"/>
          <w:color w:val="008000"/>
          <w:sz w:val="35"/>
          <w:szCs w:val="35"/>
          <w:rtl/>
        </w:rPr>
        <w:t>مُحَمَّدُ بْنُ يَعْقُوبَ عَنْ مُحَمَّدِ بْنِ يَحْيَى عَنْ أَحْمَدَ بْنِ مُحَمَّدٍ وَ عَنْ عِدَّةٍ مِنْ أَصْحَابِنَا عَنْ سَهْلِ بْنِ زِيَادٍ جَمِيعاً عَنِ ابْنِ مَحْبُوبٍ عَنِ ابْنِ رِئَابٍ عَنْ زُرَارَةَ عَنْ أَبِي جَعْفَرٍ ع</w:t>
      </w:r>
      <w:r w:rsidRPr="007D77B3">
        <w:rPr>
          <w:rFonts w:ascii="Noor_Lotus" w:eastAsia="Times New Roman" w:hAnsi="Noor_Lotus" w:cs="Noor_Lotus"/>
          <w:color w:val="008000"/>
          <w:sz w:val="35"/>
          <w:szCs w:val="35"/>
          <w:rtl/>
        </w:rPr>
        <w:t xml:space="preserve"> فِي رَجُلٍ أَمَرَ رَجُلًا بِقَتْلِ رَجُلٍ- فَقَالَ يُقْتَلُ بِهِ الَّذِي قَتَلَهُ- وَ يُحْبَسُ الْآمِرُ بِقَتْلِهِ فِي الْحَبْسِ حَتَّى يَمُوتَ.</w:t>
      </w:r>
      <w:r w:rsidR="00FF264B">
        <w:rPr>
          <w:rStyle w:val="FootnoteReference"/>
          <w:rFonts w:ascii="Noor_Lotus" w:eastAsia="Times New Roman" w:hAnsi="Noor_Lotus" w:cs="Noor_Lotus"/>
          <w:color w:val="008000"/>
          <w:sz w:val="35"/>
          <w:szCs w:val="35"/>
          <w:rtl/>
        </w:rPr>
        <w:footnoteReference w:id="3"/>
      </w:r>
    </w:p>
    <w:p w:rsidR="00FF264B" w:rsidRDefault="00FF264B" w:rsidP="00FF264B">
      <w:pPr>
        <w:pStyle w:val="Heading8"/>
        <w:rPr>
          <w:rtl/>
        </w:rPr>
      </w:pPr>
      <w:bookmarkStart w:id="9" w:name="_Toc501378414"/>
      <w:r>
        <w:rPr>
          <w:rFonts w:hint="cs"/>
          <w:rtl/>
        </w:rPr>
        <w:t>دلالت روایت</w:t>
      </w:r>
      <w:bookmarkEnd w:id="9"/>
    </w:p>
    <w:p w:rsidR="00FF264B" w:rsidRDefault="00FF264B" w:rsidP="00FF264B">
      <w:pPr>
        <w:rPr>
          <w:rtl/>
        </w:rPr>
      </w:pPr>
      <w:r>
        <w:rPr>
          <w:rFonts w:hint="cs"/>
          <w:rtl/>
        </w:rPr>
        <w:t>با توجه به این که در متن روایت از تعبیر رجل استفاده شده است، مناسب است که مطلبی پیرامون موضوعیت و یا الغای خصوصیت از این عنوان در متون روایی و کلمات اصحاب و قوانین موجود بیان شود.</w:t>
      </w:r>
    </w:p>
    <w:p w:rsidR="00FF264B" w:rsidRDefault="00FF264B" w:rsidP="00F6295D">
      <w:pPr>
        <w:pStyle w:val="Heading9"/>
        <w:rPr>
          <w:rtl/>
        </w:rPr>
      </w:pPr>
      <w:bookmarkStart w:id="10" w:name="_Toc501378415"/>
      <w:r>
        <w:rPr>
          <w:rFonts w:hint="cs"/>
          <w:rtl/>
        </w:rPr>
        <w:t xml:space="preserve">الغای خصوصیت از «رجل» در موارد </w:t>
      </w:r>
      <w:r w:rsidR="00F6295D">
        <w:rPr>
          <w:rFonts w:hint="cs"/>
          <w:rtl/>
        </w:rPr>
        <w:t>وقوع حکم علی نفسه</w:t>
      </w:r>
      <w:bookmarkEnd w:id="10"/>
      <w:r>
        <w:rPr>
          <w:rFonts w:hint="cs"/>
          <w:rtl/>
        </w:rPr>
        <w:t xml:space="preserve"> </w:t>
      </w:r>
    </w:p>
    <w:p w:rsidR="00F6295D" w:rsidRDefault="007D77B3" w:rsidP="00FF264B">
      <w:pPr>
        <w:rPr>
          <w:rtl/>
        </w:rPr>
      </w:pPr>
      <w:r w:rsidRPr="007D77B3">
        <w:rPr>
          <w:rtl/>
        </w:rPr>
        <w:t xml:space="preserve">در عناوینی که در موضوعات احکام </w:t>
      </w:r>
      <w:r w:rsidR="00F6295D">
        <w:rPr>
          <w:rFonts w:hint="cs"/>
          <w:rtl/>
        </w:rPr>
        <w:t>وجود دارد، اصل دال بر این است که این عناوین موضوعیت داشته باشند، منتهی در مواردی از این اصل اولی رفع ید و در حقیقت استثناء می شود که یکی از این موارد استثنایی، کلمه «رجل» است.</w:t>
      </w:r>
    </w:p>
    <w:p w:rsidR="00F6295D" w:rsidRDefault="00F6295D" w:rsidP="00FF264B">
      <w:pPr>
        <w:rPr>
          <w:rtl/>
        </w:rPr>
      </w:pPr>
      <w:r>
        <w:rPr>
          <w:rFonts w:hint="cs"/>
          <w:rtl/>
        </w:rPr>
        <w:t>اما آیا در همه مواردی که این واژه استعمال می شود، موضوعیت نداشته و می بایست الغای خصوصیت نمود؟ حق این است که این الغای خصوصیت هم قیود و تفاصیلی دارد و در همه موارد این الغای خصوصیت عرفی نیست، بلکه تنها در مواردی که حکم روی خود همین «رجل» بار می شود، الغای خصوصیت از آن می شود، اما در جاهایی که این گونه نیست و حکم روی غیر بار شده است، عنوان «رجل» بر طبق همان اصل اولی، موضوعیت دارد و الغای خصوصیت منتفی است.</w:t>
      </w:r>
    </w:p>
    <w:p w:rsidR="007D77B3" w:rsidRPr="007D77B3" w:rsidRDefault="00F6295D" w:rsidP="00E06709">
      <w:pPr>
        <w:rPr>
          <w:rtl/>
        </w:rPr>
      </w:pPr>
      <w:r>
        <w:rPr>
          <w:rFonts w:hint="cs"/>
          <w:rtl/>
        </w:rPr>
        <w:lastRenderedPageBreak/>
        <w:t xml:space="preserve">به عنوان مثال، </w:t>
      </w:r>
      <w:r w:rsidR="00061435">
        <w:rPr>
          <w:rFonts w:hint="cs"/>
          <w:rtl/>
        </w:rPr>
        <w:t>در جمله «اذا شهد الرجل بالهلال، فأفطر»، با توجه به این که رجل موضوع حکم بر دیگری شده است، و با صرف نظر از نصوصی که رؤیت زن را کافی نمی داند، الغای خصوصیت منتفی است، کما این که در مورد رجوع به قاضی</w:t>
      </w:r>
      <w:r w:rsidR="00061435">
        <w:rPr>
          <w:rStyle w:val="FootnoteReference"/>
          <w:rtl/>
        </w:rPr>
        <w:footnoteReference w:id="4"/>
      </w:r>
      <w:r w:rsidR="00061435">
        <w:rPr>
          <w:rFonts w:hint="cs"/>
          <w:rtl/>
        </w:rPr>
        <w:t xml:space="preserve"> و فقیه نیز نمی توان از رجل الغای خصوصیت نمود.</w:t>
      </w:r>
    </w:p>
    <w:p w:rsidR="007D77B3" w:rsidRPr="007D77B3" w:rsidRDefault="007D77B3" w:rsidP="00E06709">
      <w:pPr>
        <w:rPr>
          <w:rtl/>
        </w:rPr>
      </w:pPr>
      <w:r w:rsidRPr="007D77B3">
        <w:rPr>
          <w:rtl/>
        </w:rPr>
        <w:t xml:space="preserve">سر این مطلب </w:t>
      </w:r>
      <w:r w:rsidR="00E06709">
        <w:rPr>
          <w:rFonts w:hint="cs"/>
          <w:rtl/>
        </w:rPr>
        <w:t>و این نکته هم در این</w:t>
      </w:r>
      <w:r w:rsidR="00E06709">
        <w:rPr>
          <w:rtl/>
        </w:rPr>
        <w:t xml:space="preserve"> است که </w:t>
      </w:r>
      <w:r w:rsidR="00E06709">
        <w:rPr>
          <w:rFonts w:hint="cs"/>
          <w:rtl/>
        </w:rPr>
        <w:t>متفاهم عرفی از</w:t>
      </w:r>
      <w:r w:rsidR="00E06709">
        <w:rPr>
          <w:rtl/>
        </w:rPr>
        <w:t xml:space="preserve"> مواردی</w:t>
      </w:r>
      <w:r w:rsidR="00E06709">
        <w:rPr>
          <w:rFonts w:hint="cs"/>
          <w:rtl/>
        </w:rPr>
        <w:t xml:space="preserve"> که</w:t>
      </w:r>
      <w:r w:rsidRPr="007D77B3">
        <w:rPr>
          <w:rtl/>
        </w:rPr>
        <w:t xml:space="preserve"> رجل موضوع حکم خودش قرار می گیرد،</w:t>
      </w:r>
      <w:r w:rsidR="00E06709">
        <w:rPr>
          <w:rFonts w:hint="cs"/>
          <w:rtl/>
        </w:rPr>
        <w:t xml:space="preserve"> </w:t>
      </w:r>
      <w:r w:rsidRPr="007D77B3">
        <w:rPr>
          <w:rtl/>
        </w:rPr>
        <w:t>مشیر به مکلف</w:t>
      </w:r>
      <w:r w:rsidR="00E06709">
        <w:rPr>
          <w:rtl/>
        </w:rPr>
        <w:t xml:space="preserve"> است، </w:t>
      </w:r>
      <w:r w:rsidR="00E06709">
        <w:rPr>
          <w:rFonts w:hint="cs"/>
          <w:rtl/>
        </w:rPr>
        <w:t>و در واقع عرف از چنین قالبی این گونه می فهمد، بر خلاف مواردی که حکم برای دیگران اثبات می شود که رجل در آن ها بر اساس همان اصل احترازی بودن عناوین و قیود، موضوعیت دارد و از آن الغای خصوصیت نمی شود.</w:t>
      </w:r>
    </w:p>
    <w:p w:rsidR="007D77B3" w:rsidRPr="007D77B3" w:rsidRDefault="00E06709" w:rsidP="00E06709">
      <w:pPr>
        <w:rPr>
          <w:rtl/>
        </w:rPr>
      </w:pPr>
      <w:r>
        <w:rPr>
          <w:rFonts w:hint="cs"/>
          <w:rtl/>
        </w:rPr>
        <w:t>از جمله مواردی که قابلیت تطبیق بر این قاعده را دارد، این بخش از قانون اساسی جمهوری اسلامی است که در آن یکی از شرایط رئیس جمهور را «رجل سیاسی مذهبی» دانسته است، و طبیعتا از آن جا که در این جا بحث از حکم ولایت و ریاست این فرد بر دیگران است، بر اساس قاعده ما نحن فیه، نمی توان از رجل الغای خصوصیت نمود.</w:t>
      </w:r>
    </w:p>
    <w:p w:rsidR="007D77B3" w:rsidRPr="007D77B3" w:rsidRDefault="00E06709" w:rsidP="00E06709">
      <w:pPr>
        <w:rPr>
          <w:rtl/>
        </w:rPr>
      </w:pPr>
      <w:r>
        <w:rPr>
          <w:rFonts w:hint="cs"/>
          <w:rtl/>
        </w:rPr>
        <w:t xml:space="preserve">این قاعده به صراحت در کلام </w:t>
      </w:r>
      <w:r w:rsidR="007D77B3" w:rsidRPr="007D77B3">
        <w:rPr>
          <w:rtl/>
        </w:rPr>
        <w:t xml:space="preserve">مرحوم آقای حکیم </w:t>
      </w:r>
      <w:r>
        <w:rPr>
          <w:rFonts w:hint="cs"/>
          <w:rtl/>
        </w:rPr>
        <w:t xml:space="preserve">قدس سره در مستمسک وجود دارد، و ایشان نیز قائل به همین مطلب در الغای خصوصیت شده است. </w:t>
      </w:r>
    </w:p>
    <w:p w:rsidR="007D77B3" w:rsidRPr="007D77B3" w:rsidRDefault="007D77B3" w:rsidP="00101AEB">
      <w:pPr>
        <w:rPr>
          <w:rtl/>
        </w:rPr>
      </w:pPr>
      <w:r w:rsidRPr="007D77B3">
        <w:rPr>
          <w:rtl/>
        </w:rPr>
        <w:t xml:space="preserve">اما </w:t>
      </w:r>
      <w:r w:rsidR="00101AEB">
        <w:rPr>
          <w:rFonts w:hint="cs"/>
          <w:rtl/>
        </w:rPr>
        <w:t xml:space="preserve">برای </w:t>
      </w:r>
      <w:r w:rsidRPr="007D77B3">
        <w:rPr>
          <w:rtl/>
        </w:rPr>
        <w:t xml:space="preserve">تطبیق این </w:t>
      </w:r>
      <w:r w:rsidR="00101AEB">
        <w:rPr>
          <w:rFonts w:hint="cs"/>
          <w:rtl/>
        </w:rPr>
        <w:t xml:space="preserve">قاعده در </w:t>
      </w:r>
      <w:r w:rsidRPr="007D77B3">
        <w:rPr>
          <w:rtl/>
        </w:rPr>
        <w:t xml:space="preserve">روایت </w:t>
      </w:r>
      <w:r w:rsidR="00101AEB">
        <w:rPr>
          <w:rFonts w:hint="cs"/>
          <w:rtl/>
        </w:rPr>
        <w:t>زراره در مقام باید گفت؛ با توجه به این که د</w:t>
      </w:r>
      <w:r w:rsidRPr="007D77B3">
        <w:rPr>
          <w:rtl/>
        </w:rPr>
        <w:t>ر این روایت</w:t>
      </w:r>
      <w:r w:rsidR="00101AEB">
        <w:rPr>
          <w:rFonts w:hint="cs"/>
          <w:rtl/>
        </w:rPr>
        <w:t>،</w:t>
      </w:r>
      <w:r w:rsidRPr="007D77B3">
        <w:rPr>
          <w:rtl/>
        </w:rPr>
        <w:t xml:space="preserve"> </w:t>
      </w:r>
      <w:r w:rsidR="00101AEB">
        <w:rPr>
          <w:rFonts w:hint="cs"/>
          <w:rtl/>
        </w:rPr>
        <w:t>«</w:t>
      </w:r>
      <w:r w:rsidRPr="007D77B3">
        <w:rPr>
          <w:rtl/>
        </w:rPr>
        <w:t>رجل</w:t>
      </w:r>
      <w:r w:rsidR="00101AEB">
        <w:rPr>
          <w:rFonts w:hint="cs"/>
          <w:rtl/>
        </w:rPr>
        <w:t>»</w:t>
      </w:r>
      <w:r w:rsidRPr="007D77B3">
        <w:rPr>
          <w:rtl/>
        </w:rPr>
        <w:t xml:space="preserve"> موضوع حکم خودش </w:t>
      </w:r>
      <w:r w:rsidR="00101AEB">
        <w:rPr>
          <w:rFonts w:hint="cs"/>
          <w:rtl/>
        </w:rPr>
        <w:t xml:space="preserve">قرار گرفته </w:t>
      </w:r>
      <w:r w:rsidR="00101AEB">
        <w:rPr>
          <w:rtl/>
        </w:rPr>
        <w:t>است</w:t>
      </w:r>
      <w:r w:rsidR="00101AEB">
        <w:rPr>
          <w:rFonts w:hint="cs"/>
          <w:rtl/>
        </w:rPr>
        <w:t>،</w:t>
      </w:r>
      <w:r w:rsidRPr="007D77B3">
        <w:rPr>
          <w:rtl/>
        </w:rPr>
        <w:t xml:space="preserve"> الغای خصوصیت جریان پیدا می کند و در مورد مرئة هم این احکام در </w:t>
      </w:r>
      <w:r w:rsidR="00101AEB">
        <w:rPr>
          <w:rFonts w:hint="cs"/>
          <w:rtl/>
        </w:rPr>
        <w:t xml:space="preserve">قاتل و آمر جاری و ساری است. منتهی، </w:t>
      </w:r>
      <w:r w:rsidRPr="00101AEB">
        <w:rPr>
          <w:rtl/>
        </w:rPr>
        <w:t xml:space="preserve">در مورد رجل سوم </w:t>
      </w:r>
      <w:r w:rsidR="00101AEB">
        <w:rPr>
          <w:rFonts w:hint="cs"/>
          <w:rtl/>
        </w:rPr>
        <w:t xml:space="preserve">در این روایت </w:t>
      </w:r>
      <w:r w:rsidRPr="00101AEB">
        <w:rPr>
          <w:rtl/>
        </w:rPr>
        <w:t xml:space="preserve">که </w:t>
      </w:r>
      <w:r w:rsidR="00101AEB">
        <w:rPr>
          <w:rFonts w:hint="cs"/>
          <w:rtl/>
        </w:rPr>
        <w:t xml:space="preserve">همان </w:t>
      </w:r>
      <w:r w:rsidRPr="00101AEB">
        <w:rPr>
          <w:rtl/>
        </w:rPr>
        <w:t>مقتول است</w:t>
      </w:r>
      <w:r w:rsidR="00101AEB">
        <w:rPr>
          <w:rFonts w:hint="cs"/>
          <w:rtl/>
        </w:rPr>
        <w:t>،</w:t>
      </w:r>
      <w:r w:rsidRPr="00101AEB">
        <w:rPr>
          <w:rtl/>
        </w:rPr>
        <w:t xml:space="preserve"> </w:t>
      </w:r>
      <w:r w:rsidR="00101AEB">
        <w:rPr>
          <w:rFonts w:hint="cs"/>
          <w:rtl/>
        </w:rPr>
        <w:t xml:space="preserve">با توجه به این که این «رجل» موضوع حکم بر دیگران واقع شده است، الغای خصوصیت منتفی است و برای تعمیم حکم به مرأة می بایست عدم فرق بین زن و مرد را در این جا اثبات نمود، اما اگر در موردی </w:t>
      </w:r>
      <w:r w:rsidRPr="007D77B3">
        <w:rPr>
          <w:rtl/>
        </w:rPr>
        <w:t xml:space="preserve">مقتول </w:t>
      </w:r>
      <w:r w:rsidR="00101AEB">
        <w:rPr>
          <w:rFonts w:hint="cs"/>
          <w:rtl/>
        </w:rPr>
        <w:t xml:space="preserve">فوق </w:t>
      </w:r>
      <w:r w:rsidR="00101AEB">
        <w:rPr>
          <w:rtl/>
        </w:rPr>
        <w:t>صبی باشد، کار مشکل می شود</w:t>
      </w:r>
      <w:r w:rsidR="00101AEB">
        <w:rPr>
          <w:rFonts w:hint="cs"/>
          <w:rtl/>
        </w:rPr>
        <w:t xml:space="preserve"> و حکم به قصاص نیاز به دلیل و اثبات دارد.</w:t>
      </w:r>
    </w:p>
    <w:p w:rsidR="007D77B3" w:rsidRPr="007D77B3" w:rsidRDefault="007D77B3" w:rsidP="007D77B3">
      <w:pPr>
        <w:spacing w:line="240" w:lineRule="auto"/>
        <w:rPr>
          <w:rFonts w:ascii="IRNazanin" w:eastAsia="Times New Roman" w:hAnsi="IRNazanin" w:cs="IRNazanin"/>
          <w:color w:val="000000"/>
          <w:sz w:val="36"/>
          <w:szCs w:val="36"/>
          <w:rtl/>
        </w:rPr>
      </w:pPr>
      <w:r w:rsidRPr="007D77B3">
        <w:rPr>
          <w:rFonts w:ascii="Cambria" w:eastAsia="Times New Roman" w:hAnsi="Cambria" w:cs="Cambria" w:hint="cs"/>
          <w:color w:val="000000"/>
          <w:sz w:val="36"/>
          <w:szCs w:val="36"/>
          <w:rtl/>
        </w:rPr>
        <w:t> </w:t>
      </w:r>
    </w:p>
    <w:p w:rsidR="007D77B3" w:rsidRPr="007D77B3" w:rsidRDefault="007D77B3" w:rsidP="007D77B3">
      <w:pPr>
        <w:spacing w:line="240" w:lineRule="auto"/>
        <w:rPr>
          <w:rFonts w:ascii="IRNazanin" w:eastAsia="Times New Roman" w:hAnsi="IRNazanin" w:cs="IRNazanin"/>
          <w:color w:val="000000"/>
          <w:sz w:val="36"/>
          <w:szCs w:val="36"/>
          <w:rtl/>
        </w:rPr>
      </w:pPr>
      <w:r w:rsidRPr="007D77B3">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2A68" w:rsidRDefault="00B62A68" w:rsidP="008B750B">
      <w:pPr>
        <w:spacing w:line="240" w:lineRule="auto"/>
      </w:pPr>
      <w:r>
        <w:separator/>
      </w:r>
    </w:p>
  </w:endnote>
  <w:endnote w:type="continuationSeparator" w:id="0">
    <w:p w:rsidR="00B62A68" w:rsidRDefault="00B62A6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Traditional Arabic">
    <w:panose1 w:val="02020603050405020304"/>
    <w:charset w:val="00"/>
    <w:family w:val="roman"/>
    <w:pitch w:val="variable"/>
    <w:sig w:usb0="00002003" w:usb1="80000000" w:usb2="00000008"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04"/>
      <w:gridCol w:w="2202"/>
      <w:gridCol w:w="4698"/>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AD27EB" w:rsidRPr="00AD27EB">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3074FE" w:rsidP="001B6799">
          <w:pPr>
            <w:pStyle w:val="Footer"/>
            <w:bidi w:val="0"/>
            <w:rPr>
              <w:color w:val="808080" w:themeColor="background1" w:themeShade="80"/>
              <w:rtl/>
            </w:rPr>
          </w:pPr>
          <w:bookmarkStart w:id="18" w:name="BokAdres"/>
          <w:bookmarkEnd w:id="18"/>
          <w:r>
            <w:rPr>
              <w:color w:val="808080" w:themeColor="background1" w:themeShade="80"/>
            </w:rPr>
            <w:t>F1mq1_13960927-043_ar1_mfeb.ir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2A68" w:rsidRDefault="00B62A68" w:rsidP="008B750B">
      <w:pPr>
        <w:spacing w:line="240" w:lineRule="auto"/>
      </w:pPr>
      <w:r>
        <w:separator/>
      </w:r>
    </w:p>
  </w:footnote>
  <w:footnote w:type="continuationSeparator" w:id="0">
    <w:p w:rsidR="00B62A68" w:rsidRDefault="00B62A68" w:rsidP="008B750B">
      <w:pPr>
        <w:spacing w:line="240" w:lineRule="auto"/>
      </w:pPr>
      <w:r>
        <w:continuationSeparator/>
      </w:r>
    </w:p>
  </w:footnote>
  <w:footnote w:id="1">
    <w:p w:rsidR="002B374A" w:rsidRPr="002B374A" w:rsidRDefault="002B374A" w:rsidP="002B374A">
      <w:pPr>
        <w:pStyle w:val="FootnoteText"/>
      </w:pPr>
      <w:r w:rsidRPr="002B374A">
        <w:footnoteRef/>
      </w:r>
      <w:r>
        <w:rPr>
          <w:rFonts w:hint="cs"/>
          <w:rtl/>
        </w:rPr>
        <w:t>.</w:t>
      </w:r>
      <w:r w:rsidRPr="002B374A">
        <w:rPr>
          <w:rtl/>
        </w:rPr>
        <w:t xml:space="preserve"> </w:t>
      </w:r>
      <w:hyperlink r:id="rId1" w:history="1">
        <w:r w:rsidRPr="002B374A">
          <w:rPr>
            <w:rStyle w:val="Hyperlink"/>
            <w:rFonts w:hint="cs"/>
            <w:rtl/>
          </w:rPr>
          <w:t>مجمع</w:t>
        </w:r>
        <w:r w:rsidRPr="002B374A">
          <w:rPr>
            <w:rStyle w:val="Hyperlink"/>
            <w:rtl/>
          </w:rPr>
          <w:t xml:space="preserve"> </w:t>
        </w:r>
        <w:r w:rsidRPr="002B374A">
          <w:rPr>
            <w:rStyle w:val="Hyperlink"/>
            <w:rFonts w:hint="cs"/>
            <w:rtl/>
          </w:rPr>
          <w:t>الفائده</w:t>
        </w:r>
        <w:r w:rsidRPr="002B374A">
          <w:rPr>
            <w:rStyle w:val="Hyperlink"/>
            <w:rtl/>
          </w:rPr>
          <w:t xml:space="preserve"> </w:t>
        </w:r>
        <w:r w:rsidRPr="002B374A">
          <w:rPr>
            <w:rStyle w:val="Hyperlink"/>
            <w:rFonts w:hint="cs"/>
            <w:rtl/>
          </w:rPr>
          <w:t>و</w:t>
        </w:r>
        <w:r w:rsidRPr="002B374A">
          <w:rPr>
            <w:rStyle w:val="Hyperlink"/>
            <w:rtl/>
          </w:rPr>
          <w:t xml:space="preserve"> </w:t>
        </w:r>
        <w:r w:rsidRPr="002B374A">
          <w:rPr>
            <w:rStyle w:val="Hyperlink"/>
            <w:rFonts w:hint="cs"/>
            <w:rtl/>
          </w:rPr>
          <w:t>البرهان،</w:t>
        </w:r>
        <w:r w:rsidRPr="002B374A">
          <w:rPr>
            <w:rStyle w:val="Hyperlink"/>
            <w:rtl/>
          </w:rPr>
          <w:t xml:space="preserve"> </w:t>
        </w:r>
        <w:r w:rsidRPr="002B374A">
          <w:rPr>
            <w:rStyle w:val="Hyperlink"/>
            <w:rFonts w:hint="cs"/>
            <w:rtl/>
          </w:rPr>
          <w:t>مقدس</w:t>
        </w:r>
        <w:r w:rsidRPr="002B374A">
          <w:rPr>
            <w:rStyle w:val="Hyperlink"/>
            <w:rtl/>
          </w:rPr>
          <w:t xml:space="preserve"> </w:t>
        </w:r>
        <w:r w:rsidRPr="002B374A">
          <w:rPr>
            <w:rStyle w:val="Hyperlink"/>
            <w:rFonts w:hint="cs"/>
            <w:rtl/>
          </w:rPr>
          <w:t>اردبیلی،</w:t>
        </w:r>
        <w:r w:rsidRPr="002B374A">
          <w:rPr>
            <w:rStyle w:val="Hyperlink"/>
            <w:rtl/>
          </w:rPr>
          <w:t xml:space="preserve"> </w:t>
        </w:r>
        <w:r w:rsidRPr="002B374A">
          <w:rPr>
            <w:rStyle w:val="Hyperlink"/>
            <w:rFonts w:hint="cs"/>
            <w:rtl/>
          </w:rPr>
          <w:t>ج</w:t>
        </w:r>
        <w:r w:rsidRPr="002B374A">
          <w:rPr>
            <w:rStyle w:val="Hyperlink"/>
            <w:rtl/>
          </w:rPr>
          <w:t>13</w:t>
        </w:r>
        <w:r w:rsidRPr="002B374A">
          <w:rPr>
            <w:rStyle w:val="Hyperlink"/>
            <w:rFonts w:hint="cs"/>
            <w:rtl/>
          </w:rPr>
          <w:t>،</w:t>
        </w:r>
        <w:r w:rsidRPr="002B374A">
          <w:rPr>
            <w:rStyle w:val="Hyperlink"/>
            <w:rtl/>
          </w:rPr>
          <w:t xml:space="preserve"> </w:t>
        </w:r>
        <w:r w:rsidRPr="002B374A">
          <w:rPr>
            <w:rStyle w:val="Hyperlink"/>
            <w:rFonts w:hint="cs"/>
            <w:rtl/>
          </w:rPr>
          <w:t>ص</w:t>
        </w:r>
        <w:r w:rsidRPr="002B374A">
          <w:rPr>
            <w:rStyle w:val="Hyperlink"/>
            <w:rtl/>
          </w:rPr>
          <w:t>400</w:t>
        </w:r>
        <w:r w:rsidRPr="002B374A">
          <w:rPr>
            <w:rStyle w:val="Hyperlink"/>
          </w:rPr>
          <w:t>.</w:t>
        </w:r>
      </w:hyperlink>
    </w:p>
  </w:footnote>
  <w:footnote w:id="2">
    <w:p w:rsidR="008373B2" w:rsidRPr="008373B2" w:rsidRDefault="008373B2" w:rsidP="008373B2">
      <w:pPr>
        <w:pStyle w:val="FootnoteText"/>
      </w:pPr>
      <w:r w:rsidRPr="008373B2">
        <w:footnoteRef/>
      </w:r>
      <w:r>
        <w:rPr>
          <w:rFonts w:hint="cs"/>
          <w:rtl/>
        </w:rPr>
        <w:t>.</w:t>
      </w:r>
      <w:r w:rsidRPr="008373B2">
        <w:rPr>
          <w:rtl/>
        </w:rPr>
        <w:t xml:space="preserve"> </w:t>
      </w:r>
      <w:hyperlink r:id="rId2" w:history="1">
        <w:r w:rsidRPr="008373B2">
          <w:rPr>
            <w:rStyle w:val="Hyperlink"/>
            <w:rFonts w:hint="cs"/>
            <w:rtl/>
          </w:rPr>
          <w:t>موسوعة</w:t>
        </w:r>
        <w:r w:rsidRPr="008373B2">
          <w:rPr>
            <w:rStyle w:val="Hyperlink"/>
            <w:rtl/>
          </w:rPr>
          <w:t xml:space="preserve"> </w:t>
        </w:r>
        <w:r w:rsidRPr="008373B2">
          <w:rPr>
            <w:rStyle w:val="Hyperlink"/>
            <w:rFonts w:hint="cs"/>
            <w:rtl/>
          </w:rPr>
          <w:t>الامام</w:t>
        </w:r>
        <w:r w:rsidRPr="008373B2">
          <w:rPr>
            <w:rStyle w:val="Hyperlink"/>
            <w:rtl/>
          </w:rPr>
          <w:t xml:space="preserve"> </w:t>
        </w:r>
        <w:r w:rsidRPr="008373B2">
          <w:rPr>
            <w:rStyle w:val="Hyperlink"/>
            <w:rFonts w:hint="cs"/>
            <w:rtl/>
          </w:rPr>
          <w:t>الخوئی،</w:t>
        </w:r>
        <w:r w:rsidRPr="008373B2">
          <w:rPr>
            <w:rStyle w:val="Hyperlink"/>
            <w:rtl/>
          </w:rPr>
          <w:t xml:space="preserve"> </w:t>
        </w:r>
        <w:r w:rsidRPr="008373B2">
          <w:rPr>
            <w:rStyle w:val="Hyperlink"/>
            <w:rFonts w:hint="cs"/>
            <w:rtl/>
          </w:rPr>
          <w:t>السید</w:t>
        </w:r>
        <w:r w:rsidRPr="008373B2">
          <w:rPr>
            <w:rStyle w:val="Hyperlink"/>
            <w:rtl/>
          </w:rPr>
          <w:t xml:space="preserve"> </w:t>
        </w:r>
        <w:r w:rsidRPr="008373B2">
          <w:rPr>
            <w:rStyle w:val="Hyperlink"/>
            <w:rFonts w:hint="cs"/>
            <w:rtl/>
          </w:rPr>
          <w:t>أبوالقاسم</w:t>
        </w:r>
        <w:r w:rsidRPr="008373B2">
          <w:rPr>
            <w:rStyle w:val="Hyperlink"/>
            <w:rtl/>
          </w:rPr>
          <w:t xml:space="preserve"> </w:t>
        </w:r>
        <w:r w:rsidRPr="008373B2">
          <w:rPr>
            <w:rStyle w:val="Hyperlink"/>
            <w:rFonts w:hint="cs"/>
            <w:rtl/>
          </w:rPr>
          <w:t>الخوئی،</w:t>
        </w:r>
        <w:r w:rsidRPr="008373B2">
          <w:rPr>
            <w:rStyle w:val="Hyperlink"/>
            <w:rtl/>
          </w:rPr>
          <w:t xml:space="preserve"> </w:t>
        </w:r>
        <w:r w:rsidRPr="008373B2">
          <w:rPr>
            <w:rStyle w:val="Hyperlink"/>
            <w:rFonts w:hint="cs"/>
            <w:rtl/>
          </w:rPr>
          <w:t>ج</w:t>
        </w:r>
        <w:r w:rsidRPr="008373B2">
          <w:rPr>
            <w:rStyle w:val="Hyperlink"/>
            <w:rtl/>
          </w:rPr>
          <w:t>42</w:t>
        </w:r>
        <w:r w:rsidRPr="008373B2">
          <w:rPr>
            <w:rStyle w:val="Hyperlink"/>
            <w:rFonts w:hint="cs"/>
            <w:rtl/>
          </w:rPr>
          <w:t>،</w:t>
        </w:r>
        <w:r w:rsidRPr="008373B2">
          <w:rPr>
            <w:rStyle w:val="Hyperlink"/>
            <w:rtl/>
          </w:rPr>
          <w:t xml:space="preserve"> </w:t>
        </w:r>
        <w:r w:rsidRPr="008373B2">
          <w:rPr>
            <w:rStyle w:val="Hyperlink"/>
            <w:rFonts w:hint="cs"/>
            <w:rtl/>
          </w:rPr>
          <w:t>ص</w:t>
        </w:r>
        <w:r w:rsidRPr="008373B2">
          <w:rPr>
            <w:rStyle w:val="Hyperlink"/>
            <w:rtl/>
          </w:rPr>
          <w:t>13</w:t>
        </w:r>
        <w:r w:rsidRPr="008373B2">
          <w:rPr>
            <w:rStyle w:val="Hyperlink"/>
          </w:rPr>
          <w:t>.</w:t>
        </w:r>
      </w:hyperlink>
    </w:p>
  </w:footnote>
  <w:footnote w:id="3">
    <w:p w:rsidR="00FF264B" w:rsidRPr="00FF264B" w:rsidRDefault="00FF264B" w:rsidP="00FF264B">
      <w:pPr>
        <w:pStyle w:val="FootnoteText"/>
      </w:pPr>
      <w:r w:rsidRPr="00FF264B">
        <w:footnoteRef/>
      </w:r>
      <w:r>
        <w:rPr>
          <w:rFonts w:hint="cs"/>
          <w:rtl/>
        </w:rPr>
        <w:t>.</w:t>
      </w:r>
      <w:r w:rsidRPr="00FF264B">
        <w:rPr>
          <w:rtl/>
        </w:rPr>
        <w:t xml:space="preserve"> </w:t>
      </w:r>
      <w:hyperlink r:id="rId3" w:history="1">
        <w:r w:rsidRPr="00FF264B">
          <w:rPr>
            <w:rStyle w:val="Hyperlink"/>
            <w:rFonts w:hint="cs"/>
            <w:rtl/>
          </w:rPr>
          <w:t>وسائل</w:t>
        </w:r>
        <w:r w:rsidRPr="00FF264B">
          <w:rPr>
            <w:rStyle w:val="Hyperlink"/>
            <w:rtl/>
          </w:rPr>
          <w:t xml:space="preserve"> </w:t>
        </w:r>
        <w:r w:rsidRPr="00FF264B">
          <w:rPr>
            <w:rStyle w:val="Hyperlink"/>
            <w:rFonts w:hint="cs"/>
            <w:rtl/>
          </w:rPr>
          <w:t>الشیعة،</w:t>
        </w:r>
        <w:r w:rsidRPr="00FF264B">
          <w:rPr>
            <w:rStyle w:val="Hyperlink"/>
            <w:rtl/>
          </w:rPr>
          <w:t xml:space="preserve"> </w:t>
        </w:r>
        <w:r w:rsidRPr="00FF264B">
          <w:rPr>
            <w:rStyle w:val="Hyperlink"/>
            <w:rFonts w:hint="cs"/>
            <w:rtl/>
          </w:rPr>
          <w:t>الشیخ</w:t>
        </w:r>
        <w:r w:rsidRPr="00FF264B">
          <w:rPr>
            <w:rStyle w:val="Hyperlink"/>
            <w:rtl/>
          </w:rPr>
          <w:t xml:space="preserve"> </w:t>
        </w:r>
        <w:r w:rsidRPr="00FF264B">
          <w:rPr>
            <w:rStyle w:val="Hyperlink"/>
            <w:rFonts w:hint="cs"/>
            <w:rtl/>
          </w:rPr>
          <w:t>الحر</w:t>
        </w:r>
        <w:r w:rsidRPr="00FF264B">
          <w:rPr>
            <w:rStyle w:val="Hyperlink"/>
            <w:rtl/>
          </w:rPr>
          <w:t xml:space="preserve"> </w:t>
        </w:r>
        <w:r w:rsidRPr="00FF264B">
          <w:rPr>
            <w:rStyle w:val="Hyperlink"/>
            <w:rFonts w:hint="cs"/>
            <w:rtl/>
          </w:rPr>
          <w:t>العاملي،</w:t>
        </w:r>
        <w:r w:rsidRPr="00FF264B">
          <w:rPr>
            <w:rStyle w:val="Hyperlink"/>
            <w:rtl/>
          </w:rPr>
          <w:t xml:space="preserve"> </w:t>
        </w:r>
        <w:r w:rsidRPr="00FF264B">
          <w:rPr>
            <w:rStyle w:val="Hyperlink"/>
            <w:rFonts w:hint="cs"/>
            <w:rtl/>
          </w:rPr>
          <w:t>ج</w:t>
        </w:r>
        <w:r w:rsidRPr="00FF264B">
          <w:rPr>
            <w:rStyle w:val="Hyperlink"/>
            <w:rtl/>
          </w:rPr>
          <w:t>29</w:t>
        </w:r>
        <w:r w:rsidRPr="00FF264B">
          <w:rPr>
            <w:rStyle w:val="Hyperlink"/>
            <w:rFonts w:hint="cs"/>
            <w:rtl/>
          </w:rPr>
          <w:t>،</w:t>
        </w:r>
        <w:r w:rsidRPr="00FF264B">
          <w:rPr>
            <w:rStyle w:val="Hyperlink"/>
            <w:rtl/>
          </w:rPr>
          <w:t xml:space="preserve"> </w:t>
        </w:r>
        <w:r w:rsidRPr="00FF264B">
          <w:rPr>
            <w:rStyle w:val="Hyperlink"/>
            <w:rFonts w:hint="cs"/>
            <w:rtl/>
          </w:rPr>
          <w:t>ص</w:t>
        </w:r>
        <w:r w:rsidRPr="00FF264B">
          <w:rPr>
            <w:rStyle w:val="Hyperlink"/>
            <w:rtl/>
          </w:rPr>
          <w:t>45</w:t>
        </w:r>
        <w:r w:rsidRPr="00FF264B">
          <w:rPr>
            <w:rStyle w:val="Hyperlink"/>
            <w:rFonts w:hint="cs"/>
            <w:rtl/>
          </w:rPr>
          <w:t>،</w:t>
        </w:r>
        <w:r w:rsidRPr="00FF264B">
          <w:rPr>
            <w:rStyle w:val="Hyperlink"/>
            <w:rtl/>
          </w:rPr>
          <w:t xml:space="preserve"> </w:t>
        </w:r>
        <w:r w:rsidRPr="00FF264B">
          <w:rPr>
            <w:rStyle w:val="Hyperlink"/>
            <w:rFonts w:hint="cs"/>
            <w:rtl/>
          </w:rPr>
          <w:t>أبواب</w:t>
        </w:r>
        <w:r w:rsidRPr="00FF264B">
          <w:rPr>
            <w:rStyle w:val="Hyperlink"/>
            <w:rtl/>
          </w:rPr>
          <w:t xml:space="preserve"> </w:t>
        </w:r>
        <w:r w:rsidRPr="00FF264B">
          <w:rPr>
            <w:rStyle w:val="Hyperlink"/>
            <w:rFonts w:hint="cs"/>
            <w:rtl/>
          </w:rPr>
          <w:t>قصاص</w:t>
        </w:r>
        <w:r w:rsidRPr="00FF264B">
          <w:rPr>
            <w:rStyle w:val="Hyperlink"/>
            <w:rtl/>
          </w:rPr>
          <w:t xml:space="preserve"> </w:t>
        </w:r>
        <w:r w:rsidRPr="00FF264B">
          <w:rPr>
            <w:rStyle w:val="Hyperlink"/>
            <w:rFonts w:hint="cs"/>
            <w:rtl/>
          </w:rPr>
          <w:t>فی</w:t>
        </w:r>
        <w:r w:rsidRPr="00FF264B">
          <w:rPr>
            <w:rStyle w:val="Hyperlink"/>
            <w:rtl/>
          </w:rPr>
          <w:t xml:space="preserve"> </w:t>
        </w:r>
        <w:r w:rsidRPr="00FF264B">
          <w:rPr>
            <w:rStyle w:val="Hyperlink"/>
            <w:rFonts w:hint="cs"/>
            <w:rtl/>
          </w:rPr>
          <w:t>النفس</w:t>
        </w:r>
        <w:r w:rsidRPr="00FF264B">
          <w:rPr>
            <w:rStyle w:val="Hyperlink"/>
            <w:rtl/>
          </w:rPr>
          <w:t xml:space="preserve"> </w:t>
        </w:r>
        <w:r w:rsidRPr="00FF264B">
          <w:rPr>
            <w:rStyle w:val="Hyperlink"/>
            <w:rFonts w:hint="cs"/>
            <w:rtl/>
          </w:rPr>
          <w:t>،</w:t>
        </w:r>
        <w:r w:rsidRPr="00FF264B">
          <w:rPr>
            <w:rStyle w:val="Hyperlink"/>
            <w:rtl/>
          </w:rPr>
          <w:t xml:space="preserve"> </w:t>
        </w:r>
        <w:r w:rsidRPr="00FF264B">
          <w:rPr>
            <w:rStyle w:val="Hyperlink"/>
            <w:rFonts w:hint="cs"/>
            <w:rtl/>
          </w:rPr>
          <w:t>باب</w:t>
        </w:r>
        <w:r w:rsidRPr="00FF264B">
          <w:rPr>
            <w:rStyle w:val="Hyperlink"/>
            <w:rtl/>
          </w:rPr>
          <w:t>13</w:t>
        </w:r>
        <w:r w:rsidRPr="00FF264B">
          <w:rPr>
            <w:rStyle w:val="Hyperlink"/>
            <w:rFonts w:hint="cs"/>
            <w:rtl/>
          </w:rPr>
          <w:t>،</w:t>
        </w:r>
        <w:r w:rsidRPr="00FF264B">
          <w:rPr>
            <w:rStyle w:val="Hyperlink"/>
            <w:rtl/>
          </w:rPr>
          <w:t xml:space="preserve"> </w:t>
        </w:r>
        <w:r w:rsidRPr="00FF264B">
          <w:rPr>
            <w:rStyle w:val="Hyperlink"/>
            <w:rFonts w:hint="cs"/>
            <w:rtl/>
          </w:rPr>
          <w:t>ح</w:t>
        </w:r>
        <w:r w:rsidRPr="00FF264B">
          <w:rPr>
            <w:rStyle w:val="Hyperlink"/>
            <w:rtl/>
          </w:rPr>
          <w:t>1</w:t>
        </w:r>
        <w:r w:rsidRPr="00FF264B">
          <w:rPr>
            <w:rStyle w:val="Hyperlink"/>
            <w:rFonts w:hint="cs"/>
            <w:rtl/>
          </w:rPr>
          <w:t>،</w:t>
        </w:r>
        <w:r w:rsidRPr="00FF264B">
          <w:rPr>
            <w:rStyle w:val="Hyperlink"/>
            <w:rtl/>
          </w:rPr>
          <w:t xml:space="preserve"> </w:t>
        </w:r>
        <w:r w:rsidRPr="00FF264B">
          <w:rPr>
            <w:rStyle w:val="Hyperlink"/>
            <w:rFonts w:hint="cs"/>
            <w:rtl/>
          </w:rPr>
          <w:t>ط</w:t>
        </w:r>
        <w:r w:rsidRPr="00FF264B">
          <w:rPr>
            <w:rStyle w:val="Hyperlink"/>
            <w:rtl/>
          </w:rPr>
          <w:t xml:space="preserve"> </w:t>
        </w:r>
        <w:r w:rsidRPr="00FF264B">
          <w:rPr>
            <w:rStyle w:val="Hyperlink"/>
            <w:rFonts w:hint="cs"/>
            <w:rtl/>
          </w:rPr>
          <w:t>آل</w:t>
        </w:r>
        <w:r w:rsidRPr="00FF264B">
          <w:rPr>
            <w:rStyle w:val="Hyperlink"/>
            <w:rtl/>
          </w:rPr>
          <w:t xml:space="preserve"> </w:t>
        </w:r>
        <w:r w:rsidRPr="00FF264B">
          <w:rPr>
            <w:rStyle w:val="Hyperlink"/>
            <w:rFonts w:hint="cs"/>
            <w:rtl/>
          </w:rPr>
          <w:t>البيت</w:t>
        </w:r>
        <w:r w:rsidRPr="00FF264B">
          <w:rPr>
            <w:rStyle w:val="Hyperlink"/>
          </w:rPr>
          <w:t>.</w:t>
        </w:r>
      </w:hyperlink>
    </w:p>
  </w:footnote>
  <w:footnote w:id="4">
    <w:p w:rsidR="00061435" w:rsidRPr="00061435" w:rsidRDefault="00061435" w:rsidP="00061435">
      <w:pPr>
        <w:pStyle w:val="FootnoteText"/>
      </w:pPr>
      <w:r w:rsidRPr="00061435">
        <w:footnoteRef/>
      </w:r>
      <w:r>
        <w:rPr>
          <w:rFonts w:hint="cs"/>
          <w:rtl/>
        </w:rPr>
        <w:t>.</w:t>
      </w:r>
      <w:r w:rsidRPr="00061435">
        <w:rPr>
          <w:rtl/>
        </w:rPr>
        <w:t xml:space="preserve"> </w:t>
      </w:r>
      <w:hyperlink r:id="rId4" w:history="1">
        <w:r w:rsidRPr="00061435">
          <w:rPr>
            <w:rStyle w:val="Hyperlink"/>
            <w:rFonts w:hint="cs"/>
            <w:rtl/>
          </w:rPr>
          <w:t>الکافی،</w:t>
        </w:r>
        <w:r w:rsidRPr="00061435">
          <w:rPr>
            <w:rStyle w:val="Hyperlink"/>
            <w:rtl/>
          </w:rPr>
          <w:t xml:space="preserve"> </w:t>
        </w:r>
        <w:r w:rsidRPr="00061435">
          <w:rPr>
            <w:rStyle w:val="Hyperlink"/>
            <w:rFonts w:hint="cs"/>
            <w:rtl/>
          </w:rPr>
          <w:t>محمد</w:t>
        </w:r>
        <w:r w:rsidRPr="00061435">
          <w:rPr>
            <w:rStyle w:val="Hyperlink"/>
            <w:rtl/>
          </w:rPr>
          <w:t xml:space="preserve"> </w:t>
        </w:r>
        <w:r w:rsidRPr="00061435">
          <w:rPr>
            <w:rStyle w:val="Hyperlink"/>
            <w:rFonts w:hint="cs"/>
            <w:rtl/>
          </w:rPr>
          <w:t>بن</w:t>
        </w:r>
        <w:r w:rsidRPr="00061435">
          <w:rPr>
            <w:rStyle w:val="Hyperlink"/>
            <w:rtl/>
          </w:rPr>
          <w:t xml:space="preserve"> </w:t>
        </w:r>
        <w:r w:rsidRPr="00061435">
          <w:rPr>
            <w:rStyle w:val="Hyperlink"/>
            <w:rFonts w:hint="cs"/>
            <w:rtl/>
          </w:rPr>
          <w:t>یعقوب</w:t>
        </w:r>
        <w:r w:rsidRPr="00061435">
          <w:rPr>
            <w:rStyle w:val="Hyperlink"/>
            <w:rtl/>
          </w:rPr>
          <w:t xml:space="preserve"> </w:t>
        </w:r>
        <w:r w:rsidRPr="00061435">
          <w:rPr>
            <w:rStyle w:val="Hyperlink"/>
            <w:rFonts w:hint="cs"/>
            <w:rtl/>
          </w:rPr>
          <w:t>کلینی،</w:t>
        </w:r>
        <w:r w:rsidRPr="00061435">
          <w:rPr>
            <w:rStyle w:val="Hyperlink"/>
            <w:rtl/>
          </w:rPr>
          <w:t xml:space="preserve"> </w:t>
        </w:r>
        <w:r w:rsidRPr="00061435">
          <w:rPr>
            <w:rStyle w:val="Hyperlink"/>
            <w:rFonts w:hint="cs"/>
            <w:rtl/>
          </w:rPr>
          <w:t>ج</w:t>
        </w:r>
        <w:r w:rsidRPr="00061435">
          <w:rPr>
            <w:rStyle w:val="Hyperlink"/>
            <w:rtl/>
          </w:rPr>
          <w:t>7</w:t>
        </w:r>
        <w:r w:rsidRPr="00061435">
          <w:rPr>
            <w:rStyle w:val="Hyperlink"/>
            <w:rFonts w:hint="cs"/>
            <w:rtl/>
          </w:rPr>
          <w:t>،</w:t>
        </w:r>
        <w:r w:rsidRPr="00061435">
          <w:rPr>
            <w:rStyle w:val="Hyperlink"/>
            <w:rtl/>
          </w:rPr>
          <w:t xml:space="preserve"> </w:t>
        </w:r>
        <w:r w:rsidRPr="00061435">
          <w:rPr>
            <w:rStyle w:val="Hyperlink"/>
            <w:rFonts w:hint="cs"/>
            <w:rtl/>
          </w:rPr>
          <w:t>ص</w:t>
        </w:r>
        <w:r w:rsidRPr="00061435">
          <w:rPr>
            <w:rStyle w:val="Hyperlink"/>
            <w:rtl/>
          </w:rPr>
          <w:t>412</w:t>
        </w:r>
        <w:r w:rsidRPr="00061435">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3074FE">
      <w:rPr>
        <w:b/>
        <w:bCs/>
        <w:sz w:val="20"/>
        <w:szCs w:val="24"/>
        <w:rtl/>
      </w:rPr>
      <w:t>043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3074F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3074F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3074FE">
      <w:rPr>
        <w:sz w:val="24"/>
        <w:szCs w:val="24"/>
        <w:rtl/>
      </w:rPr>
      <w:t>27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3074FE">
      <w:rPr>
        <w:rFonts w:hint="cs"/>
        <w:sz w:val="24"/>
        <w:szCs w:val="24"/>
        <w:rtl/>
      </w:rPr>
      <w:t>قتل</w:t>
    </w:r>
    <w:r w:rsidR="003074FE">
      <w:rPr>
        <w:sz w:val="24"/>
        <w:szCs w:val="24"/>
        <w:rtl/>
      </w:rPr>
      <w:t xml:space="preserve"> </w:t>
    </w:r>
    <w:r w:rsidR="003074FE">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3074FE">
      <w:rPr>
        <w:rFonts w:hint="cs"/>
        <w:sz w:val="24"/>
        <w:szCs w:val="24"/>
        <w:rtl/>
      </w:rPr>
      <w:t>سید</w:t>
    </w:r>
    <w:r w:rsidR="003074FE">
      <w:rPr>
        <w:sz w:val="24"/>
        <w:szCs w:val="24"/>
        <w:rtl/>
      </w:rPr>
      <w:t xml:space="preserve"> </w:t>
    </w:r>
    <w:r w:rsidR="003074FE">
      <w:rPr>
        <w:rFonts w:hint="cs"/>
        <w:sz w:val="24"/>
        <w:szCs w:val="24"/>
        <w:rtl/>
      </w:rPr>
      <w:t>علی</w:t>
    </w:r>
    <w:r w:rsidR="003074FE">
      <w:rPr>
        <w:sz w:val="24"/>
        <w:szCs w:val="24"/>
        <w:rtl/>
      </w:rPr>
      <w:t xml:space="preserve"> </w:t>
    </w:r>
    <w:r w:rsidR="003074FE">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3074FE">
      <w:rPr>
        <w:rFonts w:hint="cs"/>
        <w:sz w:val="24"/>
        <w:szCs w:val="24"/>
        <w:rtl/>
      </w:rPr>
      <w:t>قتل</w:t>
    </w:r>
    <w:r w:rsidR="003074FE">
      <w:rPr>
        <w:sz w:val="24"/>
        <w:szCs w:val="24"/>
        <w:rtl/>
      </w:rPr>
      <w:t xml:space="preserve"> </w:t>
    </w:r>
    <w:r w:rsidR="003074FE">
      <w:rPr>
        <w:rFonts w:hint="cs"/>
        <w:sz w:val="24"/>
        <w:szCs w:val="24"/>
        <w:rtl/>
      </w:rPr>
      <w:t>به</w:t>
    </w:r>
    <w:r w:rsidR="003074FE">
      <w:rPr>
        <w:sz w:val="24"/>
        <w:szCs w:val="24"/>
        <w:rtl/>
      </w:rPr>
      <w:t xml:space="preserve"> </w:t>
    </w:r>
    <w:r w:rsidR="003074FE">
      <w:rPr>
        <w:rFonts w:hint="cs"/>
        <w:sz w:val="24"/>
        <w:szCs w:val="24"/>
        <w:rtl/>
      </w:rPr>
      <w:t>تسبیب</w:t>
    </w:r>
    <w:r w:rsidR="003074FE">
      <w:rPr>
        <w:sz w:val="24"/>
        <w:szCs w:val="24"/>
        <w:rtl/>
      </w:rPr>
      <w:t>/</w:t>
    </w:r>
    <w:r w:rsidR="003074FE">
      <w:rPr>
        <w:rFonts w:hint="cs"/>
        <w:sz w:val="24"/>
        <w:szCs w:val="24"/>
        <w:rtl/>
      </w:rPr>
      <w:t>مراتب</w:t>
    </w:r>
    <w:r w:rsidR="003074FE">
      <w:rPr>
        <w:sz w:val="24"/>
        <w:szCs w:val="24"/>
        <w:rtl/>
      </w:rPr>
      <w:t xml:space="preserve"> </w:t>
    </w:r>
    <w:r w:rsidR="003074FE">
      <w:rPr>
        <w:rFonts w:hint="cs"/>
        <w:sz w:val="24"/>
        <w:szCs w:val="24"/>
        <w:rtl/>
      </w:rPr>
      <w:t>تسبیب</w:t>
    </w:r>
    <w:r w:rsidR="003074FE">
      <w:rPr>
        <w:sz w:val="24"/>
        <w:szCs w:val="24"/>
        <w:rtl/>
      </w:rPr>
      <w:t>/</w:t>
    </w:r>
    <w:r w:rsidR="003074FE">
      <w:rPr>
        <w:rFonts w:hint="cs"/>
        <w:sz w:val="24"/>
        <w:szCs w:val="24"/>
        <w:rtl/>
      </w:rPr>
      <w:t>مرتبه</w:t>
    </w:r>
    <w:r w:rsidR="003074FE">
      <w:rPr>
        <w:sz w:val="24"/>
        <w:szCs w:val="24"/>
        <w:rtl/>
      </w:rPr>
      <w:t xml:space="preserve"> </w:t>
    </w:r>
    <w:r w:rsidR="003074FE">
      <w:rPr>
        <w:rFonts w:hint="cs"/>
        <w:sz w:val="24"/>
        <w:szCs w:val="24"/>
        <w:rtl/>
      </w:rPr>
      <w:t>چهارم</w:t>
    </w:r>
    <w:r w:rsidR="003074FE">
      <w:rPr>
        <w:sz w:val="24"/>
        <w:szCs w:val="24"/>
        <w:rtl/>
      </w:rPr>
      <w:t>/</w:t>
    </w:r>
    <w:r w:rsidR="003074FE">
      <w:rPr>
        <w:rFonts w:hint="cs"/>
        <w:sz w:val="24"/>
        <w:szCs w:val="24"/>
        <w:rtl/>
      </w:rPr>
      <w:t>صورت</w:t>
    </w:r>
    <w:r w:rsidR="003074FE">
      <w:rPr>
        <w:sz w:val="24"/>
        <w:szCs w:val="24"/>
        <w:rtl/>
      </w:rPr>
      <w:t xml:space="preserve"> </w:t>
    </w:r>
    <w:r w:rsidR="003074FE">
      <w:rPr>
        <w:rFonts w:hint="cs"/>
        <w:sz w:val="24"/>
        <w:szCs w:val="24"/>
        <w:rtl/>
      </w:rPr>
      <w:t>اول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D7D"/>
    <w:rsid w:val="00000F4E"/>
    <w:rsid w:val="000072A3"/>
    <w:rsid w:val="00025777"/>
    <w:rsid w:val="00025B70"/>
    <w:rsid w:val="000353D7"/>
    <w:rsid w:val="00055496"/>
    <w:rsid w:val="00061435"/>
    <w:rsid w:val="00080A41"/>
    <w:rsid w:val="0008299B"/>
    <w:rsid w:val="000913AA"/>
    <w:rsid w:val="00096C63"/>
    <w:rsid w:val="000A2139"/>
    <w:rsid w:val="000B5DB5"/>
    <w:rsid w:val="000C3947"/>
    <w:rsid w:val="000D2A37"/>
    <w:rsid w:val="000D30E9"/>
    <w:rsid w:val="000D6818"/>
    <w:rsid w:val="000E335E"/>
    <w:rsid w:val="000F16CF"/>
    <w:rsid w:val="000F5BAC"/>
    <w:rsid w:val="00101AEB"/>
    <w:rsid w:val="00114AB7"/>
    <w:rsid w:val="00116B2B"/>
    <w:rsid w:val="00124E3D"/>
    <w:rsid w:val="00127E95"/>
    <w:rsid w:val="001300B8"/>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374A"/>
    <w:rsid w:val="002B575F"/>
    <w:rsid w:val="002B729B"/>
    <w:rsid w:val="002C53A2"/>
    <w:rsid w:val="002D0040"/>
    <w:rsid w:val="002D2FA8"/>
    <w:rsid w:val="002E220F"/>
    <w:rsid w:val="00307311"/>
    <w:rsid w:val="003074FE"/>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594"/>
    <w:rsid w:val="00695519"/>
    <w:rsid w:val="006A36D4"/>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D77B3"/>
    <w:rsid w:val="007E1564"/>
    <w:rsid w:val="007E1E87"/>
    <w:rsid w:val="007E5B3F"/>
    <w:rsid w:val="007F2257"/>
    <w:rsid w:val="0080091D"/>
    <w:rsid w:val="00804108"/>
    <w:rsid w:val="00804FC4"/>
    <w:rsid w:val="00816367"/>
    <w:rsid w:val="00816A0B"/>
    <w:rsid w:val="00824B22"/>
    <w:rsid w:val="00830C53"/>
    <w:rsid w:val="008373B2"/>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01CB"/>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27EB"/>
    <w:rsid w:val="00AF3925"/>
    <w:rsid w:val="00B1296B"/>
    <w:rsid w:val="00B2292F"/>
    <w:rsid w:val="00B43169"/>
    <w:rsid w:val="00B55AE4"/>
    <w:rsid w:val="00B62A68"/>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A3780"/>
    <w:rsid w:val="00DB0CBB"/>
    <w:rsid w:val="00DB67CC"/>
    <w:rsid w:val="00DC3783"/>
    <w:rsid w:val="00DE1070"/>
    <w:rsid w:val="00E00219"/>
    <w:rsid w:val="00E0316B"/>
    <w:rsid w:val="00E06709"/>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295D"/>
    <w:rsid w:val="00F64141"/>
    <w:rsid w:val="00F64B52"/>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264B"/>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5632135">
      <w:bodyDiv w:val="1"/>
      <w:marLeft w:val="0"/>
      <w:marRight w:val="0"/>
      <w:marTop w:val="0"/>
      <w:marBottom w:val="0"/>
      <w:divBdr>
        <w:top w:val="none" w:sz="0" w:space="0" w:color="auto"/>
        <w:left w:val="none" w:sz="0" w:space="0" w:color="auto"/>
        <w:bottom w:val="none" w:sz="0" w:space="0" w:color="auto"/>
        <w:right w:val="none" w:sz="0" w:space="0" w:color="auto"/>
      </w:divBdr>
      <w:divsChild>
        <w:div w:id="548805591">
          <w:marLeft w:val="0"/>
          <w:marRight w:val="0"/>
          <w:marTop w:val="0"/>
          <w:marBottom w:val="0"/>
          <w:divBdr>
            <w:top w:val="none" w:sz="0" w:space="0" w:color="auto"/>
            <w:left w:val="none" w:sz="0" w:space="0" w:color="auto"/>
            <w:bottom w:val="none" w:sz="0" w:space="0" w:color="auto"/>
            <w:right w:val="none" w:sz="0" w:space="0" w:color="auto"/>
          </w:divBdr>
          <w:divsChild>
            <w:div w:id="1817532646">
              <w:marLeft w:val="0"/>
              <w:marRight w:val="0"/>
              <w:marTop w:val="0"/>
              <w:marBottom w:val="0"/>
              <w:divBdr>
                <w:top w:val="none" w:sz="0" w:space="0" w:color="auto"/>
                <w:left w:val="none" w:sz="0" w:space="0" w:color="auto"/>
                <w:bottom w:val="none" w:sz="0" w:space="0" w:color="auto"/>
                <w:right w:val="none" w:sz="0" w:space="0" w:color="auto"/>
              </w:divBdr>
              <w:divsChild>
                <w:div w:id="99745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0277489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45/" TargetMode="External"/><Relationship Id="rId2" Type="http://schemas.openxmlformats.org/officeDocument/2006/relationships/hyperlink" Target="http://lib.eshia.ir/71334/42/13/" TargetMode="External"/><Relationship Id="rId1" Type="http://schemas.openxmlformats.org/officeDocument/2006/relationships/hyperlink" Target="http://lib.eshia.ir/10147/13/400/" TargetMode="External"/><Relationship Id="rId4" Type="http://schemas.openxmlformats.org/officeDocument/2006/relationships/hyperlink" Target="http://lib.eshia.ir/11005/7/412/"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F444D-9DAE-421C-8370-493072E61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0</TotalTime>
  <Pages>4</Pages>
  <Words>975</Words>
  <Characters>5559</Characters>
  <Application>Microsoft Office Word</Application>
  <DocSecurity>0</DocSecurity>
  <Lines>46</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6521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3</cp:revision>
  <dcterms:created xsi:type="dcterms:W3CDTF">2017-12-18T13:28:00Z</dcterms:created>
  <dcterms:modified xsi:type="dcterms:W3CDTF">2017-12-18T13:28:00Z</dcterms:modified>
  <cp:contentStatus>ویرایش 2.5</cp:contentStatus>
  <cp:version>2.3</cp:version>
</cp:coreProperties>
</file>