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3A342B" w:rsidRDefault="003A342B" w:rsidP="003A342B">
      <w:pPr>
        <w:pStyle w:val="TOC6"/>
        <w:tabs>
          <w:tab w:val="right" w:leader="dot" w:pos="10194"/>
        </w:tabs>
        <w:rPr>
          <w:rFonts w:asciiTheme="minorHAnsi" w:eastAsiaTheme="minorEastAsia" w:hAnsiTheme="minorHAnsi" w:cstheme="minorBidi"/>
          <w:bCs w:val="0"/>
          <w:noProof/>
          <w:color w:val="auto"/>
          <w:szCs w:val="22"/>
          <w:rtl/>
        </w:rPr>
      </w:pPr>
      <w:r>
        <w:rPr>
          <w:rStyle w:val="Hyperlink"/>
          <w:bCs w:val="0"/>
          <w:noProof/>
          <w:rtl/>
        </w:rPr>
        <w:fldChar w:fldCharType="begin"/>
      </w:r>
      <w:r>
        <w:rPr>
          <w:rStyle w:val="Hyperlink"/>
          <w:bCs w:val="0"/>
          <w:noProof/>
          <w:rtl/>
        </w:rPr>
        <w:instrText xml:space="preserve"> </w:instrText>
      </w:r>
      <w:r>
        <w:rPr>
          <w:rStyle w:val="Hyperlink"/>
          <w:rFonts w:hint="eastAsia"/>
          <w:bCs w:val="0"/>
          <w:noProof/>
        </w:rPr>
        <w:instrText>TOC</w:instrText>
      </w:r>
      <w:r>
        <w:rPr>
          <w:rStyle w:val="Hyperlink"/>
          <w:rFonts w:hint="eastAsia"/>
          <w:bCs w:val="0"/>
          <w:noProof/>
          <w:rtl/>
        </w:rPr>
        <w:instrText xml:space="preserve"> \</w:instrText>
      </w:r>
      <w:r>
        <w:rPr>
          <w:rStyle w:val="Hyperlink"/>
          <w:rFonts w:hint="eastAsia"/>
          <w:bCs w:val="0"/>
          <w:noProof/>
        </w:rPr>
        <w:instrText>o "</w:instrText>
      </w:r>
      <w:r>
        <w:rPr>
          <w:rStyle w:val="Hyperlink"/>
          <w:rFonts w:hint="eastAsia"/>
          <w:bCs w:val="0"/>
          <w:noProof/>
          <w:rtl/>
        </w:rPr>
        <w:instrText>1-9</w:instrText>
      </w:r>
      <w:r>
        <w:rPr>
          <w:rStyle w:val="Hyperlink"/>
          <w:rFonts w:hint="eastAsia"/>
          <w:bCs w:val="0"/>
          <w:noProof/>
        </w:rPr>
        <w:instrText>" \h \z \u</w:instrText>
      </w:r>
      <w:r>
        <w:rPr>
          <w:rStyle w:val="Hyperlink"/>
          <w:bCs w:val="0"/>
          <w:noProof/>
          <w:rtl/>
        </w:rPr>
        <w:instrText xml:space="preserve"> </w:instrText>
      </w:r>
      <w:r>
        <w:rPr>
          <w:rStyle w:val="Hyperlink"/>
          <w:bCs w:val="0"/>
          <w:noProof/>
          <w:rtl/>
        </w:rPr>
        <w:fldChar w:fldCharType="separate"/>
      </w:r>
      <w:hyperlink w:anchor="_Toc503973595" w:history="1">
        <w:r w:rsidRPr="00BA4274">
          <w:rPr>
            <w:rStyle w:val="Hyperlink"/>
            <w:rFonts w:hint="eastAsia"/>
            <w:noProof/>
            <w:rtl/>
          </w:rPr>
          <w:t>منافات</w:t>
        </w:r>
        <w:r w:rsidRPr="00BA4274">
          <w:rPr>
            <w:rStyle w:val="Hyperlink"/>
            <w:noProof/>
            <w:rtl/>
          </w:rPr>
          <w:t xml:space="preserve"> </w:t>
        </w:r>
        <w:r w:rsidRPr="00BA4274">
          <w:rPr>
            <w:rStyle w:val="Hyperlink"/>
            <w:rFonts w:hint="eastAsia"/>
            <w:noProof/>
            <w:rtl/>
          </w:rPr>
          <w:t>روا</w:t>
        </w:r>
        <w:r w:rsidRPr="00BA4274">
          <w:rPr>
            <w:rStyle w:val="Hyperlink"/>
            <w:rFonts w:hint="cs"/>
            <w:noProof/>
            <w:rtl/>
          </w:rPr>
          <w:t>ی</w:t>
        </w:r>
        <w:r w:rsidRPr="00BA4274">
          <w:rPr>
            <w:rStyle w:val="Hyperlink"/>
            <w:rFonts w:hint="eastAsia"/>
            <w:noProof/>
            <w:rtl/>
          </w:rPr>
          <w:t>ت</w:t>
        </w:r>
        <w:r w:rsidRPr="00BA4274">
          <w:rPr>
            <w:rStyle w:val="Hyperlink"/>
            <w:noProof/>
            <w:rtl/>
          </w:rPr>
          <w:t xml:space="preserve"> </w:t>
        </w:r>
        <w:r w:rsidRPr="00BA4274">
          <w:rPr>
            <w:rStyle w:val="Hyperlink"/>
            <w:rFonts w:hint="eastAsia"/>
            <w:noProof/>
            <w:rtl/>
          </w:rPr>
          <w:t>سکون</w:t>
        </w:r>
        <w:r w:rsidRPr="00BA4274">
          <w:rPr>
            <w:rStyle w:val="Hyperlink"/>
            <w:rFonts w:hint="cs"/>
            <w:noProof/>
            <w:rtl/>
          </w:rPr>
          <w:t>ی</w:t>
        </w:r>
        <w:r w:rsidRPr="00BA4274">
          <w:rPr>
            <w:rStyle w:val="Hyperlink"/>
            <w:noProof/>
            <w:rtl/>
          </w:rPr>
          <w:t xml:space="preserve"> </w:t>
        </w:r>
        <w:r w:rsidRPr="00BA4274">
          <w:rPr>
            <w:rStyle w:val="Hyperlink"/>
            <w:rFonts w:hint="eastAsia"/>
            <w:noProof/>
            <w:rtl/>
          </w:rPr>
          <w:t>با</w:t>
        </w:r>
        <w:r w:rsidRPr="00BA4274">
          <w:rPr>
            <w:rStyle w:val="Hyperlink"/>
            <w:noProof/>
            <w:rtl/>
          </w:rPr>
          <w:t xml:space="preserve"> </w:t>
        </w:r>
        <w:r w:rsidRPr="00BA4274">
          <w:rPr>
            <w:rStyle w:val="Hyperlink"/>
            <w:rFonts w:hint="eastAsia"/>
            <w:noProof/>
            <w:rtl/>
          </w:rPr>
          <w:t>مقتضا</w:t>
        </w:r>
        <w:r w:rsidRPr="00BA4274">
          <w:rPr>
            <w:rStyle w:val="Hyperlink"/>
            <w:rFonts w:hint="cs"/>
            <w:noProof/>
            <w:rtl/>
          </w:rPr>
          <w:t>ی</w:t>
        </w:r>
        <w:r w:rsidRPr="00BA4274">
          <w:rPr>
            <w:rStyle w:val="Hyperlink"/>
            <w:noProof/>
            <w:rtl/>
          </w:rPr>
          <w:t xml:space="preserve"> </w:t>
        </w:r>
        <w:r w:rsidRPr="00BA4274">
          <w:rPr>
            <w:rStyle w:val="Hyperlink"/>
            <w:rFonts w:hint="eastAsia"/>
            <w:noProof/>
            <w:rtl/>
          </w:rPr>
          <w:t>قاعده</w:t>
        </w:r>
        <w:r w:rsidRPr="00BA4274">
          <w:rPr>
            <w:rStyle w:val="Hyperlink"/>
            <w:noProof/>
            <w:rtl/>
          </w:rPr>
          <w:t xml:space="preserve"> </w:t>
        </w:r>
        <w:r w:rsidRPr="00BA4274">
          <w:rPr>
            <w:rStyle w:val="Hyperlink"/>
            <w:rFonts w:hint="eastAsia"/>
            <w:noProof/>
            <w:rtl/>
          </w:rPr>
          <w:t>در</w:t>
        </w:r>
        <w:r w:rsidRPr="00BA4274">
          <w:rPr>
            <w:rStyle w:val="Hyperlink"/>
            <w:noProof/>
            <w:rtl/>
          </w:rPr>
          <w:t xml:space="preserve"> </w:t>
        </w:r>
        <w:r w:rsidRPr="00BA4274">
          <w:rPr>
            <w:rStyle w:val="Hyperlink"/>
            <w:rFonts w:hint="eastAsia"/>
            <w:noProof/>
            <w:rtl/>
          </w:rPr>
          <w:t>عدم</w:t>
        </w:r>
        <w:r w:rsidRPr="00BA4274">
          <w:rPr>
            <w:rStyle w:val="Hyperlink"/>
            <w:noProof/>
            <w:rtl/>
          </w:rPr>
          <w:t xml:space="preserve"> </w:t>
        </w:r>
        <w:r w:rsidRPr="00BA4274">
          <w:rPr>
            <w:rStyle w:val="Hyperlink"/>
            <w:rFonts w:hint="eastAsia"/>
            <w:noProof/>
            <w:rtl/>
          </w:rPr>
          <w:t>قصاص</w:t>
        </w:r>
        <w:r w:rsidRPr="00BA4274">
          <w:rPr>
            <w:rStyle w:val="Hyperlink"/>
            <w:noProof/>
            <w:rtl/>
          </w:rPr>
          <w:t xml:space="preserve"> </w:t>
        </w:r>
        <w:r w:rsidRPr="00BA4274">
          <w:rPr>
            <w:rStyle w:val="Hyperlink"/>
            <w:rFonts w:hint="eastAsia"/>
            <w:noProof/>
            <w:rtl/>
          </w:rPr>
          <w:t>صب</w:t>
        </w:r>
        <w:r w:rsidRPr="00BA4274">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503973595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3A342B" w:rsidRDefault="003A342B" w:rsidP="003A342B">
      <w:pPr>
        <w:pStyle w:val="TOC7"/>
        <w:tabs>
          <w:tab w:val="right" w:leader="dot" w:pos="10194"/>
        </w:tabs>
        <w:rPr>
          <w:rFonts w:asciiTheme="minorHAnsi" w:eastAsiaTheme="minorEastAsia" w:hAnsiTheme="minorHAnsi" w:cstheme="minorBidi"/>
          <w:bCs w:val="0"/>
          <w:noProof/>
          <w:color w:val="auto"/>
          <w:szCs w:val="22"/>
          <w:rtl/>
        </w:rPr>
      </w:pPr>
      <w:hyperlink w:anchor="_Toc503973596" w:history="1">
        <w:r w:rsidRPr="00BA4274">
          <w:rPr>
            <w:rStyle w:val="Hyperlink"/>
            <w:rFonts w:hint="eastAsia"/>
            <w:noProof/>
            <w:rtl/>
          </w:rPr>
          <w:t>ب</w:t>
        </w:r>
        <w:r w:rsidRPr="00BA4274">
          <w:rPr>
            <w:rStyle w:val="Hyperlink"/>
            <w:rFonts w:hint="cs"/>
            <w:noProof/>
            <w:rtl/>
          </w:rPr>
          <w:t>ی</w:t>
        </w:r>
        <w:r w:rsidRPr="00BA4274">
          <w:rPr>
            <w:rStyle w:val="Hyperlink"/>
            <w:rFonts w:hint="eastAsia"/>
            <w:noProof/>
            <w:rtl/>
          </w:rPr>
          <w:t>ان</w:t>
        </w:r>
        <w:r w:rsidRPr="00BA4274">
          <w:rPr>
            <w:rStyle w:val="Hyperlink"/>
            <w:noProof/>
            <w:rtl/>
          </w:rPr>
          <w:t xml:space="preserve"> </w:t>
        </w:r>
        <w:r w:rsidRPr="00BA4274">
          <w:rPr>
            <w:rStyle w:val="Hyperlink"/>
            <w:rFonts w:hint="eastAsia"/>
            <w:noProof/>
            <w:rtl/>
          </w:rPr>
          <w:t>اول</w:t>
        </w:r>
        <w:r w:rsidRPr="00BA4274">
          <w:rPr>
            <w:rStyle w:val="Hyperlink"/>
            <w:noProof/>
            <w:rtl/>
          </w:rPr>
          <w:t xml:space="preserve"> </w:t>
        </w:r>
        <w:r w:rsidRPr="00BA4274">
          <w:rPr>
            <w:rStyle w:val="Hyperlink"/>
            <w:rFonts w:hint="eastAsia"/>
            <w:noProof/>
            <w:rtl/>
          </w:rPr>
          <w:t>در</w:t>
        </w:r>
        <w:r w:rsidRPr="00BA4274">
          <w:rPr>
            <w:rStyle w:val="Hyperlink"/>
            <w:noProof/>
            <w:rtl/>
          </w:rPr>
          <w:t xml:space="preserve"> </w:t>
        </w:r>
        <w:r w:rsidRPr="00BA4274">
          <w:rPr>
            <w:rStyle w:val="Hyperlink"/>
            <w:rFonts w:hint="eastAsia"/>
            <w:noProof/>
            <w:rtl/>
          </w:rPr>
          <w:t>حمل</w:t>
        </w:r>
        <w:r w:rsidRPr="00BA4274">
          <w:rPr>
            <w:rStyle w:val="Hyperlink"/>
            <w:noProof/>
            <w:rtl/>
          </w:rPr>
          <w:t xml:space="preserve"> </w:t>
        </w:r>
        <w:r w:rsidRPr="00BA4274">
          <w:rPr>
            <w:rStyle w:val="Hyperlink"/>
            <w:rFonts w:hint="eastAsia"/>
            <w:noProof/>
            <w:rtl/>
          </w:rPr>
          <w:t>روا</w:t>
        </w:r>
        <w:r w:rsidRPr="00BA4274">
          <w:rPr>
            <w:rStyle w:val="Hyperlink"/>
            <w:rFonts w:hint="cs"/>
            <w:noProof/>
            <w:rtl/>
          </w:rPr>
          <w:t>ی</w:t>
        </w:r>
        <w:r w:rsidRPr="00BA4274">
          <w:rPr>
            <w:rStyle w:val="Hyperlink"/>
            <w:rFonts w:hint="eastAsia"/>
            <w:noProof/>
            <w:rtl/>
          </w:rPr>
          <w:t>ت</w:t>
        </w:r>
        <w:r w:rsidRPr="00BA4274">
          <w:rPr>
            <w:rStyle w:val="Hyperlink"/>
            <w:noProof/>
            <w:rtl/>
          </w:rPr>
          <w:t xml:space="preserve"> </w:t>
        </w:r>
        <w:r w:rsidRPr="00BA4274">
          <w:rPr>
            <w:rStyle w:val="Hyperlink"/>
            <w:rFonts w:hint="eastAsia"/>
            <w:noProof/>
            <w:rtl/>
          </w:rPr>
          <w:t>سکون</w:t>
        </w:r>
        <w:r w:rsidRPr="00BA4274">
          <w:rPr>
            <w:rStyle w:val="Hyperlink"/>
            <w:rFonts w:hint="cs"/>
            <w:noProof/>
            <w:rtl/>
          </w:rPr>
          <w:t>ی</w:t>
        </w:r>
        <w:r w:rsidRPr="00BA4274">
          <w:rPr>
            <w:rStyle w:val="Hyperlink"/>
            <w:noProof/>
            <w:rtl/>
          </w:rPr>
          <w:t xml:space="preserve">: </w:t>
        </w:r>
        <w:r w:rsidRPr="00BA4274">
          <w:rPr>
            <w:rStyle w:val="Hyperlink"/>
            <w:rFonts w:hint="eastAsia"/>
            <w:noProof/>
            <w:rtl/>
          </w:rPr>
          <w:t>امار</w:t>
        </w:r>
        <w:r w:rsidRPr="00BA4274">
          <w:rPr>
            <w:rStyle w:val="Hyperlink"/>
            <w:rFonts w:hint="cs"/>
            <w:noProof/>
            <w:rtl/>
          </w:rPr>
          <w:t>ی</w:t>
        </w:r>
        <w:r w:rsidRPr="00BA4274">
          <w:rPr>
            <w:rStyle w:val="Hyperlink"/>
            <w:rFonts w:hint="eastAsia"/>
            <w:noProof/>
            <w:rtl/>
          </w:rPr>
          <w:t>ت</w:t>
        </w:r>
        <w:r w:rsidRPr="00BA4274">
          <w:rPr>
            <w:rStyle w:val="Hyperlink"/>
            <w:noProof/>
            <w:rtl/>
          </w:rPr>
          <w:t xml:space="preserve"> «</w:t>
        </w:r>
        <w:r w:rsidRPr="00BA4274">
          <w:rPr>
            <w:rStyle w:val="Hyperlink"/>
            <w:rFonts w:hint="eastAsia"/>
            <w:noProof/>
            <w:rtl/>
          </w:rPr>
          <w:t>خمسة</w:t>
        </w:r>
        <w:r w:rsidRPr="00BA4274">
          <w:rPr>
            <w:rStyle w:val="Hyperlink"/>
            <w:noProof/>
            <w:rtl/>
          </w:rPr>
          <w:t xml:space="preserve"> </w:t>
        </w:r>
        <w:r w:rsidRPr="00BA4274">
          <w:rPr>
            <w:rStyle w:val="Hyperlink"/>
            <w:rFonts w:hint="eastAsia"/>
            <w:noProof/>
            <w:rtl/>
          </w:rPr>
          <w:t>اشبار»</w:t>
        </w:r>
        <w:r w:rsidRPr="00BA4274">
          <w:rPr>
            <w:rStyle w:val="Hyperlink"/>
            <w:noProof/>
            <w:rtl/>
          </w:rPr>
          <w:t xml:space="preserve"> </w:t>
        </w:r>
        <w:r w:rsidRPr="00BA4274">
          <w:rPr>
            <w:rStyle w:val="Hyperlink"/>
            <w:rFonts w:hint="eastAsia"/>
            <w:noProof/>
            <w:rtl/>
          </w:rPr>
          <w:t>بر</w:t>
        </w:r>
        <w:r w:rsidRPr="00BA4274">
          <w:rPr>
            <w:rStyle w:val="Hyperlink"/>
            <w:noProof/>
            <w:rtl/>
          </w:rPr>
          <w:t xml:space="preserve"> </w:t>
        </w:r>
        <w:r w:rsidRPr="00BA4274">
          <w:rPr>
            <w:rStyle w:val="Hyperlink"/>
            <w:rFonts w:hint="eastAsia"/>
            <w:noProof/>
            <w:rtl/>
          </w:rPr>
          <w:t>بلوغ</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503973596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C91EB6" w:rsidRPr="00C91EB6" w:rsidRDefault="003A342B" w:rsidP="00C91EB6">
      <w:r>
        <w:rPr>
          <w:rStyle w:val="Hyperlink"/>
          <w:bCs/>
          <w:noProof/>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F7D62">
        <w:rPr>
          <w:rFonts w:hint="cs"/>
          <w:rtl/>
        </w:rPr>
        <w:t>قتل</w:t>
      </w:r>
      <w:r w:rsidR="00CF7D62">
        <w:rPr>
          <w:rtl/>
        </w:rPr>
        <w:t xml:space="preserve"> </w:t>
      </w:r>
      <w:r w:rsidR="00CF7D62">
        <w:rPr>
          <w:rFonts w:hint="cs"/>
          <w:rtl/>
        </w:rPr>
        <w:t>به</w:t>
      </w:r>
      <w:r w:rsidR="00CF7D62">
        <w:rPr>
          <w:rtl/>
        </w:rPr>
        <w:t xml:space="preserve"> </w:t>
      </w:r>
      <w:r w:rsidR="00CF7D62">
        <w:rPr>
          <w:rFonts w:hint="cs"/>
          <w:rtl/>
        </w:rPr>
        <w:t>تسبیب</w:t>
      </w:r>
      <w:r w:rsidR="00CF7D62">
        <w:rPr>
          <w:rtl/>
        </w:rPr>
        <w:t>/</w:t>
      </w:r>
      <w:r w:rsidR="00CF7D62">
        <w:rPr>
          <w:rFonts w:hint="cs"/>
          <w:rtl/>
        </w:rPr>
        <w:t>مراتب</w:t>
      </w:r>
      <w:r w:rsidR="00CF7D62">
        <w:rPr>
          <w:rtl/>
        </w:rPr>
        <w:t xml:space="preserve"> </w:t>
      </w:r>
      <w:r w:rsidR="00CF7D62">
        <w:rPr>
          <w:rFonts w:hint="cs"/>
          <w:rtl/>
        </w:rPr>
        <w:t>تسبیب</w:t>
      </w:r>
      <w:r w:rsidR="00CF7D62">
        <w:rPr>
          <w:rtl/>
        </w:rPr>
        <w:t>/</w:t>
      </w:r>
      <w:r w:rsidR="00CF7D62">
        <w:rPr>
          <w:rFonts w:hint="cs"/>
          <w:rtl/>
        </w:rPr>
        <w:t>مرتبه</w:t>
      </w:r>
      <w:r w:rsidR="00CF7D62">
        <w:rPr>
          <w:rtl/>
        </w:rPr>
        <w:t xml:space="preserve"> </w:t>
      </w:r>
      <w:r w:rsidR="00CF7D62">
        <w:rPr>
          <w:rFonts w:hint="cs"/>
          <w:rtl/>
        </w:rPr>
        <w:t>چهارم</w:t>
      </w:r>
      <w:r w:rsidR="00CF7D62">
        <w:rPr>
          <w:rtl/>
        </w:rPr>
        <w:t>/</w:t>
      </w:r>
      <w:r w:rsidR="00CF7D62">
        <w:rPr>
          <w:rFonts w:hint="cs"/>
          <w:rtl/>
        </w:rPr>
        <w:t>صورت</w:t>
      </w:r>
      <w:r w:rsidR="00CF7D62">
        <w:rPr>
          <w:rtl/>
        </w:rPr>
        <w:t xml:space="preserve"> </w:t>
      </w:r>
      <w:r w:rsidR="00CF7D62">
        <w:rPr>
          <w:rFonts w:hint="cs"/>
          <w:rtl/>
        </w:rPr>
        <w:t>سوم</w:t>
      </w:r>
      <w:r w:rsidR="00CF7D62">
        <w:rPr>
          <w:rtl/>
        </w:rPr>
        <w:t>/</w:t>
      </w:r>
      <w:r w:rsidR="00CF7D62">
        <w:rPr>
          <w:rFonts w:hint="cs"/>
          <w:rtl/>
        </w:rPr>
        <w:t>قصاص</w:t>
      </w:r>
      <w:r w:rsidR="00CF7D62">
        <w:rPr>
          <w:rtl/>
        </w:rPr>
        <w:t xml:space="preserve"> </w:t>
      </w:r>
      <w:r w:rsidR="00CF7D62">
        <w:rPr>
          <w:rFonts w:hint="cs"/>
          <w:rtl/>
        </w:rPr>
        <w:t>صبی</w:t>
      </w:r>
      <w:r w:rsidR="00CF7D62">
        <w:rPr>
          <w:rtl/>
        </w:rPr>
        <w:t xml:space="preserve"> </w:t>
      </w:r>
      <w:r w:rsidR="00CF7D62">
        <w:rPr>
          <w:rFonts w:hint="cs"/>
          <w:rtl/>
        </w:rPr>
        <w:t>خمسة</w:t>
      </w:r>
      <w:r w:rsidR="00CF7D62">
        <w:rPr>
          <w:rtl/>
        </w:rPr>
        <w:t xml:space="preserve"> </w:t>
      </w:r>
      <w:r w:rsidR="00CF7D62">
        <w:rPr>
          <w:rFonts w:hint="cs"/>
          <w:rtl/>
        </w:rPr>
        <w:t>اشبار</w:t>
      </w:r>
      <w:r w:rsidR="00025B70">
        <w:rPr>
          <w:rFonts w:hint="cs"/>
          <w:rtl/>
        </w:rPr>
        <w:t xml:space="preserve"> </w:t>
      </w:r>
      <w:r w:rsidR="00386C11" w:rsidRPr="00A6366F">
        <w:rPr>
          <w:rFonts w:hint="cs"/>
          <w:rtl/>
        </w:rPr>
        <w:t>/</w:t>
      </w:r>
      <w:bookmarkStart w:id="2" w:name="BokSabj_d"/>
      <w:bookmarkEnd w:id="2"/>
      <w:r w:rsidR="00CF7D62">
        <w:rPr>
          <w:rFonts w:hint="cs"/>
          <w:rtl/>
        </w:rPr>
        <w:t>قتل</w:t>
      </w:r>
      <w:r w:rsidR="00CF7D62">
        <w:rPr>
          <w:rtl/>
        </w:rPr>
        <w:t xml:space="preserve"> </w:t>
      </w:r>
      <w:r w:rsidR="00CF7D62">
        <w:rPr>
          <w:rFonts w:hint="cs"/>
          <w:rtl/>
        </w:rPr>
        <w:t>عمد</w:t>
      </w:r>
      <w:r w:rsidR="00386C11" w:rsidRPr="00A6366F">
        <w:rPr>
          <w:rFonts w:hint="cs"/>
          <w:rtl/>
        </w:rPr>
        <w:t xml:space="preserve"> /</w:t>
      </w:r>
      <w:bookmarkStart w:id="3" w:name="Bokkolli"/>
      <w:bookmarkEnd w:id="3"/>
      <w:r w:rsidR="00CF7D62">
        <w:rPr>
          <w:rFonts w:hint="cs"/>
          <w:rtl/>
        </w:rPr>
        <w:t>کتاب</w:t>
      </w:r>
      <w:r w:rsidR="00CF7D62">
        <w:rPr>
          <w:rtl/>
        </w:rPr>
        <w:t xml:space="preserve"> </w:t>
      </w:r>
      <w:r w:rsidR="00CF7D62">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3A342B" w:rsidP="003A342B">
      <w:pPr>
        <w:pBdr>
          <w:bottom w:val="double" w:sz="6" w:space="1" w:color="auto"/>
        </w:pBdr>
        <w:rPr>
          <w:rtl/>
        </w:rPr>
      </w:pPr>
      <w:r>
        <w:rPr>
          <w:rFonts w:hint="cs"/>
          <w:rtl/>
        </w:rPr>
        <w:t>بحث در بیان موارد و صور مرتبه چهارم از تسبیب به فرض اکراه صبی رسید که به مناسبت مباحصی پیرامون قصاص صبی با وجود شرایطی بیان شد.</w:t>
      </w:r>
    </w:p>
    <w:p w:rsidR="00247D2F" w:rsidRPr="003A6148" w:rsidRDefault="00247D2F" w:rsidP="003A6148">
      <w:pPr>
        <w:pBdr>
          <w:bottom w:val="double" w:sz="6" w:space="1" w:color="auto"/>
        </w:pBdr>
      </w:pPr>
    </w:p>
    <w:p w:rsidR="00876EF4" w:rsidRDefault="00876EF4" w:rsidP="00876EF4">
      <w:pPr>
        <w:pStyle w:val="Heading6"/>
        <w:rPr>
          <w:rtl/>
        </w:rPr>
      </w:pPr>
      <w:bookmarkStart w:id="4" w:name="_Toc503973563"/>
      <w:bookmarkStart w:id="5" w:name="_Toc503973595"/>
      <w:r>
        <w:rPr>
          <w:rFonts w:hint="cs"/>
          <w:rtl/>
        </w:rPr>
        <w:t>منافات روایت سکونی با مقتضای قاعده در عدم قصاص صبی</w:t>
      </w:r>
      <w:bookmarkEnd w:id="4"/>
      <w:bookmarkEnd w:id="5"/>
    </w:p>
    <w:p w:rsidR="006E6B8F" w:rsidRPr="006E6B8F" w:rsidRDefault="008C776A" w:rsidP="006E6B8F">
      <w:pPr>
        <w:rPr>
          <w:rtl/>
        </w:rPr>
      </w:pPr>
      <w:r w:rsidRPr="008C776A">
        <w:rPr>
          <w:rtl/>
        </w:rPr>
        <w:t>بحث در مشکل</w:t>
      </w:r>
      <w:r w:rsidR="002E44C2">
        <w:rPr>
          <w:rFonts w:hint="cs"/>
          <w:rtl/>
        </w:rPr>
        <w:t xml:space="preserve">ی بود که در مقام </w:t>
      </w:r>
      <w:r w:rsidR="00246CFC">
        <w:rPr>
          <w:rFonts w:hint="cs"/>
          <w:rtl/>
        </w:rPr>
        <w:t>به واسطه</w:t>
      </w:r>
      <w:r w:rsidRPr="008C776A">
        <w:rPr>
          <w:rtl/>
        </w:rPr>
        <w:t xml:space="preserve"> روایت سکونی که دال بر </w:t>
      </w:r>
      <w:r w:rsidR="00246CFC">
        <w:rPr>
          <w:rFonts w:hint="cs"/>
          <w:rtl/>
        </w:rPr>
        <w:t xml:space="preserve">قابلیت قصاص نسبت به </w:t>
      </w:r>
      <w:r w:rsidRPr="008C776A">
        <w:rPr>
          <w:rtl/>
        </w:rPr>
        <w:t xml:space="preserve">صبی </w:t>
      </w:r>
      <w:r w:rsidR="00246CFC">
        <w:rPr>
          <w:rFonts w:hint="cs"/>
          <w:rtl/>
        </w:rPr>
        <w:t>«</w:t>
      </w:r>
      <w:r w:rsidRPr="008C776A">
        <w:rPr>
          <w:rtl/>
        </w:rPr>
        <w:t>خمسة اشبار</w:t>
      </w:r>
      <w:r w:rsidR="00246CFC">
        <w:rPr>
          <w:rFonts w:hint="cs"/>
          <w:rtl/>
        </w:rPr>
        <w:t>»</w:t>
      </w:r>
      <w:r w:rsidRPr="008C776A">
        <w:rPr>
          <w:rtl/>
        </w:rPr>
        <w:t xml:space="preserve"> بود</w:t>
      </w:r>
      <w:r w:rsidR="00246CFC">
        <w:rPr>
          <w:rFonts w:hint="cs"/>
          <w:rtl/>
        </w:rPr>
        <w:t>، در حالی که با وجود تمامیت سند این روایت، هیچ تعارض مستقر و م</w:t>
      </w:r>
      <w:r w:rsidR="006E6B8F">
        <w:rPr>
          <w:rFonts w:hint="cs"/>
          <w:rtl/>
        </w:rPr>
        <w:t>ُ</w:t>
      </w:r>
      <w:r w:rsidR="00246CFC">
        <w:rPr>
          <w:rFonts w:hint="cs"/>
          <w:rtl/>
        </w:rPr>
        <w:t>حَکَّمی</w:t>
      </w:r>
      <w:r w:rsidR="006E6B8F">
        <w:rPr>
          <w:rFonts w:hint="cs"/>
          <w:rtl/>
        </w:rPr>
        <w:t xml:space="preserve"> با هیچ یک از ادله ندارد؛ نه با </w:t>
      </w:r>
      <w:r w:rsidRPr="008C776A">
        <w:rPr>
          <w:rtl/>
        </w:rPr>
        <w:t>با عم</w:t>
      </w:r>
      <w:r w:rsidR="006E6B8F">
        <w:rPr>
          <w:rtl/>
        </w:rPr>
        <w:t>ومات ادله تکالیف و نه با اطلاق</w:t>
      </w:r>
      <w:r w:rsidRPr="008C776A">
        <w:rPr>
          <w:rtl/>
        </w:rPr>
        <w:t xml:space="preserve"> </w:t>
      </w:r>
      <w:r w:rsidR="006E6B8F">
        <w:rPr>
          <w:rFonts w:hint="cs"/>
          <w:rtl/>
        </w:rPr>
        <w:t>«</w:t>
      </w:r>
      <w:r w:rsidRPr="008C776A">
        <w:rPr>
          <w:rtl/>
        </w:rPr>
        <w:t>عمد الصبی خطأ</w:t>
      </w:r>
      <w:r w:rsidR="006E6B8F">
        <w:rPr>
          <w:rFonts w:hint="cs"/>
          <w:rtl/>
        </w:rPr>
        <w:t>»؛ چرا که</w:t>
      </w:r>
      <w:r w:rsidRPr="008C776A">
        <w:rPr>
          <w:rtl/>
        </w:rPr>
        <w:t xml:space="preserve"> </w:t>
      </w:r>
      <w:r w:rsidR="006E6B8F">
        <w:rPr>
          <w:rFonts w:hint="cs"/>
          <w:rtl/>
        </w:rPr>
        <w:t xml:space="preserve">روایت سکونی </w:t>
      </w:r>
      <w:r w:rsidRPr="008C776A">
        <w:rPr>
          <w:rtl/>
        </w:rPr>
        <w:t xml:space="preserve">اخص از </w:t>
      </w:r>
      <w:r w:rsidR="006E6B8F">
        <w:rPr>
          <w:rFonts w:hint="cs"/>
          <w:rtl/>
        </w:rPr>
        <w:t>این اطلاق است</w:t>
      </w:r>
      <w:r w:rsidR="006E6B8F">
        <w:rPr>
          <w:rtl/>
        </w:rPr>
        <w:t xml:space="preserve"> و ن</w:t>
      </w:r>
      <w:r w:rsidR="006E6B8F">
        <w:rPr>
          <w:rFonts w:hint="cs"/>
          <w:rtl/>
        </w:rPr>
        <w:t>ه</w:t>
      </w:r>
      <w:r w:rsidR="006E6B8F">
        <w:rPr>
          <w:rtl/>
        </w:rPr>
        <w:t xml:space="preserve"> با اطلاقات ت</w:t>
      </w:r>
      <w:r w:rsidR="006E6B8F">
        <w:rPr>
          <w:rFonts w:hint="cs"/>
          <w:rtl/>
        </w:rPr>
        <w:t>ح</w:t>
      </w:r>
      <w:r w:rsidRPr="008C776A">
        <w:rPr>
          <w:rtl/>
        </w:rPr>
        <w:t>دید بلوغ به 13</w:t>
      </w:r>
      <w:r w:rsidR="006E6B8F">
        <w:rPr>
          <w:rFonts w:hint="cs"/>
          <w:rtl/>
        </w:rPr>
        <w:t xml:space="preserve">سال </w:t>
      </w:r>
      <w:r w:rsidRPr="008C776A">
        <w:rPr>
          <w:rtl/>
        </w:rPr>
        <w:t xml:space="preserve"> یا 15 سال که مراد از آن</w:t>
      </w:r>
      <w:r w:rsidR="006E6B8F">
        <w:rPr>
          <w:rFonts w:hint="cs"/>
          <w:rtl/>
        </w:rPr>
        <w:t>،</w:t>
      </w:r>
      <w:r w:rsidRPr="008C776A">
        <w:rPr>
          <w:rtl/>
        </w:rPr>
        <w:t xml:space="preserve"> </w:t>
      </w:r>
      <w:r w:rsidR="006E6B8F">
        <w:rPr>
          <w:rFonts w:hint="cs"/>
          <w:rtl/>
        </w:rPr>
        <w:t xml:space="preserve">ترتب </w:t>
      </w:r>
      <w:r w:rsidRPr="008C776A">
        <w:rPr>
          <w:rtl/>
        </w:rPr>
        <w:t xml:space="preserve">جمیع تکالیف بر این سن </w:t>
      </w:r>
      <w:r w:rsidR="006E6B8F">
        <w:rPr>
          <w:rFonts w:hint="cs"/>
          <w:rtl/>
        </w:rPr>
        <w:t xml:space="preserve">و سال </w:t>
      </w:r>
      <w:r w:rsidRPr="008C776A">
        <w:rPr>
          <w:rtl/>
        </w:rPr>
        <w:t>است</w:t>
      </w:r>
      <w:r w:rsidR="006E6B8F">
        <w:rPr>
          <w:rFonts w:hint="cs"/>
          <w:rtl/>
        </w:rPr>
        <w:t>،</w:t>
      </w:r>
      <w:r w:rsidR="006E6B8F">
        <w:rPr>
          <w:rtl/>
        </w:rPr>
        <w:t xml:space="preserve"> </w:t>
      </w:r>
      <w:r w:rsidR="006E6B8F">
        <w:rPr>
          <w:rFonts w:hint="cs"/>
          <w:rtl/>
        </w:rPr>
        <w:t>ولی</w:t>
      </w:r>
      <w:r w:rsidRPr="008C776A">
        <w:rPr>
          <w:rtl/>
        </w:rPr>
        <w:t xml:space="preserve"> روایت سکونی </w:t>
      </w:r>
      <w:r w:rsidR="006E6B8F">
        <w:rPr>
          <w:rFonts w:hint="cs"/>
          <w:rtl/>
        </w:rPr>
        <w:t xml:space="preserve">تنها </w:t>
      </w:r>
      <w:r w:rsidR="006E6B8F">
        <w:rPr>
          <w:rtl/>
        </w:rPr>
        <w:t>مورد</w:t>
      </w:r>
      <w:r w:rsidR="006E6B8F">
        <w:rPr>
          <w:rFonts w:hint="cs"/>
          <w:rtl/>
        </w:rPr>
        <w:t xml:space="preserve"> قصاص </w:t>
      </w:r>
      <w:r w:rsidR="006E6B8F">
        <w:rPr>
          <w:rtl/>
        </w:rPr>
        <w:t>را استثنا کرده است</w:t>
      </w:r>
      <w:r w:rsidRPr="008C776A">
        <w:rPr>
          <w:rtl/>
        </w:rPr>
        <w:t>.</w:t>
      </w:r>
    </w:p>
    <w:p w:rsidR="008C776A" w:rsidRPr="008C776A" w:rsidRDefault="008C776A" w:rsidP="006E6B8F">
      <w:pPr>
        <w:rPr>
          <w:rFonts w:ascii="IRNazanin" w:eastAsia="Times New Roman" w:hAnsi="IRNazanin" w:cs="IRNazanin"/>
          <w:color w:val="000000"/>
          <w:sz w:val="36"/>
          <w:szCs w:val="36"/>
          <w:rtl/>
        </w:rPr>
      </w:pPr>
      <w:r w:rsidRPr="008C776A">
        <w:rPr>
          <w:rtl/>
        </w:rPr>
        <w:t>بنابراین</w:t>
      </w:r>
      <w:r w:rsidR="006E6B8F">
        <w:rPr>
          <w:rFonts w:hint="cs"/>
          <w:rtl/>
        </w:rPr>
        <w:t>،</w:t>
      </w:r>
      <w:r w:rsidRPr="008C776A">
        <w:rPr>
          <w:rtl/>
        </w:rPr>
        <w:t xml:space="preserve"> از ناحیه معارضه راهی برای منع از روایت سکونی نیست و </w:t>
      </w:r>
      <w:r w:rsidR="006E6B8F">
        <w:rPr>
          <w:rFonts w:hint="cs"/>
          <w:rtl/>
        </w:rPr>
        <w:t xml:space="preserve">همانطور که گذشت بین این روایت و سایر ادله امکان جمع </w:t>
      </w:r>
      <w:r w:rsidR="006E6B8F">
        <w:rPr>
          <w:rtl/>
        </w:rPr>
        <w:t>عرفی وجود دارد</w:t>
      </w:r>
      <w:r w:rsidR="006E6B8F">
        <w:rPr>
          <w:rFonts w:hint="cs"/>
          <w:rtl/>
        </w:rPr>
        <w:t xml:space="preserve"> و تحقق تعارض در مقام متوقف بر الغای خصوصیت از قصاص در این روایت و تعمیم حکم موجود در آن بر سایر تکالیف است.</w:t>
      </w:r>
    </w:p>
    <w:p w:rsidR="008C776A" w:rsidRPr="008C776A" w:rsidRDefault="006E6B8F" w:rsidP="006E6B8F">
      <w:pPr>
        <w:rPr>
          <w:rFonts w:ascii="IRNazanin" w:eastAsia="Times New Roman" w:hAnsi="IRNazanin" w:cs="IRNazanin"/>
          <w:color w:val="000000"/>
          <w:sz w:val="36"/>
          <w:szCs w:val="36"/>
          <w:rtl/>
        </w:rPr>
      </w:pPr>
      <w:r>
        <w:rPr>
          <w:rFonts w:hint="cs"/>
          <w:rtl/>
        </w:rPr>
        <w:t xml:space="preserve">اما </w:t>
      </w:r>
      <w:r w:rsidR="008C776A" w:rsidRPr="008C776A">
        <w:rPr>
          <w:rtl/>
        </w:rPr>
        <w:t xml:space="preserve">رمی روایت به شذوذ و اعراض </w:t>
      </w:r>
      <w:r>
        <w:rPr>
          <w:rFonts w:hint="cs"/>
          <w:rtl/>
        </w:rPr>
        <w:t xml:space="preserve">اصحاب هم </w:t>
      </w:r>
      <w:r w:rsidR="008C776A" w:rsidRPr="008C776A">
        <w:rPr>
          <w:rtl/>
        </w:rPr>
        <w:t xml:space="preserve">با وجود </w:t>
      </w:r>
      <w:r>
        <w:rPr>
          <w:rFonts w:hint="cs"/>
          <w:rtl/>
        </w:rPr>
        <w:t xml:space="preserve">نقل و عمل </w:t>
      </w:r>
      <w:r w:rsidR="008C776A" w:rsidRPr="008C776A">
        <w:rPr>
          <w:rtl/>
        </w:rPr>
        <w:t>جمعی از اصحاب</w:t>
      </w:r>
      <w:r>
        <w:rPr>
          <w:rFonts w:hint="cs"/>
          <w:rtl/>
        </w:rPr>
        <w:t xml:space="preserve"> و بزرگان،</w:t>
      </w:r>
      <w:r w:rsidR="008C776A" w:rsidRPr="008C776A">
        <w:rPr>
          <w:rtl/>
        </w:rPr>
        <w:t xml:space="preserve"> مثل مشایخ ثلاث</w:t>
      </w:r>
      <w:r>
        <w:rPr>
          <w:rtl/>
        </w:rPr>
        <w:t xml:space="preserve"> منتفی است</w:t>
      </w:r>
      <w:r>
        <w:rPr>
          <w:rFonts w:hint="cs"/>
          <w:rtl/>
        </w:rPr>
        <w:t>، لذا می بایست برای ردع و منع از این روایت، وجوه دیگری را اقامه نمود که در مقام به نظر می رسد که دو بیان برای حل این مشکل قابل تمسک است.</w:t>
      </w:r>
    </w:p>
    <w:p w:rsidR="00876EF4" w:rsidRDefault="00876EF4" w:rsidP="00876EF4">
      <w:pPr>
        <w:pStyle w:val="Heading7"/>
        <w:rPr>
          <w:rtl/>
        </w:rPr>
      </w:pPr>
      <w:bookmarkStart w:id="6" w:name="_Toc503973564"/>
      <w:bookmarkStart w:id="7" w:name="_Toc503973596"/>
      <w:r>
        <w:rPr>
          <w:rFonts w:hint="cs"/>
          <w:rtl/>
        </w:rPr>
        <w:lastRenderedPageBreak/>
        <w:t>بیان اول در حمل روایت سکونی:</w:t>
      </w:r>
      <w:bookmarkEnd w:id="6"/>
      <w:r w:rsidR="003A342B">
        <w:rPr>
          <w:rFonts w:hint="cs"/>
          <w:rtl/>
        </w:rPr>
        <w:t xml:space="preserve"> اماریت «خمسة اشبار» بر بلوغ</w:t>
      </w:r>
      <w:bookmarkEnd w:id="7"/>
      <w:r w:rsidR="003A342B">
        <w:rPr>
          <w:rFonts w:hint="cs"/>
          <w:rtl/>
        </w:rPr>
        <w:t xml:space="preserve"> </w:t>
      </w:r>
    </w:p>
    <w:p w:rsidR="00404B3A" w:rsidRDefault="008C776A" w:rsidP="00876EF4">
      <w:pPr>
        <w:rPr>
          <w:rtl/>
        </w:rPr>
      </w:pPr>
      <w:r w:rsidRPr="008C776A">
        <w:rPr>
          <w:rtl/>
        </w:rPr>
        <w:t xml:space="preserve"> مفاد روایت سکونی</w:t>
      </w:r>
      <w:r w:rsidR="00876EF4">
        <w:rPr>
          <w:rFonts w:hint="cs"/>
          <w:rtl/>
        </w:rPr>
        <w:t xml:space="preserve"> دال بر</w:t>
      </w:r>
      <w:r w:rsidRPr="008C776A">
        <w:rPr>
          <w:rtl/>
        </w:rPr>
        <w:t xml:space="preserve"> این است که </w:t>
      </w:r>
      <w:r w:rsidR="00876EF4">
        <w:rPr>
          <w:rFonts w:hint="cs"/>
          <w:rtl/>
        </w:rPr>
        <w:t xml:space="preserve">اگر قامت آن </w:t>
      </w:r>
      <w:r w:rsidRPr="008C776A">
        <w:rPr>
          <w:rtl/>
        </w:rPr>
        <w:t>صبی</w:t>
      </w:r>
      <w:r w:rsidR="00876EF4">
        <w:rPr>
          <w:rFonts w:hint="cs"/>
          <w:rtl/>
        </w:rPr>
        <w:t xml:space="preserve"> که مبادرت به قتل غیر کرده است، به پنج وجب رسیده باشد، قصاص می شود، و با توجه به این که هر وجب متعارفی حدود بیست تا بیست و پنج سانتی متر می باشد، پنج وجب چیزی در حدود صد و بیست سانتی متر تخمین زده می شود. و از آن جا که این مقدار، چیزی نزدیک به قامت صبی مراهق است، می توان وضع این حد و حدود در روایت سکونی را، عنوانی </w:t>
      </w:r>
      <w:r w:rsidRPr="00876EF4">
        <w:rPr>
          <w:rtl/>
        </w:rPr>
        <w:t xml:space="preserve">مشیر به امری متعین </w:t>
      </w:r>
      <w:r w:rsidR="00876EF4">
        <w:rPr>
          <w:rFonts w:hint="cs"/>
          <w:rtl/>
        </w:rPr>
        <w:t xml:space="preserve">دانست بدون این که برای شبر و وجب </w:t>
      </w:r>
      <w:r w:rsidRPr="00876EF4">
        <w:rPr>
          <w:rtl/>
        </w:rPr>
        <w:t xml:space="preserve">خصوصیت </w:t>
      </w:r>
      <w:r w:rsidR="00876EF4">
        <w:rPr>
          <w:rtl/>
        </w:rPr>
        <w:t>و موضوعیت</w:t>
      </w:r>
      <w:r w:rsidR="00876EF4">
        <w:rPr>
          <w:rFonts w:hint="cs"/>
          <w:rtl/>
        </w:rPr>
        <w:t>ی در کار باشد؛</w:t>
      </w:r>
      <w:r w:rsidRPr="00876EF4">
        <w:rPr>
          <w:rtl/>
        </w:rPr>
        <w:t xml:space="preserve"> کما این که در </w:t>
      </w:r>
      <w:r w:rsidR="00876EF4">
        <w:rPr>
          <w:rFonts w:hint="cs"/>
          <w:rtl/>
        </w:rPr>
        <w:t xml:space="preserve">مورد مقدار </w:t>
      </w:r>
      <w:r w:rsidRPr="00876EF4">
        <w:rPr>
          <w:rtl/>
        </w:rPr>
        <w:t>آب کر</w:t>
      </w:r>
      <w:r w:rsidR="00876EF4">
        <w:rPr>
          <w:rFonts w:hint="cs"/>
          <w:rtl/>
        </w:rPr>
        <w:t xml:space="preserve"> که سه وجب و نیم در طول و عرض و عمق در آن لحاظ شده است،</w:t>
      </w:r>
      <w:r w:rsidRPr="00876EF4">
        <w:rPr>
          <w:rtl/>
        </w:rPr>
        <w:t xml:space="preserve"> </w:t>
      </w:r>
      <w:r w:rsidR="00876EF4">
        <w:rPr>
          <w:rFonts w:hint="cs"/>
          <w:rtl/>
        </w:rPr>
        <w:t xml:space="preserve">این مختصات </w:t>
      </w:r>
      <w:r w:rsidRPr="00876EF4">
        <w:rPr>
          <w:rtl/>
        </w:rPr>
        <w:t>موضوعیت ندارد</w:t>
      </w:r>
      <w:r w:rsidR="00876EF4">
        <w:rPr>
          <w:rFonts w:hint="cs"/>
          <w:rtl/>
        </w:rPr>
        <w:t>،</w:t>
      </w:r>
      <w:r w:rsidRPr="00876EF4">
        <w:rPr>
          <w:rtl/>
        </w:rPr>
        <w:t xml:space="preserve"> بلکه مشیر به مقداری </w:t>
      </w:r>
      <w:r w:rsidR="00876EF4">
        <w:rPr>
          <w:rFonts w:hint="cs"/>
          <w:rtl/>
        </w:rPr>
        <w:t xml:space="preserve">معین </w:t>
      </w:r>
      <w:r w:rsidR="00876EF4">
        <w:rPr>
          <w:rtl/>
        </w:rPr>
        <w:t xml:space="preserve">است که </w:t>
      </w:r>
      <w:r w:rsidR="00876EF4">
        <w:rPr>
          <w:rFonts w:hint="cs"/>
          <w:rtl/>
        </w:rPr>
        <w:t>ای</w:t>
      </w:r>
      <w:r w:rsidRPr="00876EF4">
        <w:rPr>
          <w:rtl/>
        </w:rPr>
        <w:t>ن مقدار</w:t>
      </w:r>
      <w:r w:rsidR="00876EF4">
        <w:rPr>
          <w:rFonts w:hint="cs"/>
          <w:rtl/>
        </w:rPr>
        <w:t xml:space="preserve"> معین آب، </w:t>
      </w:r>
      <w:r w:rsidRPr="00876EF4">
        <w:rPr>
          <w:rtl/>
        </w:rPr>
        <w:t>ک</w:t>
      </w:r>
      <w:r w:rsidR="00876EF4">
        <w:rPr>
          <w:rFonts w:hint="cs"/>
          <w:rtl/>
        </w:rPr>
        <w:t>ُ</w:t>
      </w:r>
      <w:r w:rsidRPr="00876EF4">
        <w:rPr>
          <w:rtl/>
        </w:rPr>
        <w:t xml:space="preserve">ر </w:t>
      </w:r>
      <w:r w:rsidR="00876EF4">
        <w:rPr>
          <w:rFonts w:hint="cs"/>
          <w:rtl/>
        </w:rPr>
        <w:t>محسوب می شود</w:t>
      </w:r>
      <w:r w:rsidRPr="00876EF4">
        <w:rPr>
          <w:rtl/>
        </w:rPr>
        <w:t>، بله</w:t>
      </w:r>
      <w:r w:rsidR="00404B3A">
        <w:rPr>
          <w:rFonts w:hint="cs"/>
          <w:rtl/>
        </w:rPr>
        <w:t>،</w:t>
      </w:r>
      <w:r w:rsidRPr="00876EF4">
        <w:rPr>
          <w:rtl/>
        </w:rPr>
        <w:t xml:space="preserve"> در برخی موارد ممکن است عنوان</w:t>
      </w:r>
      <w:r w:rsidR="00404B3A">
        <w:rPr>
          <w:rFonts w:hint="cs"/>
          <w:rtl/>
        </w:rPr>
        <w:t xml:space="preserve"> موجود،</w:t>
      </w:r>
      <w:r w:rsidRPr="00876EF4">
        <w:rPr>
          <w:rtl/>
        </w:rPr>
        <w:t xml:space="preserve"> موضوعیت داشته باشد، اما در اوزان و مقادیر این گونه نیست و </w:t>
      </w:r>
      <w:r w:rsidR="00404B3A">
        <w:rPr>
          <w:rFonts w:hint="cs"/>
          <w:rtl/>
        </w:rPr>
        <w:t xml:space="preserve">در حقیقت </w:t>
      </w:r>
      <w:r w:rsidRPr="00876EF4">
        <w:rPr>
          <w:rtl/>
        </w:rPr>
        <w:t>این مقادیر</w:t>
      </w:r>
      <w:r w:rsidR="00404B3A">
        <w:rPr>
          <w:rFonts w:hint="cs"/>
          <w:rtl/>
        </w:rPr>
        <w:t xml:space="preserve"> مطرح شده در آن ها،</w:t>
      </w:r>
      <w:r w:rsidR="00404B3A">
        <w:rPr>
          <w:rtl/>
        </w:rPr>
        <w:t xml:space="preserve"> مشیر به </w:t>
      </w:r>
      <w:r w:rsidR="00404B3A">
        <w:rPr>
          <w:rFonts w:hint="cs"/>
          <w:rtl/>
        </w:rPr>
        <w:t>مقداری</w:t>
      </w:r>
      <w:r w:rsidRPr="00876EF4">
        <w:rPr>
          <w:rtl/>
        </w:rPr>
        <w:t xml:space="preserve"> متعین</w:t>
      </w:r>
      <w:r w:rsidR="00404B3A">
        <w:rPr>
          <w:rFonts w:hint="cs"/>
          <w:rtl/>
        </w:rPr>
        <w:t xml:space="preserve"> و مشخص</w:t>
      </w:r>
      <w:r w:rsidRPr="00876EF4">
        <w:rPr>
          <w:rtl/>
        </w:rPr>
        <w:t xml:space="preserve"> است.</w:t>
      </w:r>
    </w:p>
    <w:p w:rsidR="008C776A" w:rsidRPr="00876EF4" w:rsidRDefault="00404B3A" w:rsidP="00404B3A">
      <w:pPr>
        <w:rPr>
          <w:rtl/>
        </w:rPr>
      </w:pPr>
      <w:r>
        <w:rPr>
          <w:rFonts w:hint="cs"/>
          <w:rtl/>
        </w:rPr>
        <w:t xml:space="preserve"> </w:t>
      </w:r>
      <w:r>
        <w:rPr>
          <w:rtl/>
        </w:rPr>
        <w:t>شاهد</w:t>
      </w:r>
      <w:r>
        <w:rPr>
          <w:rFonts w:hint="cs"/>
          <w:rtl/>
        </w:rPr>
        <w:t xml:space="preserve"> حمل روایت بر این معنا</w:t>
      </w:r>
      <w:r>
        <w:rPr>
          <w:rtl/>
        </w:rPr>
        <w:t xml:space="preserve"> هم این است که </w:t>
      </w:r>
      <w:r>
        <w:rPr>
          <w:rFonts w:hint="cs"/>
          <w:rtl/>
        </w:rPr>
        <w:t xml:space="preserve">در این موارد، </w:t>
      </w:r>
      <w:r>
        <w:rPr>
          <w:rtl/>
        </w:rPr>
        <w:t>حد</w:t>
      </w:r>
      <w:r w:rsidR="008C776A" w:rsidRPr="00876EF4">
        <w:rPr>
          <w:rtl/>
        </w:rPr>
        <w:t xml:space="preserve">اقل </w:t>
      </w:r>
      <w:r>
        <w:rPr>
          <w:rFonts w:hint="cs"/>
          <w:rtl/>
        </w:rPr>
        <w:t xml:space="preserve">میران </w:t>
      </w:r>
      <w:r w:rsidR="008C776A" w:rsidRPr="00876EF4">
        <w:rPr>
          <w:rtl/>
        </w:rPr>
        <w:t>متعارف را در نظر می گیرند</w:t>
      </w:r>
      <w:r>
        <w:rPr>
          <w:rFonts w:hint="cs"/>
          <w:rtl/>
        </w:rPr>
        <w:t xml:space="preserve"> و مثلا در بحث آب کر، کوچکترین وجب و شبر متعارف را به عنوان ملاک سنجش قرار می دهند، در حالی که اگر این مقادیر موضوعیت داشت، لحاظ حداقل متعارف قابل قبول نبود.</w:t>
      </w:r>
    </w:p>
    <w:p w:rsidR="008C776A" w:rsidRPr="008C776A" w:rsidRDefault="00404B3A" w:rsidP="00404B3A">
      <w:pPr>
        <w:rPr>
          <w:rtl/>
        </w:rPr>
      </w:pPr>
      <w:r>
        <w:rPr>
          <w:rtl/>
        </w:rPr>
        <w:t>در مقام هم</w:t>
      </w:r>
      <w:r>
        <w:rPr>
          <w:rFonts w:hint="cs"/>
          <w:rtl/>
        </w:rPr>
        <w:t>،</w:t>
      </w:r>
      <w:r w:rsidR="008C776A" w:rsidRPr="008C776A">
        <w:rPr>
          <w:rtl/>
        </w:rPr>
        <w:t xml:space="preserve"> </w:t>
      </w:r>
      <w:r>
        <w:rPr>
          <w:rFonts w:hint="cs"/>
          <w:rtl/>
        </w:rPr>
        <w:t xml:space="preserve">لابد و قهرا می بایست مقدار و میزان ملحوظ در </w:t>
      </w:r>
      <w:r w:rsidR="008C776A" w:rsidRPr="008C776A">
        <w:rPr>
          <w:rtl/>
        </w:rPr>
        <w:t xml:space="preserve">روایت </w:t>
      </w:r>
      <w:r>
        <w:rPr>
          <w:rFonts w:hint="cs"/>
          <w:rtl/>
        </w:rPr>
        <w:t xml:space="preserve">سکونی را، به عنوان امری مشیر </w:t>
      </w:r>
      <w:r w:rsidR="008C776A" w:rsidRPr="008C776A">
        <w:rPr>
          <w:rtl/>
        </w:rPr>
        <w:t xml:space="preserve">به متعین </w:t>
      </w:r>
      <w:r>
        <w:rPr>
          <w:rFonts w:hint="cs"/>
          <w:rtl/>
        </w:rPr>
        <w:t>در نظر گرفت؛</w:t>
      </w:r>
      <w:r w:rsidR="008C776A" w:rsidRPr="008C776A">
        <w:rPr>
          <w:rtl/>
        </w:rPr>
        <w:t xml:space="preserve"> </w:t>
      </w:r>
      <w:r>
        <w:rPr>
          <w:rFonts w:hint="cs"/>
          <w:rtl/>
        </w:rPr>
        <w:t>و با توجه به این که وجب هایی اشخاص اختلاف دارد؛ و ممکن است بر اساس وجب یک انسان ، قامت این صبی از چهار وجب تجاوز نکند در حالی که بر اساس وجب شخص دیگری، قامت صبی به پنج وجب هم برسد؛ لذا ملاک را حداقل وجب متعارف دانسته اند.</w:t>
      </w:r>
    </w:p>
    <w:p w:rsidR="008C776A" w:rsidRPr="008C776A" w:rsidRDefault="00104437" w:rsidP="00104437">
      <w:pPr>
        <w:rPr>
          <w:rtl/>
        </w:rPr>
      </w:pPr>
      <w:r>
        <w:rPr>
          <w:rFonts w:hint="cs"/>
          <w:rtl/>
        </w:rPr>
        <w:t xml:space="preserve">در حقیقت </w:t>
      </w:r>
      <w:r w:rsidR="008C776A" w:rsidRPr="008C776A">
        <w:rPr>
          <w:rtl/>
        </w:rPr>
        <w:t>ممکن است این روایت</w:t>
      </w:r>
      <w:r>
        <w:rPr>
          <w:rFonts w:hint="cs"/>
          <w:rtl/>
        </w:rPr>
        <w:t>،</w:t>
      </w:r>
      <w:r>
        <w:rPr>
          <w:rtl/>
        </w:rPr>
        <w:t xml:space="preserve"> ناظ</w:t>
      </w:r>
      <w:r w:rsidR="008C776A" w:rsidRPr="008C776A">
        <w:rPr>
          <w:rtl/>
        </w:rPr>
        <w:t>ر</w:t>
      </w:r>
      <w:r>
        <w:rPr>
          <w:rFonts w:hint="cs"/>
          <w:rtl/>
        </w:rPr>
        <w:t xml:space="preserve"> </w:t>
      </w:r>
      <w:r w:rsidR="008C776A" w:rsidRPr="008C776A">
        <w:rPr>
          <w:rtl/>
        </w:rPr>
        <w:t>به موارد</w:t>
      </w:r>
      <w:r>
        <w:rPr>
          <w:rFonts w:hint="cs"/>
          <w:rtl/>
        </w:rPr>
        <w:t xml:space="preserve">ی باشد که صبی مرتکب جنایتی شده است، ولی به این جهت که بلوغش مشکوک است؛ ترتب قصاص هم بر او مشکوک شده است، حال آن که به واسطه این روایت، ملاکی برای حکم به بلوغ این صبی در حیطه اجرای قصاص بیان شده است که در واقع اماره و طریقی بر تحقق بلوغی است که خودش حدود مشخص خود را دارد. و این شک و شبهه ای که به عنوان محمل روایت بیان شد، نسبت به زمان صدور روایت و نبود مدارک شناسایی در آن زمان، امر بعیدی هم نیست، و </w:t>
      </w:r>
      <w:r>
        <w:rPr>
          <w:rtl/>
        </w:rPr>
        <w:t>گوی</w:t>
      </w:r>
      <w:r>
        <w:rPr>
          <w:rFonts w:hint="cs"/>
          <w:rtl/>
        </w:rPr>
        <w:t>ا</w:t>
      </w:r>
      <w:r w:rsidR="008C776A" w:rsidRPr="008C776A">
        <w:rPr>
          <w:rtl/>
        </w:rPr>
        <w:t xml:space="preserve"> این روایت به عنوان اماره ای بر بلوغ </w:t>
      </w:r>
      <w:r w:rsidR="00B25760">
        <w:rPr>
          <w:rFonts w:hint="cs"/>
          <w:rtl/>
        </w:rPr>
        <w:t xml:space="preserve">در موارد شک در بلوغ </w:t>
      </w:r>
      <w:r>
        <w:rPr>
          <w:rFonts w:hint="cs"/>
          <w:rtl/>
        </w:rPr>
        <w:t>مطرح شده است تا در این موارد رفع تحیر شود.</w:t>
      </w:r>
    </w:p>
    <w:p w:rsidR="00DC5E59" w:rsidRDefault="00B25760" w:rsidP="00B25760">
      <w:pPr>
        <w:rPr>
          <w:rtl/>
        </w:rPr>
      </w:pPr>
      <w:r>
        <w:rPr>
          <w:rFonts w:hint="cs"/>
          <w:rtl/>
        </w:rPr>
        <w:lastRenderedPageBreak/>
        <w:t xml:space="preserve">بنابراین، مراد از «خمسة اشبار» صبی مراهق است؛ یعنی، صبی مشرف به بلوغ و در معرض آن به این معنا که محتمل است بالغ شده باشد، کما این که </w:t>
      </w:r>
      <w:r w:rsidR="00104437" w:rsidRPr="00B25760">
        <w:rPr>
          <w:rFonts w:hint="cs"/>
          <w:rtl/>
        </w:rPr>
        <w:t>مرحوم</w:t>
      </w:r>
      <w:r w:rsidR="00104437">
        <w:rPr>
          <w:rFonts w:hint="cs"/>
          <w:rtl/>
        </w:rPr>
        <w:t xml:space="preserve"> </w:t>
      </w:r>
      <w:r w:rsidR="008C776A" w:rsidRPr="008C776A">
        <w:rPr>
          <w:rtl/>
        </w:rPr>
        <w:t xml:space="preserve">ابن حمزه </w:t>
      </w:r>
      <w:r>
        <w:rPr>
          <w:rFonts w:hint="cs"/>
          <w:rtl/>
        </w:rPr>
        <w:t xml:space="preserve">ره هم </w:t>
      </w:r>
      <w:r w:rsidR="00104437">
        <w:rPr>
          <w:rFonts w:hint="cs"/>
          <w:rtl/>
        </w:rPr>
        <w:t xml:space="preserve">در </w:t>
      </w:r>
      <w:r>
        <w:rPr>
          <w:rFonts w:hint="cs"/>
          <w:rtl/>
        </w:rPr>
        <w:t>کتاب وسیلة،</w:t>
      </w:r>
      <w:r w:rsidR="00104437">
        <w:rPr>
          <w:rFonts w:hint="cs"/>
          <w:rtl/>
        </w:rPr>
        <w:t xml:space="preserve"> مراهق را </w:t>
      </w:r>
      <w:r>
        <w:rPr>
          <w:rFonts w:hint="cs"/>
          <w:rtl/>
        </w:rPr>
        <w:t>در حکم بالغ</w:t>
      </w:r>
      <w:r w:rsidR="009E2D64">
        <w:rPr>
          <w:rFonts w:hint="cs"/>
          <w:rtl/>
        </w:rPr>
        <w:t xml:space="preserve"> دانسته است</w:t>
      </w:r>
      <w:r w:rsidRPr="00B25760">
        <w:rPr>
          <w:rStyle w:val="FootnoteReference"/>
          <w:rtl/>
        </w:rPr>
        <w:footnoteReference w:id="1"/>
      </w:r>
      <w:r w:rsidR="009E2D64">
        <w:rPr>
          <w:rFonts w:hint="cs"/>
          <w:rtl/>
        </w:rPr>
        <w:t xml:space="preserve"> و این خود</w:t>
      </w:r>
      <w:r>
        <w:rPr>
          <w:rFonts w:hint="cs"/>
          <w:rtl/>
        </w:rPr>
        <w:t xml:space="preserve"> می تواند شاهدی بر این حمل باشد؛ چرا که هیچ روایتی در مورد مراهق وجود ندارد و شاید فهم و استظهار ایشان از همین روایت سکونی، صبی مراهق بوده است.</w:t>
      </w:r>
    </w:p>
    <w:p w:rsidR="008C776A" w:rsidRPr="00DC5E59" w:rsidRDefault="008C776A" w:rsidP="00DC5E59">
      <w:pPr>
        <w:rPr>
          <w:rtl/>
        </w:rPr>
      </w:pPr>
      <w:r w:rsidRPr="008C776A">
        <w:rPr>
          <w:rtl/>
        </w:rPr>
        <w:t xml:space="preserve">مرحوم آقای خویی </w:t>
      </w:r>
      <w:r w:rsidR="00DC5E59">
        <w:rPr>
          <w:rFonts w:hint="cs"/>
          <w:rtl/>
        </w:rPr>
        <w:t>قدس سره با وجود این که متعرض این بحث نشده است اما در بحث شرایط قصاص و در موارد تحدید بلوغ این روایت را مطرح نموده است و در ضمن طرح این روایت قریب به همین مضمونی که بیان شد را در مورد «خمسة اشبار» قائل شده است؛ «</w:t>
      </w:r>
      <w:r w:rsidR="00DC5E59" w:rsidRPr="00DC5E59">
        <w:rPr>
          <w:color w:val="0000FF"/>
          <w:rtl/>
        </w:rPr>
        <w:t>أق</w:t>
      </w:r>
      <w:r w:rsidR="00DC5E59" w:rsidRPr="00DC5E59">
        <w:rPr>
          <w:rFonts w:hint="cs"/>
          <w:color w:val="0000FF"/>
          <w:rtl/>
        </w:rPr>
        <w:t xml:space="preserve">ول: </w:t>
      </w:r>
      <w:r w:rsidRPr="00DC5E59">
        <w:rPr>
          <w:color w:val="0000FF"/>
          <w:rtl/>
        </w:rPr>
        <w:t xml:space="preserve">لا بدّ من حمل الرواية على معرفيّة وصوله سنّ البلوغ و هو خمس عشرة سنة، </w:t>
      </w:r>
      <w:r w:rsidR="00DC5E59">
        <w:rPr>
          <w:color w:val="0000FF"/>
          <w:rtl/>
        </w:rPr>
        <w:t>و لا يبعد أن يكون هذا هو الغالب</w:t>
      </w:r>
      <w:r w:rsidR="00DC5E59" w:rsidRPr="00DC5E59">
        <w:rPr>
          <w:rFonts w:hint="cs"/>
          <w:rtl/>
        </w:rPr>
        <w:t>».</w:t>
      </w:r>
      <w:r w:rsidR="00DC5E59">
        <w:rPr>
          <w:rStyle w:val="FootnoteReference"/>
          <w:rtl/>
        </w:rPr>
        <w:footnoteReference w:id="2"/>
      </w:r>
    </w:p>
    <w:p w:rsidR="006B4A9E" w:rsidRPr="006B4A9E" w:rsidRDefault="006B4A9E" w:rsidP="006B4A9E">
      <w:pPr>
        <w:rPr>
          <w:rFonts w:hint="cs"/>
          <w:rtl/>
        </w:rPr>
      </w:pPr>
      <w:r w:rsidRPr="006B4A9E">
        <w:rPr>
          <w:rFonts w:hint="cs"/>
          <w:rtl/>
        </w:rPr>
        <w:t xml:space="preserve">تفاوت </w:t>
      </w:r>
      <w:r w:rsidR="008C776A" w:rsidRPr="008C776A">
        <w:rPr>
          <w:rtl/>
        </w:rPr>
        <w:t xml:space="preserve">فرمایش مرحوم آقای خویی ره </w:t>
      </w:r>
      <w:r w:rsidR="00DC5E59" w:rsidRPr="006B4A9E">
        <w:rPr>
          <w:rFonts w:hint="cs"/>
          <w:rtl/>
        </w:rPr>
        <w:t xml:space="preserve">در بحث شرایط قصاص، </w:t>
      </w:r>
      <w:r w:rsidR="008C776A" w:rsidRPr="008C776A">
        <w:rPr>
          <w:rtl/>
        </w:rPr>
        <w:t xml:space="preserve">با </w:t>
      </w:r>
      <w:r w:rsidR="00DC5E59" w:rsidRPr="006B4A9E">
        <w:rPr>
          <w:rFonts w:hint="cs"/>
          <w:rtl/>
        </w:rPr>
        <w:t xml:space="preserve">بیان </w:t>
      </w:r>
      <w:r w:rsidR="008C776A" w:rsidRPr="008C776A">
        <w:rPr>
          <w:rtl/>
        </w:rPr>
        <w:t>مختار در</w:t>
      </w:r>
      <w:r w:rsidR="00DC5E59" w:rsidRPr="006B4A9E">
        <w:rPr>
          <w:rFonts w:hint="cs"/>
          <w:rtl/>
        </w:rPr>
        <w:t xml:space="preserve"> مورد روایت در</w:t>
      </w:r>
      <w:r w:rsidR="008C776A" w:rsidRPr="008C776A">
        <w:rPr>
          <w:rtl/>
        </w:rPr>
        <w:t xml:space="preserve"> این است که</w:t>
      </w:r>
      <w:r w:rsidR="00DC5E59" w:rsidRPr="006B4A9E">
        <w:rPr>
          <w:rFonts w:hint="cs"/>
          <w:rtl/>
        </w:rPr>
        <w:t xml:space="preserve"> </w:t>
      </w:r>
      <w:r w:rsidRPr="006B4A9E">
        <w:rPr>
          <w:rFonts w:hint="cs"/>
          <w:rtl/>
        </w:rPr>
        <w:t xml:space="preserve">نسبت به سن دوازده یا سیزده سال در فرضی که بر اساس احتمالِ احتلام، بلوغ مشکوک باشد، و با توجه به این که اختبار </w:t>
      </w:r>
      <w:r w:rsidR="00DC5E59" w:rsidRPr="006B4A9E">
        <w:rPr>
          <w:rFonts w:hint="cs"/>
          <w:rtl/>
        </w:rPr>
        <w:t>نسبت به احتلام</w:t>
      </w:r>
      <w:r w:rsidRPr="006B4A9E">
        <w:rPr>
          <w:rFonts w:hint="cs"/>
          <w:rtl/>
        </w:rPr>
        <w:t xml:space="preserve"> ممکن نیست، این مقدار به عنوان رافع شک مطرح شده است، و اماریت خمسة اشبار برای بلوغ منحصر در پانزده سالگی نیست، در حالی که فرمایش مرحوم آقای خویی ره اماریت نسبت به سن پانزده سال است که ممکن است نسبت به آن استیحاش و اشکال وارد شود؛ چرا که معمولا قد افراد پانزده ساله از «خمسة اشبار» بیشتر است.</w:t>
      </w:r>
    </w:p>
    <w:p w:rsidR="008C776A" w:rsidRPr="008C776A" w:rsidRDefault="006B4A9E" w:rsidP="006B4A9E">
      <w:pPr>
        <w:rPr>
          <w:rtl/>
        </w:rPr>
      </w:pPr>
      <w:r w:rsidRPr="006B4A9E">
        <w:rPr>
          <w:rFonts w:hint="cs"/>
          <w:rtl/>
        </w:rPr>
        <w:t xml:space="preserve">البته </w:t>
      </w:r>
      <w:r w:rsidR="008C776A" w:rsidRPr="008C776A">
        <w:rPr>
          <w:rtl/>
        </w:rPr>
        <w:t>اماریت برای بلوغ</w:t>
      </w:r>
      <w:r w:rsidRPr="006B4A9E">
        <w:rPr>
          <w:rFonts w:hint="cs"/>
          <w:rtl/>
        </w:rPr>
        <w:t>، بر اساس این روایت،</w:t>
      </w:r>
      <w:r w:rsidR="008C776A" w:rsidRPr="008C776A">
        <w:rPr>
          <w:rtl/>
        </w:rPr>
        <w:t xml:space="preserve"> نسبت به صرف قصاص </w:t>
      </w:r>
      <w:r w:rsidRPr="006B4A9E">
        <w:rPr>
          <w:rFonts w:hint="cs"/>
          <w:rtl/>
        </w:rPr>
        <w:t xml:space="preserve">است، </w:t>
      </w:r>
      <w:r w:rsidR="008C776A" w:rsidRPr="008C776A">
        <w:rPr>
          <w:rtl/>
        </w:rPr>
        <w:t>نه سایر حدود و</w:t>
      </w:r>
      <w:r w:rsidRPr="006B4A9E">
        <w:rPr>
          <w:rFonts w:hint="cs"/>
          <w:rtl/>
        </w:rPr>
        <w:t xml:space="preserve"> </w:t>
      </w:r>
      <w:r w:rsidR="008C776A" w:rsidRPr="008C776A">
        <w:rPr>
          <w:rtl/>
        </w:rPr>
        <w:t>تکالیف</w:t>
      </w:r>
      <w:r w:rsidRPr="006B4A9E">
        <w:rPr>
          <w:rFonts w:hint="cs"/>
          <w:rtl/>
        </w:rPr>
        <w:t>؛ چرا که</w:t>
      </w:r>
      <w:r w:rsidR="008C776A" w:rsidRPr="008C776A">
        <w:rPr>
          <w:rtl/>
        </w:rPr>
        <w:t xml:space="preserve"> گویا شارع در خصوص قصاص </w:t>
      </w:r>
      <w:r w:rsidRPr="006B4A9E">
        <w:rPr>
          <w:rFonts w:hint="cs"/>
          <w:rtl/>
        </w:rPr>
        <w:t>از باب حفظ جان انسان ها، چنین اماریتی را وضع نموده است.</w:t>
      </w:r>
    </w:p>
    <w:p w:rsidR="008C776A" w:rsidRPr="008C776A" w:rsidRDefault="008C776A" w:rsidP="008C776A">
      <w:pPr>
        <w:spacing w:line="240" w:lineRule="auto"/>
        <w:rPr>
          <w:rFonts w:ascii="IRNazanin" w:eastAsia="Times New Roman" w:hAnsi="IRNazanin" w:cs="IRNazanin"/>
          <w:color w:val="000000"/>
          <w:sz w:val="36"/>
          <w:szCs w:val="36"/>
          <w:rtl/>
        </w:rPr>
      </w:pPr>
      <w:r w:rsidRPr="008C776A">
        <w:rPr>
          <w:rFonts w:ascii="Cambria" w:eastAsia="Times New Roman" w:hAnsi="Cambria" w:cs="Cambria" w:hint="cs"/>
          <w:color w:val="000000"/>
          <w:sz w:val="36"/>
          <w:szCs w:val="36"/>
          <w:rtl/>
        </w:rPr>
        <w:t> </w:t>
      </w:r>
    </w:p>
    <w:p w:rsidR="008C776A" w:rsidRPr="008C776A" w:rsidRDefault="008C776A" w:rsidP="008C776A">
      <w:pPr>
        <w:spacing w:line="240" w:lineRule="auto"/>
        <w:rPr>
          <w:rFonts w:ascii="IRNazanin" w:eastAsia="Times New Roman" w:hAnsi="IRNazanin" w:cs="IRNazanin"/>
          <w:color w:val="000000"/>
          <w:sz w:val="36"/>
          <w:szCs w:val="36"/>
          <w:rtl/>
        </w:rPr>
      </w:pPr>
      <w:r w:rsidRPr="008C776A">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195F" w:rsidRDefault="005D195F" w:rsidP="008B750B">
      <w:pPr>
        <w:spacing w:line="240" w:lineRule="auto"/>
      </w:pPr>
      <w:r>
        <w:separator/>
      </w:r>
    </w:p>
  </w:endnote>
  <w:endnote w:type="continuationSeparator" w:id="0">
    <w:p w:rsidR="005D195F" w:rsidRDefault="005D195F"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B2"/>
    <w:family w:val="swiss"/>
    <w:notTrueType/>
    <w:pitch w:val="variable"/>
    <w:sig w:usb0="00002001" w:usb1="00000000" w:usb2="00000000" w:usb3="00000000" w:csb0="00000040"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3A342B" w:rsidRPr="003A342B">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CF7D62" w:rsidP="001B6799">
          <w:pPr>
            <w:pStyle w:val="Footer"/>
            <w:bidi w:val="0"/>
            <w:rPr>
              <w:color w:val="808080" w:themeColor="background1" w:themeShade="80"/>
              <w:rtl/>
            </w:rPr>
          </w:pPr>
          <w:bookmarkStart w:id="15" w:name="BokAdres"/>
          <w:bookmarkEnd w:id="15"/>
          <w:r>
            <w:rPr>
              <w:color w:val="808080" w:themeColor="background1" w:themeShade="80"/>
            </w:rPr>
            <w:t>F1mq1_13961027-065_ar1_mfeb.ir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195F" w:rsidRDefault="005D195F" w:rsidP="008B750B">
      <w:pPr>
        <w:spacing w:line="240" w:lineRule="auto"/>
      </w:pPr>
      <w:r>
        <w:separator/>
      </w:r>
    </w:p>
  </w:footnote>
  <w:footnote w:type="continuationSeparator" w:id="0">
    <w:p w:rsidR="005D195F" w:rsidRDefault="005D195F" w:rsidP="008B750B">
      <w:pPr>
        <w:spacing w:line="240" w:lineRule="auto"/>
      </w:pPr>
      <w:r>
        <w:continuationSeparator/>
      </w:r>
    </w:p>
  </w:footnote>
  <w:footnote w:id="1">
    <w:p w:rsidR="00B25760" w:rsidRDefault="00B25760" w:rsidP="00B25760">
      <w:pPr>
        <w:pStyle w:val="FootnoteText"/>
        <w:rPr>
          <w:rFonts w:hint="cs"/>
          <w:rtl/>
        </w:rPr>
      </w:pPr>
      <w:r>
        <w:rPr>
          <w:rStyle w:val="FootnoteReference"/>
        </w:rPr>
        <w:footnoteRef/>
      </w:r>
      <w:r>
        <w:rPr>
          <w:rtl/>
        </w:rPr>
        <w:t xml:space="preserve"> </w:t>
      </w:r>
      <w:r>
        <w:rPr>
          <w:rFonts w:hint="cs"/>
          <w:rtl/>
        </w:rPr>
        <w:t>. وسیله الی نیل فضیله</w:t>
      </w:r>
      <w:r>
        <w:rPr>
          <w:rFonts w:hint="cs"/>
          <w:rtl/>
        </w:rPr>
        <w:t xml:space="preserve">، ص438، البته تعبیر ایشان این گونه است که «المراهق فی حکم العاقل»، ولی به نظر می رسد که مراد از این </w:t>
      </w:r>
    </w:p>
  </w:footnote>
  <w:footnote w:id="2">
    <w:p w:rsidR="00DC5E59" w:rsidRPr="00DC5E59" w:rsidRDefault="00DC5E59" w:rsidP="00DC5E59">
      <w:pPr>
        <w:pStyle w:val="FootnoteText"/>
        <w:rPr>
          <w:rFonts w:hint="cs"/>
        </w:rPr>
      </w:pPr>
      <w:r w:rsidRPr="00DC5E59">
        <w:footnoteRef/>
      </w:r>
      <w:r>
        <w:rPr>
          <w:rFonts w:hint="cs"/>
          <w:rtl/>
        </w:rPr>
        <w:t>.</w:t>
      </w:r>
      <w:r w:rsidRPr="00DC5E59">
        <w:rPr>
          <w:rtl/>
        </w:rPr>
        <w:t xml:space="preserve"> </w:t>
      </w:r>
      <w:hyperlink r:id="rId1" w:history="1">
        <w:r w:rsidRPr="00DC5E59">
          <w:rPr>
            <w:rStyle w:val="Hyperlink"/>
            <w:rFonts w:hint="cs"/>
            <w:rtl/>
          </w:rPr>
          <w:t>موسوعة</w:t>
        </w:r>
        <w:r w:rsidRPr="00DC5E59">
          <w:rPr>
            <w:rStyle w:val="Hyperlink"/>
            <w:rtl/>
          </w:rPr>
          <w:t xml:space="preserve"> </w:t>
        </w:r>
        <w:r w:rsidRPr="00DC5E59">
          <w:rPr>
            <w:rStyle w:val="Hyperlink"/>
            <w:rFonts w:hint="cs"/>
            <w:rtl/>
          </w:rPr>
          <w:t>الامام</w:t>
        </w:r>
        <w:r w:rsidRPr="00DC5E59">
          <w:rPr>
            <w:rStyle w:val="Hyperlink"/>
            <w:rtl/>
          </w:rPr>
          <w:t xml:space="preserve"> </w:t>
        </w:r>
        <w:r w:rsidRPr="00DC5E59">
          <w:rPr>
            <w:rStyle w:val="Hyperlink"/>
            <w:rFonts w:hint="cs"/>
            <w:rtl/>
          </w:rPr>
          <w:t>الخوئی،</w:t>
        </w:r>
        <w:r w:rsidRPr="00DC5E59">
          <w:rPr>
            <w:rStyle w:val="Hyperlink"/>
            <w:rtl/>
          </w:rPr>
          <w:t xml:space="preserve"> </w:t>
        </w:r>
        <w:r w:rsidRPr="00DC5E59">
          <w:rPr>
            <w:rStyle w:val="Hyperlink"/>
            <w:rFonts w:hint="cs"/>
            <w:rtl/>
          </w:rPr>
          <w:t>السید</w:t>
        </w:r>
        <w:r w:rsidRPr="00DC5E59">
          <w:rPr>
            <w:rStyle w:val="Hyperlink"/>
            <w:rtl/>
          </w:rPr>
          <w:t xml:space="preserve"> </w:t>
        </w:r>
        <w:r w:rsidRPr="00DC5E59">
          <w:rPr>
            <w:rStyle w:val="Hyperlink"/>
            <w:rFonts w:hint="cs"/>
            <w:rtl/>
          </w:rPr>
          <w:t>أبوالقاسم</w:t>
        </w:r>
        <w:r w:rsidRPr="00DC5E59">
          <w:rPr>
            <w:rStyle w:val="Hyperlink"/>
            <w:rtl/>
          </w:rPr>
          <w:t xml:space="preserve"> </w:t>
        </w:r>
        <w:r w:rsidRPr="00DC5E59">
          <w:rPr>
            <w:rStyle w:val="Hyperlink"/>
            <w:rFonts w:hint="cs"/>
            <w:rtl/>
          </w:rPr>
          <w:t>الخوئی،</w:t>
        </w:r>
        <w:r w:rsidRPr="00DC5E59">
          <w:rPr>
            <w:rStyle w:val="Hyperlink"/>
            <w:rtl/>
          </w:rPr>
          <w:t xml:space="preserve"> </w:t>
        </w:r>
        <w:r w:rsidRPr="00DC5E59">
          <w:rPr>
            <w:rStyle w:val="Hyperlink"/>
            <w:rFonts w:hint="cs"/>
            <w:rtl/>
          </w:rPr>
          <w:t>ج</w:t>
        </w:r>
        <w:r w:rsidRPr="00DC5E59">
          <w:rPr>
            <w:rStyle w:val="Hyperlink"/>
            <w:rtl/>
          </w:rPr>
          <w:t>42</w:t>
        </w:r>
        <w:r w:rsidRPr="00DC5E59">
          <w:rPr>
            <w:rStyle w:val="Hyperlink"/>
            <w:rFonts w:hint="cs"/>
            <w:rtl/>
          </w:rPr>
          <w:t>،</w:t>
        </w:r>
        <w:r w:rsidRPr="00DC5E59">
          <w:rPr>
            <w:rStyle w:val="Hyperlink"/>
            <w:rtl/>
          </w:rPr>
          <w:t xml:space="preserve"> </w:t>
        </w:r>
        <w:r w:rsidRPr="00DC5E59">
          <w:rPr>
            <w:rStyle w:val="Hyperlink"/>
            <w:rFonts w:hint="cs"/>
            <w:rtl/>
          </w:rPr>
          <w:t>ص</w:t>
        </w:r>
        <w:r w:rsidRPr="00DC5E59">
          <w:rPr>
            <w:rStyle w:val="Hyperlink"/>
            <w:rtl/>
          </w:rPr>
          <w:t>94</w:t>
        </w:r>
        <w:r w:rsidRPr="00DC5E59">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8" w:name="BokNum"/>
    <w:bookmarkEnd w:id="8"/>
    <w:r w:rsidR="00CF7D62">
      <w:rPr>
        <w:b/>
        <w:bCs/>
        <w:sz w:val="20"/>
        <w:szCs w:val="24"/>
        <w:rtl/>
      </w:rPr>
      <w:t>065</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9" w:name="Bokdars"/>
    <w:bookmarkEnd w:id="9"/>
    <w:r w:rsidR="00CF7D62">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0" w:name="Bokostad"/>
    <w:bookmarkEnd w:id="10"/>
    <w:r w:rsidR="00CF7D62">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1" w:name="BokTarikh"/>
    <w:bookmarkEnd w:id="11"/>
    <w:r w:rsidR="00CF7D62">
      <w:rPr>
        <w:sz w:val="24"/>
        <w:szCs w:val="24"/>
        <w:rtl/>
      </w:rPr>
      <w:t>27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2" w:name="BokSabj"/>
    <w:bookmarkEnd w:id="12"/>
    <w:r w:rsidR="00CF7D62">
      <w:rPr>
        <w:rFonts w:hint="cs"/>
        <w:sz w:val="24"/>
        <w:szCs w:val="24"/>
        <w:rtl/>
      </w:rPr>
      <w:t>قتل</w:t>
    </w:r>
    <w:r w:rsidR="00CF7D62">
      <w:rPr>
        <w:sz w:val="24"/>
        <w:szCs w:val="24"/>
        <w:rtl/>
      </w:rPr>
      <w:t xml:space="preserve"> </w:t>
    </w:r>
    <w:r w:rsidR="00CF7D62">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3" w:name="Bokmoqarer"/>
    <w:bookmarkEnd w:id="13"/>
    <w:r w:rsidR="00CF7D62">
      <w:rPr>
        <w:rFonts w:hint="cs"/>
        <w:sz w:val="24"/>
        <w:szCs w:val="24"/>
        <w:rtl/>
      </w:rPr>
      <w:t>سید</w:t>
    </w:r>
    <w:r w:rsidR="00CF7D62">
      <w:rPr>
        <w:sz w:val="24"/>
        <w:szCs w:val="24"/>
        <w:rtl/>
      </w:rPr>
      <w:t xml:space="preserve"> </w:t>
    </w:r>
    <w:r w:rsidR="00CF7D62">
      <w:rPr>
        <w:rFonts w:hint="cs"/>
        <w:sz w:val="24"/>
        <w:szCs w:val="24"/>
        <w:rtl/>
      </w:rPr>
      <w:t>علی</w:t>
    </w:r>
    <w:r w:rsidR="00CF7D62">
      <w:rPr>
        <w:sz w:val="24"/>
        <w:szCs w:val="24"/>
        <w:rtl/>
      </w:rPr>
      <w:t xml:space="preserve"> </w:t>
    </w:r>
    <w:r w:rsidR="00CF7D62">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4" w:name="BokSabj2"/>
    <w:bookmarkEnd w:id="14"/>
    <w:r w:rsidR="00CF7D62">
      <w:rPr>
        <w:rFonts w:hint="cs"/>
        <w:sz w:val="24"/>
        <w:szCs w:val="24"/>
        <w:rtl/>
      </w:rPr>
      <w:t>قتل</w:t>
    </w:r>
    <w:r w:rsidR="00CF7D62">
      <w:rPr>
        <w:sz w:val="24"/>
        <w:szCs w:val="24"/>
        <w:rtl/>
      </w:rPr>
      <w:t xml:space="preserve"> </w:t>
    </w:r>
    <w:r w:rsidR="00CF7D62">
      <w:rPr>
        <w:rFonts w:hint="cs"/>
        <w:sz w:val="24"/>
        <w:szCs w:val="24"/>
        <w:rtl/>
      </w:rPr>
      <w:t>به</w:t>
    </w:r>
    <w:r w:rsidR="00CF7D62">
      <w:rPr>
        <w:sz w:val="24"/>
        <w:szCs w:val="24"/>
        <w:rtl/>
      </w:rPr>
      <w:t xml:space="preserve"> </w:t>
    </w:r>
    <w:r w:rsidR="00CF7D62">
      <w:rPr>
        <w:rFonts w:hint="cs"/>
        <w:sz w:val="24"/>
        <w:szCs w:val="24"/>
        <w:rtl/>
      </w:rPr>
      <w:t>تسبیب</w:t>
    </w:r>
    <w:r w:rsidR="00CF7D62">
      <w:rPr>
        <w:sz w:val="24"/>
        <w:szCs w:val="24"/>
        <w:rtl/>
      </w:rPr>
      <w:t>/</w:t>
    </w:r>
    <w:r w:rsidR="00CF7D62">
      <w:rPr>
        <w:rFonts w:hint="cs"/>
        <w:sz w:val="24"/>
        <w:szCs w:val="24"/>
        <w:rtl/>
      </w:rPr>
      <w:t>مراتب</w:t>
    </w:r>
    <w:r w:rsidR="00CF7D62">
      <w:rPr>
        <w:sz w:val="24"/>
        <w:szCs w:val="24"/>
        <w:rtl/>
      </w:rPr>
      <w:t xml:space="preserve"> </w:t>
    </w:r>
    <w:r w:rsidR="00CF7D62">
      <w:rPr>
        <w:rFonts w:hint="cs"/>
        <w:sz w:val="24"/>
        <w:szCs w:val="24"/>
        <w:rtl/>
      </w:rPr>
      <w:t>تسبیب</w:t>
    </w:r>
    <w:r w:rsidR="00CF7D62">
      <w:rPr>
        <w:sz w:val="24"/>
        <w:szCs w:val="24"/>
        <w:rtl/>
      </w:rPr>
      <w:t>/</w:t>
    </w:r>
    <w:r w:rsidR="00CF7D62">
      <w:rPr>
        <w:rFonts w:hint="cs"/>
        <w:sz w:val="24"/>
        <w:szCs w:val="24"/>
        <w:rtl/>
      </w:rPr>
      <w:t>مرتبه</w:t>
    </w:r>
    <w:r w:rsidR="00CF7D62">
      <w:rPr>
        <w:sz w:val="24"/>
        <w:szCs w:val="24"/>
        <w:rtl/>
      </w:rPr>
      <w:t xml:space="preserve"> </w:t>
    </w:r>
    <w:r w:rsidR="00CF7D62">
      <w:rPr>
        <w:rFonts w:hint="cs"/>
        <w:sz w:val="24"/>
        <w:szCs w:val="24"/>
        <w:rtl/>
      </w:rPr>
      <w:t>چهارم</w:t>
    </w:r>
    <w:r w:rsidR="00CF7D62">
      <w:rPr>
        <w:sz w:val="24"/>
        <w:szCs w:val="24"/>
        <w:rtl/>
      </w:rPr>
      <w:t>/</w:t>
    </w:r>
    <w:r w:rsidR="00CF7D62">
      <w:rPr>
        <w:rFonts w:hint="cs"/>
        <w:sz w:val="24"/>
        <w:szCs w:val="24"/>
        <w:rtl/>
      </w:rPr>
      <w:t>صورت</w:t>
    </w:r>
    <w:r w:rsidR="00CF7D62">
      <w:rPr>
        <w:sz w:val="24"/>
        <w:szCs w:val="24"/>
        <w:rtl/>
      </w:rPr>
      <w:t xml:space="preserve"> </w:t>
    </w:r>
    <w:r w:rsidR="00CF7D62">
      <w:rPr>
        <w:rFonts w:hint="cs"/>
        <w:sz w:val="24"/>
        <w:szCs w:val="24"/>
        <w:rtl/>
      </w:rPr>
      <w:t>سوم</w:t>
    </w:r>
    <w:r w:rsidR="00CF7D62">
      <w:rPr>
        <w:sz w:val="24"/>
        <w:szCs w:val="24"/>
        <w:rtl/>
      </w:rPr>
      <w:t>/</w:t>
    </w:r>
    <w:r w:rsidR="00CF7D62">
      <w:rPr>
        <w:rFonts w:hint="cs"/>
        <w:sz w:val="24"/>
        <w:szCs w:val="24"/>
        <w:rtl/>
      </w:rPr>
      <w:t>قصاص</w:t>
    </w:r>
    <w:r w:rsidR="00CF7D62">
      <w:rPr>
        <w:sz w:val="24"/>
        <w:szCs w:val="24"/>
        <w:rtl/>
      </w:rPr>
      <w:t xml:space="preserve"> </w:t>
    </w:r>
    <w:r w:rsidR="00CF7D62">
      <w:rPr>
        <w:rFonts w:hint="cs"/>
        <w:sz w:val="24"/>
        <w:szCs w:val="24"/>
        <w:rtl/>
      </w:rPr>
      <w:t>صبی</w:t>
    </w:r>
    <w:r w:rsidR="00CF7D62">
      <w:rPr>
        <w:sz w:val="24"/>
        <w:szCs w:val="24"/>
        <w:rtl/>
      </w:rPr>
      <w:t xml:space="preserve"> </w:t>
    </w:r>
    <w:r w:rsidR="00CF7D62">
      <w:rPr>
        <w:rFonts w:hint="cs"/>
        <w:sz w:val="24"/>
        <w:szCs w:val="24"/>
        <w:rtl/>
      </w:rPr>
      <w:t>خمسة</w:t>
    </w:r>
    <w:r w:rsidR="00CF7D62">
      <w:rPr>
        <w:sz w:val="24"/>
        <w:szCs w:val="24"/>
        <w:rtl/>
      </w:rPr>
      <w:t xml:space="preserve"> </w:t>
    </w:r>
    <w:r w:rsidR="00CF7D62">
      <w:rPr>
        <w:rFonts w:hint="cs"/>
        <w:sz w:val="24"/>
        <w:szCs w:val="24"/>
        <w:rtl/>
      </w:rPr>
      <w:t>اشبار</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04437"/>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6CFC"/>
    <w:rsid w:val="00247D2F"/>
    <w:rsid w:val="00256560"/>
    <w:rsid w:val="0027605E"/>
    <w:rsid w:val="00281E00"/>
    <w:rsid w:val="00294A52"/>
    <w:rsid w:val="002B575F"/>
    <w:rsid w:val="002B729B"/>
    <w:rsid w:val="002C53A2"/>
    <w:rsid w:val="002D0040"/>
    <w:rsid w:val="002D2FA8"/>
    <w:rsid w:val="002E220F"/>
    <w:rsid w:val="002E44C2"/>
    <w:rsid w:val="00307311"/>
    <w:rsid w:val="0032100F"/>
    <w:rsid w:val="0033402C"/>
    <w:rsid w:val="00340521"/>
    <w:rsid w:val="00345C73"/>
    <w:rsid w:val="00354A99"/>
    <w:rsid w:val="00360311"/>
    <w:rsid w:val="00361922"/>
    <w:rsid w:val="0037339B"/>
    <w:rsid w:val="00386C11"/>
    <w:rsid w:val="00397466"/>
    <w:rsid w:val="003A342B"/>
    <w:rsid w:val="003A6148"/>
    <w:rsid w:val="003C33F6"/>
    <w:rsid w:val="003C3D2E"/>
    <w:rsid w:val="003C43A5"/>
    <w:rsid w:val="003E1C5C"/>
    <w:rsid w:val="003E6650"/>
    <w:rsid w:val="003F5B46"/>
    <w:rsid w:val="00401363"/>
    <w:rsid w:val="00402E47"/>
    <w:rsid w:val="00404B3A"/>
    <w:rsid w:val="00425015"/>
    <w:rsid w:val="00430994"/>
    <w:rsid w:val="00441B6D"/>
    <w:rsid w:val="004556EF"/>
    <w:rsid w:val="00462B07"/>
    <w:rsid w:val="00465BD2"/>
    <w:rsid w:val="004707A6"/>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195F"/>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4A9E"/>
    <w:rsid w:val="006B7AD6"/>
    <w:rsid w:val="006C50FD"/>
    <w:rsid w:val="006D1DD4"/>
    <w:rsid w:val="006D4014"/>
    <w:rsid w:val="006D44C1"/>
    <w:rsid w:val="006E5651"/>
    <w:rsid w:val="006E5B85"/>
    <w:rsid w:val="006E6B8F"/>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76EF4"/>
    <w:rsid w:val="008956DD"/>
    <w:rsid w:val="008A510E"/>
    <w:rsid w:val="008A522A"/>
    <w:rsid w:val="008B4464"/>
    <w:rsid w:val="008B750B"/>
    <w:rsid w:val="008C3162"/>
    <w:rsid w:val="008C776A"/>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1FF9"/>
    <w:rsid w:val="009B4CA6"/>
    <w:rsid w:val="009B79F8"/>
    <w:rsid w:val="009C66D5"/>
    <w:rsid w:val="009D13FD"/>
    <w:rsid w:val="009D266A"/>
    <w:rsid w:val="009E2D64"/>
    <w:rsid w:val="009F7E07"/>
    <w:rsid w:val="00A01522"/>
    <w:rsid w:val="00A10A11"/>
    <w:rsid w:val="00A13C6A"/>
    <w:rsid w:val="00A17B09"/>
    <w:rsid w:val="00A2475E"/>
    <w:rsid w:val="00A457C6"/>
    <w:rsid w:val="00A46AD0"/>
    <w:rsid w:val="00A47063"/>
    <w:rsid w:val="00A473A8"/>
    <w:rsid w:val="00A513F0"/>
    <w:rsid w:val="00A61AC8"/>
    <w:rsid w:val="00A6366F"/>
    <w:rsid w:val="00A65D4C"/>
    <w:rsid w:val="00A70512"/>
    <w:rsid w:val="00A802E8"/>
    <w:rsid w:val="00AA1F60"/>
    <w:rsid w:val="00AA40D7"/>
    <w:rsid w:val="00AB5F7D"/>
    <w:rsid w:val="00AC0C50"/>
    <w:rsid w:val="00AC6FE2"/>
    <w:rsid w:val="00AF3925"/>
    <w:rsid w:val="00B1296B"/>
    <w:rsid w:val="00B2292F"/>
    <w:rsid w:val="00B25760"/>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CF7D62"/>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3783"/>
    <w:rsid w:val="00DC5E59"/>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662856523">
      <w:bodyDiv w:val="1"/>
      <w:marLeft w:val="0"/>
      <w:marRight w:val="0"/>
      <w:marTop w:val="0"/>
      <w:marBottom w:val="0"/>
      <w:divBdr>
        <w:top w:val="none" w:sz="0" w:space="0" w:color="auto"/>
        <w:left w:val="none" w:sz="0" w:space="0" w:color="auto"/>
        <w:bottom w:val="none" w:sz="0" w:space="0" w:color="auto"/>
        <w:right w:val="none" w:sz="0" w:space="0" w:color="auto"/>
      </w:divBdr>
      <w:divsChild>
        <w:div w:id="33773668">
          <w:marLeft w:val="0"/>
          <w:marRight w:val="0"/>
          <w:marTop w:val="0"/>
          <w:marBottom w:val="0"/>
          <w:divBdr>
            <w:top w:val="none" w:sz="0" w:space="0" w:color="auto"/>
            <w:left w:val="none" w:sz="0" w:space="0" w:color="auto"/>
            <w:bottom w:val="none" w:sz="0" w:space="0" w:color="auto"/>
            <w:right w:val="none" w:sz="0" w:space="0" w:color="auto"/>
          </w:divBdr>
          <w:divsChild>
            <w:div w:id="1387030572">
              <w:marLeft w:val="0"/>
              <w:marRight w:val="0"/>
              <w:marTop w:val="0"/>
              <w:marBottom w:val="0"/>
              <w:divBdr>
                <w:top w:val="none" w:sz="0" w:space="0" w:color="auto"/>
                <w:left w:val="none" w:sz="0" w:space="0" w:color="auto"/>
                <w:bottom w:val="none" w:sz="0" w:space="0" w:color="auto"/>
                <w:right w:val="none" w:sz="0" w:space="0" w:color="auto"/>
              </w:divBdr>
              <w:divsChild>
                <w:div w:id="1629774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71334/42/9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FEF404-17E0-4290-BA12-61A7C9DA2F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413</TotalTime>
  <Pages>3</Pages>
  <Words>725</Words>
  <Characters>4137</Characters>
  <Application>Microsoft Office Word</Application>
  <DocSecurity>0</DocSecurity>
  <Lines>34</Lines>
  <Paragraphs>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4853</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7</cp:revision>
  <dcterms:created xsi:type="dcterms:W3CDTF">2018-01-17T07:09:00Z</dcterms:created>
  <dcterms:modified xsi:type="dcterms:W3CDTF">2018-01-17T14:01:00Z</dcterms:modified>
  <cp:contentStatus>ویرایش 2.5</cp:contentStatus>
  <cp:version>2.3</cp:version>
</cp:coreProperties>
</file>