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9741B" w:rsidRDefault="0059741B" w:rsidP="0059741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05712164" w:history="1">
        <w:r w:rsidRPr="008F4D2E">
          <w:rPr>
            <w:rStyle w:val="Hyperlink"/>
            <w:rFonts w:hint="eastAsia"/>
            <w:noProof/>
            <w:rtl/>
          </w:rPr>
          <w:t>بررس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مرگ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مغز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noProof/>
            <w:rtl/>
          </w:rPr>
          <w:t xml:space="preserve">: </w:t>
        </w:r>
        <w:r w:rsidRPr="008F4D2E">
          <w:rPr>
            <w:rStyle w:val="Hyperlink"/>
            <w:rFonts w:hint="eastAsia"/>
            <w:noProof/>
            <w:rtl/>
          </w:rPr>
          <w:t>زوال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ح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rFonts w:hint="eastAsia"/>
            <w:noProof/>
            <w:rtl/>
          </w:rPr>
          <w:t>ات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مستقره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505712164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9741B" w:rsidRDefault="0059741B" w:rsidP="0059741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5712165" w:history="1">
        <w:r w:rsidRPr="008F4D2E">
          <w:rPr>
            <w:rStyle w:val="Hyperlink"/>
            <w:rFonts w:hint="eastAsia"/>
            <w:noProof/>
            <w:rtl/>
          </w:rPr>
          <w:t>مراحل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بحث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505712165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59741B" w:rsidRDefault="0059741B" w:rsidP="0059741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5712166" w:history="1">
        <w:r w:rsidRPr="008F4D2E">
          <w:rPr>
            <w:rStyle w:val="Hyperlink"/>
            <w:rFonts w:hint="eastAsia"/>
            <w:noProof/>
            <w:rtl/>
          </w:rPr>
          <w:t>عدم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جواز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تمسک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به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استصحاب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ح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rFonts w:hint="eastAsia"/>
            <w:noProof/>
            <w:rtl/>
          </w:rPr>
          <w:t>ات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505712166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741B" w:rsidRDefault="0059741B" w:rsidP="0059741B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5712167" w:history="1">
        <w:r w:rsidRPr="008F4D2E">
          <w:rPr>
            <w:rStyle w:val="Hyperlink"/>
            <w:rFonts w:hint="eastAsia"/>
            <w:noProof/>
            <w:rtl/>
          </w:rPr>
          <w:t>تمسک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به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اطلاقات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و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در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نها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rFonts w:hint="eastAsia"/>
            <w:noProof/>
            <w:rtl/>
          </w:rPr>
          <w:t>ت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برائت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505712167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741B" w:rsidRDefault="0059741B" w:rsidP="0059741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5712168" w:history="1">
        <w:r w:rsidRPr="008F4D2E">
          <w:rPr>
            <w:rStyle w:val="Hyperlink"/>
            <w:rFonts w:hint="eastAsia"/>
            <w:noProof/>
            <w:rtl/>
          </w:rPr>
          <w:t>بررس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قصاص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در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قتل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محتضر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505712168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59741B" w:rsidRDefault="0059741B" w:rsidP="0059741B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5712169" w:history="1">
        <w:r w:rsidRPr="008F4D2E">
          <w:rPr>
            <w:rStyle w:val="Hyperlink"/>
            <w:rFonts w:hint="eastAsia"/>
            <w:noProof/>
            <w:rtl/>
          </w:rPr>
          <w:t>تطب</w:t>
        </w:r>
        <w:r w:rsidRPr="008F4D2E">
          <w:rPr>
            <w:rStyle w:val="Hyperlink"/>
            <w:rFonts w:hint="cs"/>
            <w:noProof/>
            <w:rtl/>
          </w:rPr>
          <w:t>ی</w:t>
        </w:r>
        <w:r w:rsidRPr="008F4D2E">
          <w:rPr>
            <w:rStyle w:val="Hyperlink"/>
            <w:rFonts w:hint="eastAsia"/>
            <w:noProof/>
            <w:rtl/>
          </w:rPr>
          <w:t>قات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بحث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مرگ</w:t>
        </w:r>
        <w:r w:rsidRPr="008F4D2E">
          <w:rPr>
            <w:rStyle w:val="Hyperlink"/>
            <w:noProof/>
            <w:rtl/>
          </w:rPr>
          <w:t xml:space="preserve"> </w:t>
        </w:r>
        <w:r w:rsidRPr="008F4D2E">
          <w:rPr>
            <w:rStyle w:val="Hyperlink"/>
            <w:rFonts w:hint="eastAsia"/>
            <w:noProof/>
            <w:rtl/>
          </w:rPr>
          <w:t>مغز</w:t>
        </w:r>
        <w:r w:rsidRPr="008F4D2E">
          <w:rPr>
            <w:rStyle w:val="Hyperlink"/>
            <w:rFonts w:hint="cs"/>
            <w:noProof/>
            <w:rtl/>
          </w:rPr>
          <w:t>ی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505712169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59741B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0F1986">
        <w:rPr>
          <w:rFonts w:hint="cs"/>
          <w:rtl/>
        </w:rPr>
        <w:t>قتل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به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تسبیب</w:t>
      </w:r>
      <w:r w:rsidR="000F1986">
        <w:rPr>
          <w:rtl/>
        </w:rPr>
        <w:t>/</w:t>
      </w:r>
      <w:r w:rsidR="000F1986">
        <w:rPr>
          <w:rFonts w:hint="cs"/>
          <w:rtl/>
        </w:rPr>
        <w:t>مراتب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تسبیب</w:t>
      </w:r>
      <w:r w:rsidR="000F1986">
        <w:rPr>
          <w:rtl/>
        </w:rPr>
        <w:t>/</w:t>
      </w:r>
      <w:r w:rsidR="000F1986">
        <w:rPr>
          <w:rFonts w:hint="cs"/>
          <w:rtl/>
        </w:rPr>
        <w:t>مرتبه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چهارم</w:t>
      </w:r>
      <w:r w:rsidR="000F1986">
        <w:rPr>
          <w:rtl/>
        </w:rPr>
        <w:t>/</w:t>
      </w:r>
      <w:r w:rsidR="000F1986">
        <w:rPr>
          <w:rFonts w:hint="cs"/>
          <w:rtl/>
        </w:rPr>
        <w:t>صورت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چهارم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0F1986">
        <w:rPr>
          <w:rFonts w:hint="cs"/>
          <w:rtl/>
        </w:rPr>
        <w:t>قتل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عمد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0F1986">
        <w:rPr>
          <w:rFonts w:hint="cs"/>
          <w:rtl/>
        </w:rPr>
        <w:t>کتاب</w:t>
      </w:r>
      <w:r w:rsidR="000F1986">
        <w:rPr>
          <w:rtl/>
        </w:rPr>
        <w:t xml:space="preserve"> </w:t>
      </w:r>
      <w:r w:rsidR="000F1986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59741B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به مناسبت به صورت چهارم از مرتبه چهارم قتل به تسبیب، به بحث مرگ مغزی رسید.</w:t>
      </w:r>
      <w:bookmarkStart w:id="3" w:name="_GoBack"/>
      <w:bookmarkEnd w:id="3"/>
    </w:p>
    <w:p w:rsidR="00247D2F" w:rsidRPr="003A6148" w:rsidRDefault="00247D2F" w:rsidP="003A6148">
      <w:pPr>
        <w:pBdr>
          <w:bottom w:val="double" w:sz="6" w:space="1" w:color="auto"/>
        </w:pBdr>
      </w:pPr>
    </w:p>
    <w:p w:rsidR="0035287F" w:rsidRPr="0035287F" w:rsidRDefault="0035287F" w:rsidP="00454345">
      <w:pPr>
        <w:rPr>
          <w:rtl/>
        </w:rPr>
      </w:pPr>
      <w:r w:rsidRPr="0035287F">
        <w:rPr>
          <w:rFonts w:ascii="Cambria" w:hAnsi="Cambria" w:cs="Cambria" w:hint="cs"/>
          <w:rtl/>
        </w:rPr>
        <w:t> </w:t>
      </w:r>
      <w:r w:rsidRPr="0035287F">
        <w:rPr>
          <w:rtl/>
        </w:rPr>
        <w:t>بحث در ملاک حیاتی بود که ازاله آن موجب قصاص است، که بر اساس بیان مرحوم محقق</w:t>
      </w:r>
      <w:r>
        <w:rPr>
          <w:rFonts w:hint="cs"/>
          <w:rtl/>
        </w:rPr>
        <w:t xml:space="preserve"> ره</w:t>
      </w:r>
      <w:r w:rsidRPr="0035287F">
        <w:rPr>
          <w:rtl/>
        </w:rPr>
        <w:t xml:space="preserve"> این حیات باید مستقره باشد و در کلام مرحوم صاحب جواهر </w:t>
      </w:r>
      <w:r>
        <w:rPr>
          <w:rFonts w:hint="cs"/>
          <w:rtl/>
        </w:rPr>
        <w:t>ره، حیات مستقره،</w:t>
      </w:r>
      <w:r>
        <w:rPr>
          <w:rtl/>
        </w:rPr>
        <w:t xml:space="preserve"> حیات ملازم با ادراک</w:t>
      </w:r>
      <w:r w:rsidRPr="0035287F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Pr="0035287F">
        <w:rPr>
          <w:rtl/>
        </w:rPr>
        <w:t>شعور</w:t>
      </w:r>
      <w:r>
        <w:rPr>
          <w:rFonts w:hint="cs"/>
          <w:rtl/>
        </w:rPr>
        <w:t xml:space="preserve"> </w:t>
      </w:r>
      <w:r w:rsidRPr="0035287F">
        <w:rPr>
          <w:rtl/>
        </w:rPr>
        <w:t xml:space="preserve">و هوشی </w:t>
      </w:r>
      <w:r>
        <w:rPr>
          <w:rFonts w:hint="cs"/>
          <w:rtl/>
        </w:rPr>
        <w:t xml:space="preserve">دانسته شده است </w:t>
      </w:r>
      <w:r w:rsidRPr="0035287F">
        <w:rPr>
          <w:rtl/>
        </w:rPr>
        <w:t xml:space="preserve">که در موارد اغما و خواب هم </w:t>
      </w:r>
      <w:r>
        <w:rPr>
          <w:rFonts w:hint="cs"/>
          <w:rtl/>
        </w:rPr>
        <w:t xml:space="preserve">وجود دارد، </w:t>
      </w:r>
      <w:r w:rsidRPr="0035287F">
        <w:rPr>
          <w:rtl/>
        </w:rPr>
        <w:t xml:space="preserve">بر همین اساس مرحوم محقق </w:t>
      </w:r>
      <w:r>
        <w:rPr>
          <w:rFonts w:hint="cs"/>
          <w:rtl/>
        </w:rPr>
        <w:t xml:space="preserve">قدس سره معتقد شده است </w:t>
      </w:r>
      <w:r w:rsidRPr="0035287F">
        <w:rPr>
          <w:rtl/>
        </w:rPr>
        <w:t>که اگر جانی اول حیات مستقر</w:t>
      </w:r>
      <w:r>
        <w:rPr>
          <w:rtl/>
        </w:rPr>
        <w:t xml:space="preserve">ه را زائل کند و دومی </w:t>
      </w:r>
      <w:r>
        <w:rPr>
          <w:rFonts w:hint="cs"/>
          <w:rtl/>
        </w:rPr>
        <w:t xml:space="preserve">حرکات غیر ارادی </w:t>
      </w:r>
      <w:r>
        <w:rPr>
          <w:rtl/>
        </w:rPr>
        <w:t>را</w:t>
      </w:r>
      <w:r w:rsidRPr="0035287F">
        <w:rPr>
          <w:rtl/>
        </w:rPr>
        <w:t xml:space="preserve">، اولی ضامن قصاص است، کما این که اگر شخص اول مزیل حیات مستقره نباشد ولو این که در اثر همین جنایت مدت کوتاهی </w:t>
      </w:r>
      <w:r>
        <w:rPr>
          <w:rFonts w:hint="cs"/>
          <w:rtl/>
        </w:rPr>
        <w:t>از حیات مجنی علیه باقی نمانده باشد</w:t>
      </w:r>
      <w:r w:rsidRPr="0035287F">
        <w:rPr>
          <w:rtl/>
        </w:rPr>
        <w:t xml:space="preserve"> و شخص دوم حیات </w:t>
      </w:r>
      <w:r>
        <w:rPr>
          <w:rtl/>
        </w:rPr>
        <w:t>این چنینی و لو قصیر را زائل کند</w:t>
      </w:r>
      <w:r>
        <w:rPr>
          <w:rFonts w:hint="cs"/>
          <w:rtl/>
        </w:rPr>
        <w:t>؛</w:t>
      </w:r>
      <w:r w:rsidRPr="0035287F">
        <w:rPr>
          <w:rtl/>
        </w:rPr>
        <w:t xml:space="preserve"> </w:t>
      </w:r>
      <w:r>
        <w:rPr>
          <w:rFonts w:hint="cs"/>
          <w:rtl/>
        </w:rPr>
        <w:t>در این صورت، دومی قاتل و مستحق قصاص خواهد بود.</w:t>
      </w:r>
    </w:p>
    <w:p w:rsidR="0035287F" w:rsidRPr="0035287F" w:rsidRDefault="00454345" w:rsidP="00454345">
      <w:pPr>
        <w:rPr>
          <w:rtl/>
        </w:rPr>
      </w:pPr>
      <w:r>
        <w:rPr>
          <w:rFonts w:hint="cs"/>
          <w:rtl/>
        </w:rPr>
        <w:t xml:space="preserve">بنابراین، </w:t>
      </w:r>
      <w:r w:rsidR="0035287F" w:rsidRPr="0035287F">
        <w:rPr>
          <w:rtl/>
        </w:rPr>
        <w:t xml:space="preserve">ملاک در قصاص از </w:t>
      </w:r>
      <w:r>
        <w:rPr>
          <w:rtl/>
        </w:rPr>
        <w:t xml:space="preserve">بین بردن حیات مستقره است </w:t>
      </w:r>
      <w:r>
        <w:rPr>
          <w:rFonts w:hint="cs"/>
          <w:rtl/>
        </w:rPr>
        <w:t xml:space="preserve">و نه لزوما حیاتی </w:t>
      </w:r>
      <w:r>
        <w:rPr>
          <w:rtl/>
        </w:rPr>
        <w:t>طولانی</w:t>
      </w:r>
      <w:r>
        <w:rPr>
          <w:rFonts w:hint="cs"/>
          <w:rtl/>
        </w:rPr>
        <w:t xml:space="preserve"> و طویل، باید برای تحقق قصاص زائل شود.</w:t>
      </w:r>
    </w:p>
    <w:p w:rsidR="0035287F" w:rsidRPr="0035287F" w:rsidRDefault="0035287F" w:rsidP="00454345">
      <w:pPr>
        <w:rPr>
          <w:rtl/>
        </w:rPr>
      </w:pPr>
      <w:r w:rsidRPr="0035287F">
        <w:rPr>
          <w:rtl/>
        </w:rPr>
        <w:t xml:space="preserve">مرحوم صاحب جواهر </w:t>
      </w:r>
      <w:r w:rsidR="00454345">
        <w:rPr>
          <w:rFonts w:hint="cs"/>
          <w:rtl/>
        </w:rPr>
        <w:t xml:space="preserve">ره </w:t>
      </w:r>
      <w:r w:rsidRPr="0035287F">
        <w:rPr>
          <w:rtl/>
        </w:rPr>
        <w:t xml:space="preserve">ذیل فرمایش محقق در مقام می گوید که اگر </w:t>
      </w:r>
      <w:r w:rsidR="00454345">
        <w:rPr>
          <w:rFonts w:hint="cs"/>
          <w:rtl/>
        </w:rPr>
        <w:t xml:space="preserve">سرانجام </w:t>
      </w:r>
      <w:r w:rsidRPr="0035287F">
        <w:rPr>
          <w:rtl/>
        </w:rPr>
        <w:t xml:space="preserve">جنایت اول مرگ بعد از </w:t>
      </w:r>
      <w:r w:rsidR="00454345">
        <w:rPr>
          <w:rFonts w:hint="cs"/>
          <w:rtl/>
        </w:rPr>
        <w:t xml:space="preserve">گذشت </w:t>
      </w:r>
      <w:r w:rsidRPr="0035287F">
        <w:rPr>
          <w:rtl/>
        </w:rPr>
        <w:t xml:space="preserve">مدتی </w:t>
      </w:r>
      <w:r w:rsidR="00454345">
        <w:rPr>
          <w:rFonts w:hint="cs"/>
          <w:rtl/>
        </w:rPr>
        <w:t>باشد،</w:t>
      </w:r>
      <w:r w:rsidRPr="0035287F">
        <w:rPr>
          <w:rtl/>
        </w:rPr>
        <w:t xml:space="preserve"> و </w:t>
      </w:r>
      <w:r w:rsidR="00454345">
        <w:rPr>
          <w:rFonts w:hint="cs"/>
          <w:rtl/>
        </w:rPr>
        <w:t xml:space="preserve">با این وجود، بعد از جنایت اول، </w:t>
      </w:r>
      <w:r w:rsidR="00454345">
        <w:rPr>
          <w:rtl/>
        </w:rPr>
        <w:t>توسط جانی دوم کشته شود</w:t>
      </w:r>
      <w:r w:rsidR="00454345">
        <w:rPr>
          <w:rFonts w:hint="cs"/>
          <w:rtl/>
        </w:rPr>
        <w:t>؛</w:t>
      </w:r>
      <w:r w:rsidRPr="0035287F">
        <w:rPr>
          <w:rtl/>
        </w:rPr>
        <w:t xml:space="preserve"> </w:t>
      </w:r>
      <w:r w:rsidR="00454345">
        <w:rPr>
          <w:rFonts w:hint="cs"/>
          <w:rtl/>
        </w:rPr>
        <w:t xml:space="preserve">در این صورت، </w:t>
      </w:r>
      <w:r w:rsidRPr="0035287F">
        <w:rPr>
          <w:rtl/>
        </w:rPr>
        <w:t>حکم به قصاص دومی می شود</w:t>
      </w:r>
      <w:r w:rsidR="00454345">
        <w:rPr>
          <w:rFonts w:hint="cs"/>
          <w:rtl/>
        </w:rPr>
        <w:t>؛</w:t>
      </w:r>
      <w:r w:rsidR="00454345">
        <w:rPr>
          <w:rtl/>
        </w:rPr>
        <w:t xml:space="preserve"> چرا که </w:t>
      </w:r>
      <w:r w:rsidR="00454345">
        <w:rPr>
          <w:rFonts w:hint="cs"/>
          <w:rtl/>
        </w:rPr>
        <w:t>وی،</w:t>
      </w:r>
      <w:r w:rsidRPr="0035287F">
        <w:rPr>
          <w:rtl/>
        </w:rPr>
        <w:t xml:space="preserve"> مانع از سرایت جنایت اول شد</w:t>
      </w:r>
      <w:r w:rsidR="00454345">
        <w:rPr>
          <w:rFonts w:hint="cs"/>
          <w:rtl/>
        </w:rPr>
        <w:t>ه است</w:t>
      </w:r>
      <w:r w:rsidRPr="0035287F">
        <w:rPr>
          <w:rtl/>
        </w:rPr>
        <w:t xml:space="preserve"> و کاری کرد</w:t>
      </w:r>
      <w:r w:rsidR="00454345">
        <w:rPr>
          <w:rFonts w:hint="cs"/>
          <w:rtl/>
        </w:rPr>
        <w:t>ه است</w:t>
      </w:r>
      <w:r w:rsidRPr="0035287F">
        <w:rPr>
          <w:rtl/>
        </w:rPr>
        <w:t xml:space="preserve"> که اولی قاتل محسو</w:t>
      </w:r>
      <w:r w:rsidR="00454345">
        <w:rPr>
          <w:rtl/>
        </w:rPr>
        <w:t>ب نشود</w:t>
      </w:r>
      <w:r w:rsidR="00454345">
        <w:rPr>
          <w:rFonts w:hint="cs"/>
          <w:rtl/>
        </w:rPr>
        <w:t xml:space="preserve">؛ </w:t>
      </w:r>
      <w:r w:rsidR="00454345">
        <w:rPr>
          <w:rtl/>
        </w:rPr>
        <w:t>کما این که در سر</w:t>
      </w:r>
      <w:r w:rsidR="00454345">
        <w:rPr>
          <w:rFonts w:hint="cs"/>
          <w:rtl/>
        </w:rPr>
        <w:t xml:space="preserve"> </w:t>
      </w:r>
      <w:r w:rsidR="00454345">
        <w:rPr>
          <w:rtl/>
        </w:rPr>
        <w:t xml:space="preserve">بریدن </w:t>
      </w:r>
      <w:r w:rsidR="00454345">
        <w:rPr>
          <w:rFonts w:hint="cs"/>
          <w:rtl/>
        </w:rPr>
        <w:t>از</w:t>
      </w:r>
      <w:r w:rsidR="00454345">
        <w:rPr>
          <w:rtl/>
        </w:rPr>
        <w:t xml:space="preserve"> محتضر هم قضیه</w:t>
      </w:r>
      <w:r w:rsidR="00454345">
        <w:rPr>
          <w:rFonts w:hint="cs"/>
          <w:rtl/>
        </w:rPr>
        <w:t xml:space="preserve"> از</w:t>
      </w:r>
      <w:r w:rsidRPr="0035287F">
        <w:rPr>
          <w:rtl/>
        </w:rPr>
        <w:t xml:space="preserve"> همین قرار است.</w:t>
      </w:r>
    </w:p>
    <w:p w:rsidR="0035287F" w:rsidRPr="0035287F" w:rsidRDefault="00454345" w:rsidP="00454345">
      <w:pPr>
        <w:spacing w:line="240" w:lineRule="auto"/>
        <w:rPr>
          <w:rFonts w:ascii="Noor_Lotus" w:eastAsia="Times New Roman" w:hAnsi="Noor_Lotus" w:cs="Noor_Lotus"/>
          <w:color w:val="000000"/>
          <w:sz w:val="30"/>
          <w:szCs w:val="30"/>
          <w:rtl/>
        </w:rPr>
      </w:pPr>
      <w:r w:rsidRPr="00454345">
        <w:rPr>
          <w:rStyle w:val="a3"/>
          <w:rFonts w:hint="cs"/>
          <w:rtl/>
        </w:rPr>
        <w:lastRenderedPageBreak/>
        <w:t>«</w:t>
      </w:r>
      <w:r w:rsidR="0035287F" w:rsidRPr="00454345">
        <w:rPr>
          <w:rStyle w:val="a3"/>
          <w:rFonts w:hint="cs"/>
          <w:rtl/>
        </w:rPr>
        <w:t>لأنه أي الثاني قطع سراية جراحة الأول بلا خلاف أجده في شي‌ء من ذلك إلا من مالك، فجعل الأول قاتلا إذا كانت جراحته تقضي بالموت و لو بعد يوم أو يومين مثلا، و هو واضح الضعف.</w:t>
      </w:r>
      <w:r w:rsidRPr="00454345">
        <w:rPr>
          <w:rStyle w:val="a3"/>
          <w:rFonts w:hint="cs"/>
          <w:rtl/>
        </w:rPr>
        <w:t>»</w:t>
      </w:r>
      <w:r>
        <w:rPr>
          <w:rStyle w:val="FootnoteReference"/>
          <w:b/>
          <w:bCs/>
          <w:color w:val="000080"/>
          <w:sz w:val="20"/>
          <w:rtl/>
        </w:rPr>
        <w:footnoteReference w:id="1"/>
      </w:r>
    </w:p>
    <w:p w:rsidR="0035287F" w:rsidRPr="0035287F" w:rsidRDefault="0035287F" w:rsidP="00454345">
      <w:pPr>
        <w:rPr>
          <w:rtl/>
        </w:rPr>
      </w:pPr>
      <w:r w:rsidRPr="0035287F">
        <w:rPr>
          <w:rtl/>
        </w:rPr>
        <w:t>مرحوم صاحب جو</w:t>
      </w:r>
      <w:r w:rsidR="00454345">
        <w:rPr>
          <w:rtl/>
        </w:rPr>
        <w:t>اهر</w:t>
      </w:r>
      <w:r w:rsidR="00454345">
        <w:rPr>
          <w:rFonts w:hint="cs"/>
          <w:rtl/>
        </w:rPr>
        <w:t xml:space="preserve"> قدس سره</w:t>
      </w:r>
      <w:r w:rsidRPr="0035287F">
        <w:rPr>
          <w:rtl/>
        </w:rPr>
        <w:t xml:space="preserve"> </w:t>
      </w:r>
      <w:r w:rsidR="00454345">
        <w:rPr>
          <w:rFonts w:hint="cs"/>
          <w:rtl/>
        </w:rPr>
        <w:t xml:space="preserve">تنها مخالف با این فرمایش خود را </w:t>
      </w:r>
      <w:r w:rsidRPr="0035287F">
        <w:rPr>
          <w:rtl/>
        </w:rPr>
        <w:t xml:space="preserve">مالک </w:t>
      </w:r>
      <w:r w:rsidR="00454345">
        <w:rPr>
          <w:rFonts w:hint="cs"/>
          <w:rtl/>
        </w:rPr>
        <w:t xml:space="preserve">که از علمای عامه است، می داند، </w:t>
      </w:r>
      <w:r w:rsidRPr="0035287F">
        <w:rPr>
          <w:rtl/>
        </w:rPr>
        <w:t xml:space="preserve">که </w:t>
      </w:r>
      <w:r w:rsidR="00454345">
        <w:rPr>
          <w:rFonts w:hint="cs"/>
          <w:rtl/>
        </w:rPr>
        <w:t xml:space="preserve">او </w:t>
      </w:r>
      <w:r w:rsidRPr="0035287F">
        <w:rPr>
          <w:rtl/>
        </w:rPr>
        <w:t>قائل است اگر شخص اول به گونه</w:t>
      </w:r>
      <w:r w:rsidR="00454345">
        <w:rPr>
          <w:rFonts w:hint="cs"/>
          <w:rtl/>
        </w:rPr>
        <w:t xml:space="preserve"> ای</w:t>
      </w:r>
      <w:r w:rsidRPr="0035287F">
        <w:rPr>
          <w:rtl/>
        </w:rPr>
        <w:t xml:space="preserve"> ای</w:t>
      </w:r>
      <w:r w:rsidR="00454345">
        <w:rPr>
          <w:rtl/>
        </w:rPr>
        <w:t>راد جنایت کند که منتهی به موت</w:t>
      </w:r>
      <w:r w:rsidRPr="0035287F">
        <w:rPr>
          <w:rtl/>
        </w:rPr>
        <w:t xml:space="preserve"> شود، حکم به قصاص او </w:t>
      </w:r>
      <w:r w:rsidR="00454345">
        <w:rPr>
          <w:rFonts w:hint="cs"/>
          <w:rtl/>
        </w:rPr>
        <w:t>تمام است،</w:t>
      </w:r>
      <w:r w:rsidRPr="0035287F">
        <w:rPr>
          <w:rtl/>
        </w:rPr>
        <w:t xml:space="preserve"> </w:t>
      </w:r>
      <w:r w:rsidR="00454345">
        <w:rPr>
          <w:rFonts w:hint="cs"/>
          <w:rtl/>
        </w:rPr>
        <w:t xml:space="preserve">در حالی که </w:t>
      </w:r>
      <w:r w:rsidRPr="0035287F">
        <w:rPr>
          <w:rtl/>
        </w:rPr>
        <w:t xml:space="preserve">مرحوم صاحب جواهر </w:t>
      </w:r>
      <w:r w:rsidR="00454345">
        <w:rPr>
          <w:rFonts w:hint="cs"/>
          <w:rtl/>
        </w:rPr>
        <w:t xml:space="preserve">ره </w:t>
      </w:r>
      <w:r w:rsidR="00454345">
        <w:rPr>
          <w:rtl/>
        </w:rPr>
        <w:t>قائل به بطلان این قول است</w:t>
      </w:r>
      <w:r w:rsidR="00454345">
        <w:rPr>
          <w:rFonts w:hint="cs"/>
          <w:rtl/>
        </w:rPr>
        <w:t>؛</w:t>
      </w:r>
      <w:r w:rsidRPr="0035287F">
        <w:rPr>
          <w:rtl/>
        </w:rPr>
        <w:t xml:space="preserve"> چرا که ادله قصاص را بر قاتل ثابت می داند و از آن جا که قتل مربوط به زوال حیات مستقره است</w:t>
      </w:r>
      <w:r w:rsidR="00454345">
        <w:rPr>
          <w:rFonts w:hint="cs"/>
          <w:rtl/>
        </w:rPr>
        <w:t>، قصاص در این موارد محقق خواهد بود.</w:t>
      </w:r>
    </w:p>
    <w:p w:rsidR="00454345" w:rsidRDefault="00454345" w:rsidP="00454345">
      <w:pPr>
        <w:pStyle w:val="Heading6"/>
        <w:rPr>
          <w:rtl/>
        </w:rPr>
      </w:pPr>
      <w:bookmarkStart w:id="4" w:name="_Toc505712164"/>
      <w:r>
        <w:rPr>
          <w:rFonts w:hint="cs"/>
          <w:rtl/>
        </w:rPr>
        <w:t>بررسی مرگ مغزی: زوال حیات مستقره</w:t>
      </w:r>
      <w:bookmarkEnd w:id="4"/>
      <w:r>
        <w:rPr>
          <w:rFonts w:hint="cs"/>
          <w:rtl/>
        </w:rPr>
        <w:t xml:space="preserve"> </w:t>
      </w:r>
    </w:p>
    <w:p w:rsidR="004848BB" w:rsidRDefault="004848BB" w:rsidP="004848BB">
      <w:pPr>
        <w:pStyle w:val="Heading7"/>
        <w:rPr>
          <w:rtl/>
        </w:rPr>
      </w:pPr>
      <w:bookmarkStart w:id="5" w:name="_Toc505712165"/>
      <w:r>
        <w:rPr>
          <w:rFonts w:hint="cs"/>
          <w:rtl/>
        </w:rPr>
        <w:t>مراحل بحث</w:t>
      </w:r>
      <w:bookmarkEnd w:id="5"/>
    </w:p>
    <w:p w:rsidR="0035287F" w:rsidRPr="0035287F" w:rsidRDefault="0035287F" w:rsidP="004848BB">
      <w:pPr>
        <w:rPr>
          <w:rtl/>
        </w:rPr>
      </w:pPr>
      <w:r w:rsidRPr="0035287F">
        <w:rPr>
          <w:rtl/>
        </w:rPr>
        <w:t xml:space="preserve">در </w:t>
      </w:r>
      <w:r w:rsidR="00454345">
        <w:rPr>
          <w:rFonts w:hint="cs"/>
          <w:rtl/>
        </w:rPr>
        <w:t>کتاب ال</w:t>
      </w:r>
      <w:r w:rsidRPr="0035287F">
        <w:rPr>
          <w:rtl/>
        </w:rPr>
        <w:t xml:space="preserve">مبسوط </w:t>
      </w:r>
      <w:r w:rsidR="00454345">
        <w:rPr>
          <w:rFonts w:hint="cs"/>
          <w:rtl/>
        </w:rPr>
        <w:t xml:space="preserve">فی فقه المسائل المعاصرة </w:t>
      </w:r>
      <w:r w:rsidRPr="0035287F">
        <w:rPr>
          <w:rtl/>
        </w:rPr>
        <w:t xml:space="preserve">به تفصیل بحث </w:t>
      </w:r>
      <w:r w:rsidR="00454345">
        <w:rPr>
          <w:rFonts w:hint="cs"/>
          <w:rtl/>
        </w:rPr>
        <w:t xml:space="preserve">مرگ مغزی </w:t>
      </w:r>
      <w:r w:rsidRPr="0035287F">
        <w:rPr>
          <w:rtl/>
        </w:rPr>
        <w:t>دنبال شده است</w:t>
      </w:r>
      <w:r w:rsidR="00454345">
        <w:rPr>
          <w:rFonts w:hint="cs"/>
          <w:rtl/>
        </w:rPr>
        <w:t>؛</w:t>
      </w:r>
      <w:r w:rsidRPr="0035287F">
        <w:rPr>
          <w:rtl/>
        </w:rPr>
        <w:t xml:space="preserve"> به این نحو که </w:t>
      </w:r>
      <w:r w:rsidR="00454345">
        <w:rPr>
          <w:rFonts w:hint="cs"/>
          <w:rtl/>
        </w:rPr>
        <w:t xml:space="preserve">ابتداء </w:t>
      </w:r>
      <w:r w:rsidRPr="0035287F">
        <w:rPr>
          <w:rtl/>
        </w:rPr>
        <w:t xml:space="preserve">مروری در ابواب فقهی صورت گرفته است </w:t>
      </w:r>
      <w:r w:rsidR="00714290">
        <w:rPr>
          <w:rFonts w:hint="cs"/>
          <w:rtl/>
        </w:rPr>
        <w:t xml:space="preserve">تا مواردی که </w:t>
      </w:r>
      <w:r w:rsidRPr="0035287F">
        <w:rPr>
          <w:rtl/>
        </w:rPr>
        <w:t>حیات و موت و قتل موضوع حکم واقع شده ا</w:t>
      </w:r>
      <w:r w:rsidR="00714290">
        <w:rPr>
          <w:rFonts w:hint="cs"/>
          <w:rtl/>
        </w:rPr>
        <w:t xml:space="preserve">ست، روشن شود، و بر همین اساس در بسیاری از </w:t>
      </w:r>
      <w:r w:rsidR="00714290">
        <w:rPr>
          <w:rtl/>
        </w:rPr>
        <w:t>ابواب فقهی</w:t>
      </w:r>
      <w:r w:rsidR="00714290">
        <w:rPr>
          <w:rFonts w:hint="cs"/>
          <w:rtl/>
        </w:rPr>
        <w:t>، این عناوین مطرح است؛</w:t>
      </w:r>
      <w:r w:rsidRPr="0035287F">
        <w:rPr>
          <w:rtl/>
        </w:rPr>
        <w:t xml:space="preserve"> کما این که در بحث اجتهاد </w:t>
      </w:r>
      <w:r w:rsidR="00714290">
        <w:rPr>
          <w:rFonts w:hint="cs"/>
          <w:rtl/>
        </w:rPr>
        <w:t xml:space="preserve">و </w:t>
      </w:r>
      <w:r w:rsidRPr="0035287F">
        <w:rPr>
          <w:rtl/>
        </w:rPr>
        <w:t>تقلید</w:t>
      </w:r>
      <w:r w:rsidR="00714290">
        <w:rPr>
          <w:rFonts w:hint="cs"/>
          <w:rtl/>
        </w:rPr>
        <w:t>،</w:t>
      </w:r>
      <w:r w:rsidR="00714290">
        <w:rPr>
          <w:rtl/>
        </w:rPr>
        <w:t xml:space="preserve"> بحث </w:t>
      </w:r>
      <w:r w:rsidR="00714290">
        <w:rPr>
          <w:rFonts w:hint="cs"/>
          <w:rtl/>
        </w:rPr>
        <w:t xml:space="preserve">لزوم </w:t>
      </w:r>
      <w:r w:rsidR="00714290">
        <w:rPr>
          <w:rtl/>
        </w:rPr>
        <w:t xml:space="preserve">تقلید از حی </w:t>
      </w:r>
      <w:r w:rsidR="00714290">
        <w:rPr>
          <w:rFonts w:hint="cs"/>
          <w:rtl/>
        </w:rPr>
        <w:t>دیده می شود</w:t>
      </w:r>
      <w:r w:rsidRPr="0035287F">
        <w:rPr>
          <w:rtl/>
        </w:rPr>
        <w:t xml:space="preserve"> و یا در بحث حرمت مردار و میته و عدم قابلیت تذکیه در آن</w:t>
      </w:r>
      <w:r w:rsidR="00714290">
        <w:rPr>
          <w:rFonts w:hint="cs"/>
          <w:rtl/>
        </w:rPr>
        <w:t xml:space="preserve">، بحث حیات مطرح است و </w:t>
      </w:r>
      <w:r w:rsidRPr="0035287F">
        <w:rPr>
          <w:rtl/>
        </w:rPr>
        <w:t xml:space="preserve">لذا </w:t>
      </w:r>
      <w:r w:rsidR="00714290">
        <w:rPr>
          <w:rFonts w:hint="cs"/>
          <w:rtl/>
        </w:rPr>
        <w:t xml:space="preserve">بر اساس انتفاء حیات، از حیات غیر مستقره، </w:t>
      </w:r>
      <w:r w:rsidRPr="0035287F">
        <w:rPr>
          <w:rtl/>
        </w:rPr>
        <w:t>حیوان</w:t>
      </w:r>
      <w:r w:rsidR="00714290">
        <w:rPr>
          <w:rFonts w:hint="cs"/>
          <w:rtl/>
        </w:rPr>
        <w:t>ی</w:t>
      </w:r>
      <w:r w:rsidRPr="0035287F">
        <w:rPr>
          <w:rtl/>
        </w:rPr>
        <w:t xml:space="preserve"> </w:t>
      </w:r>
      <w:r w:rsidR="00714290">
        <w:rPr>
          <w:rFonts w:hint="cs"/>
          <w:rtl/>
        </w:rPr>
        <w:t xml:space="preserve">که </w:t>
      </w:r>
      <w:r w:rsidRPr="0035287F">
        <w:rPr>
          <w:rtl/>
        </w:rPr>
        <w:t>مرگ مغزی شده</w:t>
      </w:r>
      <w:r w:rsidR="00714290">
        <w:rPr>
          <w:rFonts w:hint="cs"/>
          <w:rtl/>
        </w:rPr>
        <w:t xml:space="preserve"> است؛ شرط حیات را ندارد و</w:t>
      </w:r>
      <w:r w:rsidR="00714290">
        <w:rPr>
          <w:rtl/>
        </w:rPr>
        <w:t xml:space="preserve"> قابل تذکیه نیست</w:t>
      </w:r>
      <w:r w:rsidR="00714290">
        <w:rPr>
          <w:rFonts w:hint="cs"/>
          <w:rtl/>
        </w:rPr>
        <w:t xml:space="preserve">، کما این که در باب </w:t>
      </w:r>
      <w:r w:rsidRPr="0035287F">
        <w:rPr>
          <w:rtl/>
        </w:rPr>
        <w:t>صلاة</w:t>
      </w:r>
      <w:r w:rsidR="00714290">
        <w:rPr>
          <w:rFonts w:hint="cs"/>
          <w:rtl/>
        </w:rPr>
        <w:t xml:space="preserve"> نیز این بحث مطرح است که آیا با م</w:t>
      </w:r>
      <w:r w:rsidRPr="0035287F">
        <w:rPr>
          <w:rtl/>
        </w:rPr>
        <w:t>رگ مغزی پدر</w:t>
      </w:r>
      <w:r w:rsidR="00714290">
        <w:rPr>
          <w:rFonts w:hint="cs"/>
          <w:rtl/>
        </w:rPr>
        <w:t>،</w:t>
      </w:r>
      <w:r w:rsidRPr="0035287F">
        <w:rPr>
          <w:rtl/>
        </w:rPr>
        <w:t xml:space="preserve"> قضا</w:t>
      </w:r>
      <w:r w:rsidR="00714290">
        <w:rPr>
          <w:rFonts w:hint="cs"/>
          <w:rtl/>
        </w:rPr>
        <w:t>ی</w:t>
      </w:r>
      <w:r w:rsidRPr="0035287F">
        <w:rPr>
          <w:rtl/>
        </w:rPr>
        <w:t xml:space="preserve"> نماز های </w:t>
      </w:r>
      <w:r w:rsidR="00714290">
        <w:rPr>
          <w:rFonts w:hint="cs"/>
          <w:rtl/>
        </w:rPr>
        <w:t xml:space="preserve">او بر </w:t>
      </w:r>
      <w:r w:rsidRPr="0035287F">
        <w:rPr>
          <w:rtl/>
        </w:rPr>
        <w:t xml:space="preserve">عهده فرزند </w:t>
      </w:r>
      <w:r w:rsidR="00714290">
        <w:rPr>
          <w:rFonts w:hint="cs"/>
          <w:rtl/>
        </w:rPr>
        <w:t xml:space="preserve">بزرگ </w:t>
      </w:r>
      <w:r w:rsidRPr="0035287F">
        <w:rPr>
          <w:rtl/>
        </w:rPr>
        <w:t>ذکور او است،</w:t>
      </w:r>
      <w:r w:rsidR="00714290">
        <w:rPr>
          <w:rFonts w:hint="cs"/>
          <w:rtl/>
        </w:rPr>
        <w:t xml:space="preserve"> یا این که میت به این شخص اطلاق نمی شود تا این تکلیف بر عهده پسر بزرگ او آمده باشد و </w:t>
      </w:r>
      <w:r w:rsidRPr="0035287F">
        <w:rPr>
          <w:rtl/>
        </w:rPr>
        <w:t xml:space="preserve">یا </w:t>
      </w:r>
      <w:r w:rsidR="00714290">
        <w:rPr>
          <w:rFonts w:hint="cs"/>
          <w:rtl/>
        </w:rPr>
        <w:t xml:space="preserve">این بحث که </w:t>
      </w:r>
      <w:r w:rsidRPr="0035287F">
        <w:rPr>
          <w:rtl/>
        </w:rPr>
        <w:t>در ابواب معاملات</w:t>
      </w:r>
      <w:r w:rsidR="00714290">
        <w:rPr>
          <w:rFonts w:hint="cs"/>
          <w:rtl/>
        </w:rPr>
        <w:t xml:space="preserve"> وجود دارد که با مرگ موکل، قرارداد وکالت زائل می شود، حال آیا با مرگ مغزی موکل نیز وکالت زائل است یا نه؟ و در نهایت هم بحث </w:t>
      </w:r>
      <w:r w:rsidR="00714290">
        <w:rPr>
          <w:rtl/>
        </w:rPr>
        <w:t>به کتاب القصاص می رسد</w:t>
      </w:r>
      <w:r w:rsidR="00714290">
        <w:rPr>
          <w:rFonts w:hint="cs"/>
          <w:rtl/>
        </w:rPr>
        <w:t xml:space="preserve"> که آیا کشتن شخص مبتلا به مرگ مغزی هم مستلزم تحقق قصاص است یا نه؟ </w:t>
      </w:r>
      <w:r w:rsidRPr="0035287F">
        <w:rPr>
          <w:rtl/>
        </w:rPr>
        <w:t>یا این که اگر قاتل مرگ مغزی شده است</w:t>
      </w:r>
      <w:r w:rsidR="004848BB">
        <w:rPr>
          <w:rFonts w:hint="cs"/>
          <w:rtl/>
        </w:rPr>
        <w:t xml:space="preserve">؛ در این حال، قصاصش کفایت می کند یا این که قصاص مستلزم حیات محکوم به قصاص است و فرضا مرگ مغزی حیاتی نیست تا قصاص ممکن باشد؟ </w:t>
      </w:r>
      <w:r w:rsidRPr="0035287F">
        <w:rPr>
          <w:rtl/>
        </w:rPr>
        <w:t>یا در مورد اجرای حدود مثل حد رجم که</w:t>
      </w:r>
      <w:r w:rsidR="004848BB">
        <w:rPr>
          <w:rFonts w:hint="cs"/>
          <w:rtl/>
        </w:rPr>
        <w:t xml:space="preserve"> در آن شرط است که </w:t>
      </w:r>
      <w:r w:rsidRPr="0035287F">
        <w:rPr>
          <w:rtl/>
        </w:rPr>
        <w:t>باید</w:t>
      </w:r>
      <w:r w:rsidR="004848BB">
        <w:rPr>
          <w:rFonts w:hint="cs"/>
          <w:rtl/>
        </w:rPr>
        <w:t xml:space="preserve"> محکوم به رجم، تا حدی که </w:t>
      </w:r>
      <w:r w:rsidRPr="0035287F">
        <w:rPr>
          <w:rtl/>
        </w:rPr>
        <w:t>بمیرد</w:t>
      </w:r>
      <w:r w:rsidR="004848BB">
        <w:rPr>
          <w:rFonts w:hint="cs"/>
          <w:rtl/>
        </w:rPr>
        <w:t>؛</w:t>
      </w:r>
      <w:r w:rsidRPr="0035287F">
        <w:rPr>
          <w:rtl/>
        </w:rPr>
        <w:t xml:space="preserve"> رجم شود، آیا </w:t>
      </w:r>
      <w:r w:rsidR="004848BB">
        <w:rPr>
          <w:rFonts w:hint="cs"/>
          <w:rtl/>
        </w:rPr>
        <w:t xml:space="preserve">برای تحقق تکلیف، تحقق </w:t>
      </w:r>
      <w:r w:rsidRPr="0035287F">
        <w:rPr>
          <w:rtl/>
        </w:rPr>
        <w:t xml:space="preserve">مرگ مغزی </w:t>
      </w:r>
      <w:r w:rsidR="004848BB">
        <w:rPr>
          <w:rFonts w:hint="cs"/>
          <w:rtl/>
        </w:rPr>
        <w:t xml:space="preserve">هم </w:t>
      </w:r>
      <w:r w:rsidRPr="0035287F">
        <w:rPr>
          <w:rtl/>
        </w:rPr>
        <w:t>کافی است؟</w:t>
      </w:r>
    </w:p>
    <w:p w:rsidR="0035287F" w:rsidRPr="0035287F" w:rsidRDefault="0035287F" w:rsidP="004848BB">
      <w:pPr>
        <w:rPr>
          <w:rtl/>
        </w:rPr>
      </w:pPr>
      <w:r w:rsidRPr="0035287F">
        <w:rPr>
          <w:rtl/>
        </w:rPr>
        <w:lastRenderedPageBreak/>
        <w:t>در مرحله بعد</w:t>
      </w:r>
      <w:r w:rsidR="004848BB">
        <w:rPr>
          <w:rFonts w:hint="cs"/>
          <w:rtl/>
        </w:rPr>
        <w:t>،</w:t>
      </w:r>
      <w:r w:rsidRPr="0035287F">
        <w:rPr>
          <w:rtl/>
        </w:rPr>
        <w:t xml:space="preserve"> بحث</w:t>
      </w:r>
      <w:r w:rsidR="004848BB">
        <w:rPr>
          <w:rFonts w:hint="cs"/>
          <w:rtl/>
        </w:rPr>
        <w:t xml:space="preserve"> از</w:t>
      </w:r>
      <w:r w:rsidRPr="0035287F">
        <w:rPr>
          <w:rtl/>
        </w:rPr>
        <w:t xml:space="preserve"> تفکیک بین عن</w:t>
      </w:r>
      <w:r w:rsidR="004848BB">
        <w:rPr>
          <w:rtl/>
        </w:rPr>
        <w:t>اوین در موارد مختلف پیش می آید</w:t>
      </w:r>
      <w:r w:rsidR="004848BB">
        <w:rPr>
          <w:rFonts w:hint="cs"/>
          <w:rtl/>
        </w:rPr>
        <w:t xml:space="preserve"> که </w:t>
      </w:r>
      <w:r w:rsidRPr="0035287F">
        <w:rPr>
          <w:rtl/>
        </w:rPr>
        <w:t>مثلا در نجاست میته</w:t>
      </w:r>
      <w:r w:rsidR="004848BB">
        <w:rPr>
          <w:rFonts w:hint="cs"/>
          <w:rtl/>
        </w:rPr>
        <w:t>،</w:t>
      </w:r>
      <w:r w:rsidRPr="0035287F">
        <w:rPr>
          <w:rtl/>
        </w:rPr>
        <w:t xml:space="preserve"> کسی که دست و پا می زند بعد از قتل،</w:t>
      </w:r>
      <w:r w:rsidR="004848BB">
        <w:rPr>
          <w:rFonts w:hint="cs"/>
          <w:rtl/>
        </w:rPr>
        <w:t xml:space="preserve"> میته است تا تماس مرطوب با آن، موجب انتقال و سرایت نجاست شود، یا این که</w:t>
      </w:r>
      <w:r w:rsidRPr="0035287F">
        <w:rPr>
          <w:rtl/>
        </w:rPr>
        <w:t xml:space="preserve"> ممکن است با وجود صدق</w:t>
      </w:r>
      <w:r w:rsidR="004848BB">
        <w:rPr>
          <w:rFonts w:hint="cs"/>
          <w:rtl/>
        </w:rPr>
        <w:t xml:space="preserve"> ق</w:t>
      </w:r>
      <w:r w:rsidRPr="0035287F">
        <w:rPr>
          <w:rtl/>
        </w:rPr>
        <w:t xml:space="preserve">تل </w:t>
      </w:r>
      <w:r w:rsidR="004848BB">
        <w:rPr>
          <w:rFonts w:hint="cs"/>
          <w:rtl/>
        </w:rPr>
        <w:t>نسبت به مرگ مغزی، این شخص میته محسوب نشود با وجود این که قاتلی که شخص را دچار مرگ مغزی کرده است، مستحق قصاص است.</w:t>
      </w:r>
    </w:p>
    <w:p w:rsidR="0035287F" w:rsidRPr="0035287F" w:rsidRDefault="0035287F" w:rsidP="004848BB">
      <w:pPr>
        <w:rPr>
          <w:rtl/>
        </w:rPr>
      </w:pPr>
      <w:r w:rsidRPr="0035287F">
        <w:rPr>
          <w:rtl/>
        </w:rPr>
        <w:t>س</w:t>
      </w:r>
      <w:r w:rsidR="004848BB">
        <w:rPr>
          <w:rFonts w:hint="cs"/>
          <w:rtl/>
        </w:rPr>
        <w:t>ِ</w:t>
      </w:r>
      <w:r w:rsidRPr="0035287F">
        <w:rPr>
          <w:rtl/>
        </w:rPr>
        <w:t>ر</w:t>
      </w:r>
      <w:r w:rsidR="004848BB">
        <w:rPr>
          <w:rFonts w:hint="cs"/>
          <w:rtl/>
        </w:rPr>
        <w:t>ِّ</w:t>
      </w:r>
      <w:r w:rsidRPr="0035287F">
        <w:rPr>
          <w:rtl/>
        </w:rPr>
        <w:t xml:space="preserve"> قضیه این است که میزان حکم در فقه عموما در مواردی که حیات و موت موضوع حکم قرار گرفته است؛ استقرار و عدم استقرار حیات نیست تا بحث متوقف بر این معنا باشد، به عنوان مثال در صدق قتل، حیات شرط است، و قتل هم ازاله حیات است، و حیات </w:t>
      </w:r>
      <w:r w:rsidR="004848BB">
        <w:rPr>
          <w:rFonts w:hint="cs"/>
          <w:rtl/>
        </w:rPr>
        <w:t xml:space="preserve">هم </w:t>
      </w:r>
      <w:r w:rsidRPr="0035287F">
        <w:rPr>
          <w:rtl/>
        </w:rPr>
        <w:t>به حسب فهم عرفی همان درک و فهم است، یعنی کسی که ادراک و هوش دارد و</w:t>
      </w:r>
      <w:r w:rsidR="004848BB">
        <w:rPr>
          <w:rFonts w:hint="cs"/>
          <w:rtl/>
        </w:rPr>
        <w:t xml:space="preserve"> </w:t>
      </w:r>
      <w:r w:rsidRPr="0035287F">
        <w:rPr>
          <w:rtl/>
        </w:rPr>
        <w:t>لو این که در حال اغما باشد، و از آن جا که عنوان عرفی حیات مستقره قابل تطبیق بر این معنا است</w:t>
      </w:r>
      <w:r w:rsidR="004848BB">
        <w:rPr>
          <w:rFonts w:hint="cs"/>
          <w:rtl/>
        </w:rPr>
        <w:t>، این عنوان را</w:t>
      </w:r>
      <w:r w:rsidRPr="0035287F">
        <w:rPr>
          <w:rtl/>
        </w:rPr>
        <w:t xml:space="preserve"> به کار برده اند.</w:t>
      </w:r>
    </w:p>
    <w:p w:rsidR="0035287F" w:rsidRDefault="004848BB" w:rsidP="004848BB">
      <w:pPr>
        <w:rPr>
          <w:rtl/>
        </w:rPr>
      </w:pPr>
      <w:r>
        <w:rPr>
          <w:rFonts w:hint="cs"/>
          <w:rtl/>
        </w:rPr>
        <w:t xml:space="preserve">بنابراین، </w:t>
      </w:r>
      <w:r w:rsidR="0035287F" w:rsidRPr="0035287F">
        <w:rPr>
          <w:rtl/>
        </w:rPr>
        <w:t>ازاله</w:t>
      </w:r>
      <w:r>
        <w:rPr>
          <w:rtl/>
        </w:rPr>
        <w:t xml:space="preserve"> حیات ادراکی قتل را محقق می کند</w:t>
      </w:r>
      <w:r>
        <w:rPr>
          <w:rFonts w:hint="cs"/>
          <w:rtl/>
        </w:rPr>
        <w:t>.</w:t>
      </w:r>
      <w:r w:rsidR="0035287F" w:rsidRPr="0035287F">
        <w:rPr>
          <w:rtl/>
        </w:rPr>
        <w:t xml:space="preserve"> </w:t>
      </w:r>
    </w:p>
    <w:p w:rsidR="004848BB" w:rsidRPr="0035287F" w:rsidRDefault="004848BB" w:rsidP="004848BB">
      <w:pPr>
        <w:pStyle w:val="Heading7"/>
        <w:rPr>
          <w:rtl/>
        </w:rPr>
      </w:pPr>
      <w:bookmarkStart w:id="6" w:name="_Toc505712166"/>
      <w:r>
        <w:rPr>
          <w:rFonts w:hint="cs"/>
          <w:rtl/>
        </w:rPr>
        <w:t xml:space="preserve">عدم جواز </w:t>
      </w:r>
      <w:r w:rsidRPr="004848BB">
        <w:rPr>
          <w:rFonts w:hint="cs"/>
          <w:rtl/>
        </w:rPr>
        <w:t>تمسک</w:t>
      </w:r>
      <w:r>
        <w:rPr>
          <w:rFonts w:hint="cs"/>
          <w:rtl/>
        </w:rPr>
        <w:t xml:space="preserve"> به استصحاب حیات</w:t>
      </w:r>
      <w:bookmarkEnd w:id="6"/>
      <w:r>
        <w:rPr>
          <w:rFonts w:hint="cs"/>
          <w:rtl/>
        </w:rPr>
        <w:t xml:space="preserve"> </w:t>
      </w:r>
    </w:p>
    <w:p w:rsidR="0035287F" w:rsidRPr="0035287F" w:rsidRDefault="0035287F" w:rsidP="004848BB">
      <w:pPr>
        <w:rPr>
          <w:rtl/>
        </w:rPr>
      </w:pPr>
      <w:r w:rsidRPr="0035287F">
        <w:rPr>
          <w:rtl/>
        </w:rPr>
        <w:t xml:space="preserve">باید توجه کرد که در صورت شک در </w:t>
      </w:r>
      <w:r w:rsidR="004848BB">
        <w:rPr>
          <w:rFonts w:hint="cs"/>
          <w:rtl/>
        </w:rPr>
        <w:t xml:space="preserve">حکم </w:t>
      </w:r>
      <w:r w:rsidRPr="0035287F">
        <w:rPr>
          <w:rtl/>
        </w:rPr>
        <w:t xml:space="preserve">مرگ مغزی که آیا ازاله آن موجب قصاص است، نمی توان به استصحاب حیات تمسک نمود؛ چرا که </w:t>
      </w:r>
      <w:r w:rsidR="004848BB">
        <w:rPr>
          <w:rFonts w:hint="cs"/>
          <w:rtl/>
        </w:rPr>
        <w:t xml:space="preserve">این استصحاب از موارد استصحاب در شبهات حکمیه و </w:t>
      </w:r>
      <w:r w:rsidRPr="0035287F">
        <w:rPr>
          <w:rtl/>
        </w:rPr>
        <w:t>از اوهام است</w:t>
      </w:r>
      <w:r w:rsidR="004848BB">
        <w:rPr>
          <w:rFonts w:hint="cs"/>
          <w:rtl/>
        </w:rPr>
        <w:t xml:space="preserve"> </w:t>
      </w:r>
      <w:r w:rsidRPr="0035287F">
        <w:rPr>
          <w:rtl/>
        </w:rPr>
        <w:t xml:space="preserve"> و از قبیل استصحاب یوم بعد از استتار قرص است در جایی که مفهوم یوم بین استتار قرص و غیر آن</w:t>
      </w:r>
      <w:r w:rsidR="004848BB">
        <w:rPr>
          <w:rFonts w:hint="cs"/>
          <w:rtl/>
        </w:rPr>
        <w:t>، مردد است</w:t>
      </w:r>
      <w:r w:rsidR="004848BB">
        <w:rPr>
          <w:rtl/>
        </w:rPr>
        <w:t xml:space="preserve"> مشکوک باشد</w:t>
      </w:r>
      <w:r w:rsidR="004848BB">
        <w:rPr>
          <w:rFonts w:hint="cs"/>
          <w:rtl/>
        </w:rPr>
        <w:t>.</w:t>
      </w:r>
    </w:p>
    <w:p w:rsidR="00E975F3" w:rsidRDefault="00E975F3" w:rsidP="00E975F3">
      <w:pPr>
        <w:pStyle w:val="Heading7"/>
        <w:rPr>
          <w:rtl/>
        </w:rPr>
      </w:pPr>
      <w:bookmarkStart w:id="7" w:name="_Toc505712167"/>
      <w:r>
        <w:rPr>
          <w:rFonts w:hint="cs"/>
          <w:rtl/>
        </w:rPr>
        <w:t>تمسک به اطلاقات و در نهایت برائت</w:t>
      </w:r>
      <w:bookmarkEnd w:id="7"/>
    </w:p>
    <w:p w:rsidR="00E975F3" w:rsidRDefault="0035287F" w:rsidP="00E975F3">
      <w:pPr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35287F">
        <w:rPr>
          <w:rtl/>
        </w:rPr>
        <w:t xml:space="preserve">بلکه </w:t>
      </w:r>
      <w:r w:rsidR="00E975F3">
        <w:rPr>
          <w:rFonts w:hint="cs"/>
          <w:rtl/>
        </w:rPr>
        <w:t xml:space="preserve">حق این است که </w:t>
      </w:r>
      <w:r w:rsidRPr="0035287F">
        <w:rPr>
          <w:rtl/>
        </w:rPr>
        <w:t>در مقام شک</w:t>
      </w:r>
      <w:r w:rsidR="00E975F3">
        <w:rPr>
          <w:rFonts w:hint="cs"/>
          <w:rtl/>
        </w:rPr>
        <w:t>،</w:t>
      </w:r>
      <w:r w:rsidRPr="0035287F">
        <w:rPr>
          <w:rtl/>
        </w:rPr>
        <w:t xml:space="preserve"> می بایست </w:t>
      </w:r>
      <w:r w:rsidR="00E975F3">
        <w:rPr>
          <w:rFonts w:hint="cs"/>
          <w:rtl/>
        </w:rPr>
        <w:t xml:space="preserve">در صورت وجود اطلاق یا عموم، </w:t>
      </w:r>
      <w:r w:rsidRPr="0035287F">
        <w:rPr>
          <w:rtl/>
        </w:rPr>
        <w:t xml:space="preserve">به </w:t>
      </w:r>
      <w:r w:rsidR="00E975F3">
        <w:rPr>
          <w:rFonts w:hint="cs"/>
          <w:rtl/>
        </w:rPr>
        <w:t xml:space="preserve">آن رجوع نمود </w:t>
      </w:r>
      <w:r w:rsidRPr="0035287F">
        <w:rPr>
          <w:rtl/>
        </w:rPr>
        <w:t xml:space="preserve">و اگر اطلاق </w:t>
      </w:r>
      <w:r w:rsidR="00E975F3">
        <w:rPr>
          <w:rFonts w:hint="cs"/>
          <w:rtl/>
        </w:rPr>
        <w:t xml:space="preserve">و عامی </w:t>
      </w:r>
      <w:r w:rsidRPr="0035287F">
        <w:rPr>
          <w:rtl/>
        </w:rPr>
        <w:t xml:space="preserve">نباشد، نوبت به اصول عملیه به غیر از استصحاب می رسد که در اینجا </w:t>
      </w:r>
      <w:r w:rsidR="00E975F3">
        <w:rPr>
          <w:rFonts w:hint="cs"/>
          <w:rtl/>
        </w:rPr>
        <w:t xml:space="preserve">حق این است که </w:t>
      </w:r>
      <w:r w:rsidR="00E975F3">
        <w:rPr>
          <w:rtl/>
        </w:rPr>
        <w:t>برائت جاری</w:t>
      </w:r>
      <w:r w:rsidRPr="0035287F">
        <w:rPr>
          <w:rtl/>
        </w:rPr>
        <w:t xml:space="preserve"> شود.</w:t>
      </w:r>
      <w:r w:rsidR="00E975F3">
        <w:rPr>
          <w:rStyle w:val="FootnoteReference"/>
          <w:rtl/>
        </w:rPr>
        <w:footnoteReference w:id="2"/>
      </w:r>
    </w:p>
    <w:p w:rsidR="00E975F3" w:rsidRPr="0035287F" w:rsidRDefault="00E975F3" w:rsidP="00E975F3">
      <w:pPr>
        <w:pStyle w:val="Heading6"/>
        <w:rPr>
          <w:rtl/>
        </w:rPr>
      </w:pPr>
      <w:bookmarkStart w:id="8" w:name="_Toc505712168"/>
      <w:r>
        <w:rPr>
          <w:rFonts w:hint="cs"/>
          <w:rtl/>
        </w:rPr>
        <w:t>بررسی قصاص در قتل محتضر</w:t>
      </w:r>
      <w:bookmarkEnd w:id="8"/>
    </w:p>
    <w:p w:rsidR="0035287F" w:rsidRPr="0035287F" w:rsidRDefault="0035287F" w:rsidP="00E975F3">
      <w:pPr>
        <w:rPr>
          <w:rtl/>
        </w:rPr>
      </w:pPr>
      <w:r w:rsidRPr="0035287F">
        <w:rPr>
          <w:rtl/>
        </w:rPr>
        <w:t xml:space="preserve">قتل محتضر علی القاعده موجب قصاص است، </w:t>
      </w:r>
      <w:r w:rsidR="00E975F3">
        <w:rPr>
          <w:rFonts w:hint="cs"/>
          <w:rtl/>
        </w:rPr>
        <w:t xml:space="preserve">اما </w:t>
      </w:r>
      <w:r w:rsidRPr="0035287F">
        <w:rPr>
          <w:rtl/>
        </w:rPr>
        <w:t xml:space="preserve">ممکن است که </w:t>
      </w:r>
      <w:r w:rsidR="00E975F3">
        <w:rPr>
          <w:rFonts w:hint="cs"/>
          <w:rtl/>
        </w:rPr>
        <w:t>ادعا شود، چنین قتلی منجر به قصاص نباشد و با وجود اینکه به قاتل آن، عنوان قاتل صادق است؛ چرا که در آیه شریفه، فلسفه جعل قصاص، تحقق و منشأیت آن برای حیات است، در حالی که در قتل محتضر، خواه نا خواه حیات ممکن نیست، در نتیجه قصاص وجهی برای جریان نخواهد داشت.</w:t>
      </w:r>
      <w:r w:rsidR="00E975F3">
        <w:rPr>
          <w:rStyle w:val="FootnoteReference"/>
          <w:rtl/>
        </w:rPr>
        <w:footnoteReference w:id="3"/>
      </w:r>
    </w:p>
    <w:p w:rsidR="00E975F3" w:rsidRDefault="00E975F3" w:rsidP="00E975F3">
      <w:pPr>
        <w:pStyle w:val="Heading6"/>
        <w:rPr>
          <w:rtl/>
        </w:rPr>
      </w:pPr>
      <w:bookmarkStart w:id="9" w:name="_Toc505712169"/>
      <w:r>
        <w:rPr>
          <w:rFonts w:hint="cs"/>
          <w:rtl/>
        </w:rPr>
        <w:lastRenderedPageBreak/>
        <w:t>تطبیقات بحث مرگ مغزی</w:t>
      </w:r>
      <w:bookmarkEnd w:id="9"/>
    </w:p>
    <w:p w:rsidR="0035287F" w:rsidRPr="00E975F3" w:rsidRDefault="00E975F3" w:rsidP="00E975F3">
      <w:pPr>
        <w:rPr>
          <w:rtl/>
        </w:rPr>
      </w:pPr>
      <w:r>
        <w:rPr>
          <w:rFonts w:hint="cs"/>
          <w:rtl/>
        </w:rPr>
        <w:t xml:space="preserve">بر این اساس، </w:t>
      </w:r>
      <w:r w:rsidR="0035287F" w:rsidRPr="0035287F">
        <w:rPr>
          <w:rtl/>
        </w:rPr>
        <w:t xml:space="preserve">آیا همان طوری که بر حکومت حفظ افراد </w:t>
      </w:r>
      <w:r>
        <w:rPr>
          <w:rFonts w:hint="cs"/>
          <w:rtl/>
        </w:rPr>
        <w:t xml:space="preserve">جامعه </w:t>
      </w:r>
      <w:r w:rsidR="0035287F" w:rsidRPr="0035287F">
        <w:rPr>
          <w:rtl/>
        </w:rPr>
        <w:t>واجب است</w:t>
      </w:r>
      <w:r>
        <w:rPr>
          <w:rFonts w:hint="cs"/>
          <w:rtl/>
        </w:rPr>
        <w:t>؛</w:t>
      </w:r>
      <w:r w:rsidR="0035287F" w:rsidRPr="0035287F">
        <w:rPr>
          <w:rtl/>
        </w:rPr>
        <w:t xml:space="preserve"> حفظ </w:t>
      </w:r>
      <w:r>
        <w:rPr>
          <w:rFonts w:hint="cs"/>
          <w:rtl/>
        </w:rPr>
        <w:t xml:space="preserve">افراد مبتلی به </w:t>
      </w:r>
      <w:r w:rsidR="0035287F" w:rsidRPr="0035287F">
        <w:rPr>
          <w:rtl/>
        </w:rPr>
        <w:t xml:space="preserve">مرگ مغزی </w:t>
      </w:r>
      <w:r>
        <w:rPr>
          <w:rFonts w:hint="cs"/>
          <w:rtl/>
        </w:rPr>
        <w:t xml:space="preserve">نیز </w:t>
      </w:r>
      <w:r w:rsidR="0035287F" w:rsidRPr="0035287F">
        <w:rPr>
          <w:rtl/>
        </w:rPr>
        <w:t>در صورت حکم به حیات آن ها واجب است؟</w:t>
      </w:r>
      <w:r>
        <w:rPr>
          <w:rFonts w:hint="cs"/>
          <w:rtl/>
        </w:rPr>
        <w:t xml:space="preserve"> </w:t>
      </w:r>
      <w:r w:rsidR="0035287F" w:rsidRPr="00E975F3">
        <w:rPr>
          <w:rtl/>
        </w:rPr>
        <w:t xml:space="preserve">یا این که همان طوری که بر انسان حفظ نفس </w:t>
      </w:r>
      <w:r>
        <w:rPr>
          <w:rFonts w:hint="cs"/>
          <w:rtl/>
        </w:rPr>
        <w:t xml:space="preserve">محترم </w:t>
      </w:r>
      <w:r w:rsidR="0035287F" w:rsidRPr="00E975F3">
        <w:rPr>
          <w:rtl/>
        </w:rPr>
        <w:t>واجب است</w:t>
      </w:r>
      <w:r>
        <w:rPr>
          <w:rFonts w:hint="cs"/>
          <w:rtl/>
        </w:rPr>
        <w:t>،</w:t>
      </w:r>
      <w:r w:rsidR="0035287F" w:rsidRPr="00E975F3">
        <w:rPr>
          <w:rtl/>
        </w:rPr>
        <w:t xml:space="preserve"> حفظ </w:t>
      </w:r>
      <w:r>
        <w:rPr>
          <w:rFonts w:hint="cs"/>
          <w:rtl/>
        </w:rPr>
        <w:t xml:space="preserve">نفس محترم </w:t>
      </w:r>
      <w:r w:rsidR="0035287F" w:rsidRPr="00E975F3">
        <w:rPr>
          <w:rtl/>
        </w:rPr>
        <w:t>در حال مرگ مغزی</w:t>
      </w:r>
      <w:r>
        <w:rPr>
          <w:rFonts w:hint="cs"/>
          <w:rtl/>
        </w:rPr>
        <w:t xml:space="preserve"> او نیز واجب است</w:t>
      </w:r>
      <w:r w:rsidR="0035287F" w:rsidRPr="00E975F3">
        <w:rPr>
          <w:rtl/>
        </w:rPr>
        <w:t>؟</w:t>
      </w:r>
    </w:p>
    <w:p w:rsidR="0035287F" w:rsidRPr="0035287F" w:rsidRDefault="0035287F" w:rsidP="0059741B">
      <w:pPr>
        <w:rPr>
          <w:rtl/>
        </w:rPr>
      </w:pPr>
      <w:r w:rsidRPr="0035287F">
        <w:rPr>
          <w:rtl/>
        </w:rPr>
        <w:t xml:space="preserve">یا این که </w:t>
      </w:r>
      <w:r w:rsidR="0059741B">
        <w:rPr>
          <w:rFonts w:hint="cs"/>
          <w:rtl/>
        </w:rPr>
        <w:t>بر فرض عدم وجوب حفظ شخص مبتلا به مرگ مغزی، آیا قطع و رفع ادواتی که او را در این حال نگه داشته است؛ جایز است یا نه؟</w:t>
      </w:r>
    </w:p>
    <w:p w:rsidR="0035287F" w:rsidRPr="0035287F" w:rsidRDefault="0035287F" w:rsidP="00E975F3">
      <w:pPr>
        <w:rPr>
          <w:rtl/>
        </w:rPr>
      </w:pPr>
      <w:r w:rsidRPr="0035287F">
        <w:rPr>
          <w:rtl/>
        </w:rPr>
        <w:t xml:space="preserve">یا این که بر فرض وجوب حفظ این حیات، قصاص بر جانی </w:t>
      </w:r>
      <w:r w:rsidR="0059741B">
        <w:rPr>
          <w:rFonts w:hint="cs"/>
          <w:rtl/>
        </w:rPr>
        <w:t xml:space="preserve">و متعدی نسبت به آن </w:t>
      </w:r>
      <w:r w:rsidRPr="0035287F">
        <w:rPr>
          <w:rtl/>
        </w:rPr>
        <w:t>واجب است؟</w:t>
      </w:r>
    </w:p>
    <w:p w:rsidR="0035287F" w:rsidRPr="0059741B" w:rsidRDefault="0059741B" w:rsidP="0059741B">
      <w:pPr>
        <w:rPr>
          <w:rtl/>
        </w:rPr>
      </w:pPr>
      <w:r w:rsidRPr="0059741B">
        <w:rPr>
          <w:rFonts w:hint="cs"/>
          <w:rtl/>
        </w:rPr>
        <w:t>و از طرفی آیا قصاص طرف بر این شخص نیز مثل قصاص طرف بر فرد حی عادی است؟</w:t>
      </w:r>
      <w:r w:rsidRPr="0059741B">
        <w:rPr>
          <w:rtl/>
        </w:rPr>
        <w:t xml:space="preserve"> </w:t>
      </w:r>
      <w:r>
        <w:rPr>
          <w:rFonts w:hint="cs"/>
          <w:rtl/>
        </w:rPr>
        <w:t xml:space="preserve">و </w:t>
      </w:r>
      <w:r w:rsidR="0035287F" w:rsidRPr="0059741B">
        <w:rPr>
          <w:rtl/>
        </w:rPr>
        <w:t xml:space="preserve">آیا در حکم میت است که </w:t>
      </w:r>
      <w:r>
        <w:rPr>
          <w:rFonts w:hint="cs"/>
          <w:rtl/>
        </w:rPr>
        <w:t>طبق یک مبنا،</w:t>
      </w:r>
      <w:r w:rsidR="0035287F" w:rsidRPr="0059741B">
        <w:rPr>
          <w:rtl/>
        </w:rPr>
        <w:t xml:space="preserve">اخذ عضو از او جایز است </w:t>
      </w:r>
      <w:r>
        <w:rPr>
          <w:rFonts w:hint="cs"/>
          <w:rtl/>
        </w:rPr>
        <w:t>یا اینکه مثل فرد حی به حیات عادی اخذ عضو از او هم جایز نیست؟</w:t>
      </w:r>
    </w:p>
    <w:p w:rsidR="0035287F" w:rsidRPr="0035287F" w:rsidRDefault="0035287F" w:rsidP="0035287F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</w:p>
    <w:p w:rsidR="008F5B4D" w:rsidRDefault="008F5B4D" w:rsidP="003A6148">
      <w:pPr>
        <w:rPr>
          <w:rFonts w:hint="cs"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59A" w:rsidRDefault="009D059A" w:rsidP="008B750B">
      <w:pPr>
        <w:spacing w:line="240" w:lineRule="auto"/>
      </w:pPr>
      <w:r>
        <w:separator/>
      </w:r>
    </w:p>
  </w:endnote>
  <w:endnote w:type="continuationSeparator" w:id="0">
    <w:p w:rsidR="009D059A" w:rsidRDefault="009D059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7F" w:rsidRDefault="0035287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35287F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35287F" w:rsidRDefault="0035287F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5287F" w:rsidRDefault="0035287F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59741B" w:rsidRPr="0059741B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5287F" w:rsidRPr="006D44C1" w:rsidRDefault="0035287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F1mq1_13961117-078_ar1_mfeb.ir</w:t>
          </w:r>
        </w:p>
      </w:tc>
    </w:tr>
  </w:tbl>
  <w:p w:rsidR="0035287F" w:rsidRDefault="0035287F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7F" w:rsidRDefault="0035287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59A" w:rsidRDefault="009D059A" w:rsidP="008B750B">
      <w:pPr>
        <w:spacing w:line="240" w:lineRule="auto"/>
      </w:pPr>
      <w:r>
        <w:separator/>
      </w:r>
    </w:p>
  </w:footnote>
  <w:footnote w:type="continuationSeparator" w:id="0">
    <w:p w:rsidR="009D059A" w:rsidRDefault="009D059A" w:rsidP="008B750B">
      <w:pPr>
        <w:spacing w:line="240" w:lineRule="auto"/>
      </w:pPr>
      <w:r>
        <w:continuationSeparator/>
      </w:r>
    </w:p>
  </w:footnote>
  <w:footnote w:id="1">
    <w:p w:rsidR="00454345" w:rsidRPr="00454345" w:rsidRDefault="00454345" w:rsidP="00454345">
      <w:pPr>
        <w:pStyle w:val="FootnoteText"/>
        <w:rPr>
          <w:rFonts w:hint="cs"/>
        </w:rPr>
      </w:pPr>
      <w:r w:rsidRPr="00454345">
        <w:footnoteRef/>
      </w:r>
      <w:r w:rsidRPr="00454345">
        <w:rPr>
          <w:rtl/>
        </w:rPr>
        <w:t xml:space="preserve"> </w:t>
      </w:r>
      <w:hyperlink r:id="rId1" w:history="1">
        <w:r w:rsidRPr="00454345">
          <w:rPr>
            <w:rStyle w:val="Hyperlink"/>
            <w:rFonts w:hint="cs"/>
            <w:rtl/>
          </w:rPr>
          <w:t>جواهر</w:t>
        </w:r>
        <w:r w:rsidRPr="00454345">
          <w:rPr>
            <w:rStyle w:val="Hyperlink"/>
            <w:rtl/>
          </w:rPr>
          <w:t xml:space="preserve"> </w:t>
        </w:r>
        <w:r w:rsidRPr="00454345">
          <w:rPr>
            <w:rStyle w:val="Hyperlink"/>
            <w:rFonts w:hint="cs"/>
            <w:rtl/>
          </w:rPr>
          <w:t>الکلام،</w:t>
        </w:r>
        <w:r w:rsidRPr="00454345">
          <w:rPr>
            <w:rStyle w:val="Hyperlink"/>
            <w:rtl/>
          </w:rPr>
          <w:t xml:space="preserve"> </w:t>
        </w:r>
        <w:r w:rsidRPr="00454345">
          <w:rPr>
            <w:rStyle w:val="Hyperlink"/>
            <w:rFonts w:hint="cs"/>
            <w:rtl/>
          </w:rPr>
          <w:t>محمد</w:t>
        </w:r>
        <w:r w:rsidRPr="00454345">
          <w:rPr>
            <w:rStyle w:val="Hyperlink"/>
            <w:rtl/>
          </w:rPr>
          <w:t xml:space="preserve"> </w:t>
        </w:r>
        <w:r w:rsidRPr="00454345">
          <w:rPr>
            <w:rStyle w:val="Hyperlink"/>
            <w:rFonts w:hint="cs"/>
            <w:rtl/>
          </w:rPr>
          <w:t>حسن</w:t>
        </w:r>
        <w:r w:rsidRPr="00454345">
          <w:rPr>
            <w:rStyle w:val="Hyperlink"/>
            <w:rtl/>
          </w:rPr>
          <w:t xml:space="preserve"> </w:t>
        </w:r>
        <w:r w:rsidRPr="00454345">
          <w:rPr>
            <w:rStyle w:val="Hyperlink"/>
            <w:rFonts w:hint="cs"/>
            <w:rtl/>
          </w:rPr>
          <w:t>نجفی،</w:t>
        </w:r>
        <w:r w:rsidRPr="00454345">
          <w:rPr>
            <w:rStyle w:val="Hyperlink"/>
            <w:rtl/>
          </w:rPr>
          <w:t xml:space="preserve"> </w:t>
        </w:r>
        <w:r w:rsidRPr="00454345">
          <w:rPr>
            <w:rStyle w:val="Hyperlink"/>
            <w:rFonts w:hint="cs"/>
            <w:rtl/>
          </w:rPr>
          <w:t>ج</w:t>
        </w:r>
        <w:r w:rsidRPr="00454345">
          <w:rPr>
            <w:rStyle w:val="Hyperlink"/>
            <w:rtl/>
          </w:rPr>
          <w:t>42</w:t>
        </w:r>
        <w:r w:rsidRPr="00454345">
          <w:rPr>
            <w:rStyle w:val="Hyperlink"/>
            <w:rFonts w:hint="cs"/>
            <w:rtl/>
          </w:rPr>
          <w:t>،</w:t>
        </w:r>
        <w:r w:rsidRPr="00454345">
          <w:rPr>
            <w:rStyle w:val="Hyperlink"/>
            <w:rtl/>
          </w:rPr>
          <w:t xml:space="preserve"> </w:t>
        </w:r>
        <w:r w:rsidRPr="00454345">
          <w:rPr>
            <w:rStyle w:val="Hyperlink"/>
            <w:rFonts w:hint="cs"/>
            <w:rtl/>
          </w:rPr>
          <w:t>ص</w:t>
        </w:r>
        <w:r w:rsidRPr="00454345">
          <w:rPr>
            <w:rStyle w:val="Hyperlink"/>
            <w:rtl/>
          </w:rPr>
          <w:t>58</w:t>
        </w:r>
        <w:r w:rsidRPr="00454345">
          <w:rPr>
            <w:rStyle w:val="Hyperlink"/>
          </w:rPr>
          <w:t>.</w:t>
        </w:r>
      </w:hyperlink>
    </w:p>
  </w:footnote>
  <w:footnote w:id="2">
    <w:p w:rsidR="00E975F3" w:rsidRDefault="00E975F3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>
        <w:rPr>
          <w:rFonts w:hint="cs"/>
          <w:rtl/>
        </w:rPr>
        <w:t>المبسوط فی فقه المسائل المعاصره؛ محمدی قائنی، محمد، ج1، ص135.</w:t>
      </w:r>
    </w:p>
  </w:footnote>
  <w:footnote w:id="3">
    <w:p w:rsidR="00E975F3" w:rsidRPr="00E975F3" w:rsidRDefault="00E975F3" w:rsidP="00E975F3">
      <w:pPr>
        <w:pStyle w:val="FootnoteText"/>
        <w:rPr>
          <w:rFonts w:hint="cs"/>
          <w:rtl/>
        </w:rPr>
      </w:pPr>
      <w:r w:rsidRPr="00E975F3">
        <w:footnoteRef/>
      </w:r>
      <w:r w:rsidRPr="00E975F3">
        <w:rPr>
          <w:rtl/>
        </w:rPr>
        <w:t xml:space="preserve"> </w:t>
      </w:r>
      <w:r w:rsidRPr="00E975F3">
        <w:rPr>
          <w:rFonts w:hint="cs"/>
          <w:rtl/>
        </w:rPr>
        <w:t>سوره</w:t>
      </w:r>
      <w:r w:rsidRPr="00E975F3">
        <w:rPr>
          <w:rtl/>
        </w:rPr>
        <w:t xml:space="preserve"> </w:t>
      </w:r>
      <w:r w:rsidRPr="00E975F3">
        <w:rPr>
          <w:rFonts w:hint="cs"/>
          <w:rtl/>
        </w:rPr>
        <w:t>بقره،</w:t>
      </w:r>
      <w:r w:rsidRPr="00E975F3">
        <w:rPr>
          <w:rtl/>
        </w:rPr>
        <w:t xml:space="preserve"> </w:t>
      </w:r>
      <w:r w:rsidRPr="00E975F3">
        <w:rPr>
          <w:rFonts w:hint="cs"/>
          <w:rtl/>
        </w:rPr>
        <w:t>آيه</w:t>
      </w:r>
      <w:r w:rsidRPr="00E975F3">
        <w:rPr>
          <w:rtl/>
        </w:rPr>
        <w:t xml:space="preserve"> 179.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7F" w:rsidRDefault="0035287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7F" w:rsidRPr="001D2E9A" w:rsidRDefault="0035287F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>
      <w:rPr>
        <w:b/>
        <w:bCs/>
        <w:sz w:val="20"/>
        <w:szCs w:val="24"/>
        <w:rtl/>
      </w:rPr>
      <w:t>078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1" w:name="Bokdars"/>
    <w:bookmarkEnd w:id="11"/>
    <w:r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2" w:name="Bokostad"/>
    <w:bookmarkEnd w:id="12"/>
    <w:r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>
      <w:rPr>
        <w:sz w:val="24"/>
        <w:szCs w:val="24"/>
        <w:rtl/>
      </w:rPr>
      <w:t>17 /11 /1396</w:t>
    </w:r>
  </w:p>
  <w:p w:rsidR="0035287F" w:rsidRPr="00F16B53" w:rsidRDefault="0035287F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sz w:val="24"/>
        <w:szCs w:val="24"/>
        <w:rtl/>
      </w:rPr>
      <w:t>:</w:t>
    </w:r>
    <w:bookmarkStart w:id="14" w:name="BokSabj"/>
    <w:bookmarkEnd w:id="14"/>
    <w:r>
      <w:rPr>
        <w:rFonts w:hint="cs"/>
        <w:sz w:val="24"/>
        <w:szCs w:val="24"/>
        <w:rtl/>
      </w:rPr>
      <w:t>قتل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 xml:space="preserve">عمد 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>:</w:t>
    </w:r>
    <w:bookmarkStart w:id="15" w:name="Bokmoqarer"/>
    <w:bookmarkEnd w:id="15"/>
    <w:r>
      <w:rPr>
        <w:rFonts w:hint="cs"/>
        <w:sz w:val="24"/>
        <w:szCs w:val="24"/>
        <w:rtl/>
      </w:rPr>
      <w:t>سید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علی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 xml:space="preserve">رهنمایی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6" w:name="BokSabj2"/>
    <w:bookmarkEnd w:id="16"/>
    <w:r>
      <w:rPr>
        <w:rFonts w:hint="cs"/>
        <w:sz w:val="24"/>
        <w:szCs w:val="24"/>
        <w:rtl/>
      </w:rPr>
      <w:t>قتل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به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تسبیب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مراتب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تسبیب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مرتبه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چهارم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صورت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چهارم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287F" w:rsidRDefault="0035287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1986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287F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4345"/>
    <w:rsid w:val="004556EF"/>
    <w:rsid w:val="00462B07"/>
    <w:rsid w:val="00465BD2"/>
    <w:rsid w:val="004715C8"/>
    <w:rsid w:val="00481C31"/>
    <w:rsid w:val="00482FC1"/>
    <w:rsid w:val="00483027"/>
    <w:rsid w:val="004848BB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9741B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14290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059A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975F3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75F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E975F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2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06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89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088/42/5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06490F-897E-43D6-AA91-0EAC941B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52</TotalTime>
  <Pages>4</Pages>
  <Words>892</Words>
  <Characters>5088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5969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ali</cp:lastModifiedBy>
  <cp:revision>3</cp:revision>
  <dcterms:created xsi:type="dcterms:W3CDTF">2018-02-06T16:05:00Z</dcterms:created>
  <dcterms:modified xsi:type="dcterms:W3CDTF">2018-02-06T16:57:00Z</dcterms:modified>
  <cp:contentStatus>ویرایش 2.5</cp:contentStatus>
  <cp:version>2.3</cp:version>
</cp:coreProperties>
</file>