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52544D" w:rsidRDefault="0052544D" w:rsidP="0052544D">
      <w:pPr>
        <w:pStyle w:val="TOC8"/>
        <w:tabs>
          <w:tab w:val="right" w:leader="dot" w:pos="10194"/>
        </w:tabs>
        <w:rPr>
          <w:rFonts w:asciiTheme="minorHAnsi" w:eastAsiaTheme="minorEastAsia" w:hAnsiTheme="minorHAnsi" w:cstheme="minorBidi"/>
          <w:noProof/>
          <w:color w:val="auto"/>
          <w:szCs w:val="22"/>
          <w:rtl/>
        </w:rPr>
      </w:pPr>
      <w:r>
        <w:rPr>
          <w:bCs/>
          <w:noProof/>
          <w:webHidden/>
          <w:rtl/>
        </w:rPr>
        <w:fldChar w:fldCharType="begin"/>
      </w:r>
      <w:r>
        <w:rPr>
          <w:bCs/>
          <w:noProof/>
          <w:webHidden/>
          <w:rtl/>
        </w:rPr>
        <w:instrText xml:space="preserve"> </w:instrText>
      </w:r>
      <w:r>
        <w:rPr>
          <w:bCs/>
          <w:noProof/>
          <w:webHidden/>
        </w:rPr>
        <w:instrText>TOC</w:instrText>
      </w:r>
      <w:r>
        <w:rPr>
          <w:bCs/>
          <w:noProof/>
          <w:webHidden/>
          <w:rtl/>
        </w:rPr>
        <w:instrText xml:space="preserve"> \</w:instrText>
      </w:r>
      <w:r>
        <w:rPr>
          <w:bCs/>
          <w:noProof/>
          <w:webHidden/>
        </w:rPr>
        <w:instrText>o "</w:instrText>
      </w:r>
      <w:r>
        <w:rPr>
          <w:bCs/>
          <w:noProof/>
          <w:webHidden/>
          <w:rtl/>
        </w:rPr>
        <w:instrText>1-9</w:instrText>
      </w:r>
      <w:r>
        <w:rPr>
          <w:bCs/>
          <w:noProof/>
          <w:webHidden/>
        </w:rPr>
        <w:instrText>" \h \z \u</w:instrText>
      </w:r>
      <w:r>
        <w:rPr>
          <w:bCs/>
          <w:noProof/>
          <w:webHidden/>
          <w:rtl/>
        </w:rPr>
        <w:instrText xml:space="preserve"> </w:instrText>
      </w:r>
      <w:r>
        <w:rPr>
          <w:bCs/>
          <w:noProof/>
          <w:webHidden/>
          <w:rtl/>
        </w:rPr>
        <w:fldChar w:fldCharType="separate"/>
      </w:r>
      <w:hyperlink w:anchor="_Toc504485630" w:history="1">
        <w:r w:rsidRPr="00694193">
          <w:rPr>
            <w:rStyle w:val="Hyperlink"/>
            <w:rFonts w:hint="eastAsia"/>
            <w:noProof/>
            <w:rtl/>
          </w:rPr>
          <w:t>تخط</w:t>
        </w:r>
        <w:r w:rsidRPr="00694193">
          <w:rPr>
            <w:rStyle w:val="Hyperlink"/>
            <w:rFonts w:hint="cs"/>
            <w:noProof/>
            <w:rtl/>
          </w:rPr>
          <w:t>ی</w:t>
        </w:r>
        <w:r w:rsidRPr="00694193">
          <w:rPr>
            <w:rStyle w:val="Hyperlink"/>
            <w:noProof/>
            <w:rtl/>
          </w:rPr>
          <w:t xml:space="preserve"> </w:t>
        </w:r>
        <w:r w:rsidRPr="00694193">
          <w:rPr>
            <w:rStyle w:val="Hyperlink"/>
            <w:rFonts w:hint="eastAsia"/>
            <w:noProof/>
            <w:rtl/>
          </w:rPr>
          <w:t>مبنا</w:t>
        </w:r>
        <w:r w:rsidRPr="00694193">
          <w:rPr>
            <w:rStyle w:val="Hyperlink"/>
            <w:noProof/>
            <w:rtl/>
          </w:rPr>
          <w:t xml:space="preserve"> </w:t>
        </w:r>
        <w:r w:rsidRPr="00694193">
          <w:rPr>
            <w:rStyle w:val="Hyperlink"/>
            <w:rFonts w:hint="eastAsia"/>
            <w:noProof/>
            <w:rtl/>
          </w:rPr>
          <w:t>از</w:t>
        </w:r>
        <w:r w:rsidRPr="00694193">
          <w:rPr>
            <w:rStyle w:val="Hyperlink"/>
            <w:noProof/>
            <w:rtl/>
          </w:rPr>
          <w:t xml:space="preserve"> </w:t>
        </w:r>
        <w:r w:rsidRPr="00694193">
          <w:rPr>
            <w:rStyle w:val="Hyperlink"/>
            <w:rFonts w:hint="eastAsia"/>
            <w:noProof/>
            <w:rtl/>
          </w:rPr>
          <w:t>مرحوم</w:t>
        </w:r>
        <w:r w:rsidRPr="00694193">
          <w:rPr>
            <w:rStyle w:val="Hyperlink"/>
            <w:noProof/>
            <w:rtl/>
          </w:rPr>
          <w:t xml:space="preserve"> </w:t>
        </w:r>
        <w:r w:rsidRPr="00694193">
          <w:rPr>
            <w:rStyle w:val="Hyperlink"/>
            <w:rFonts w:hint="eastAsia"/>
            <w:noProof/>
            <w:rtl/>
          </w:rPr>
          <w:t>آقا</w:t>
        </w:r>
        <w:r w:rsidRPr="00694193">
          <w:rPr>
            <w:rStyle w:val="Hyperlink"/>
            <w:rFonts w:hint="cs"/>
            <w:noProof/>
            <w:rtl/>
          </w:rPr>
          <w:t>ی</w:t>
        </w:r>
        <w:r w:rsidRPr="00694193">
          <w:rPr>
            <w:rStyle w:val="Hyperlink"/>
            <w:noProof/>
            <w:rtl/>
          </w:rPr>
          <w:t xml:space="preserve"> </w:t>
        </w:r>
        <w:r w:rsidRPr="00694193">
          <w:rPr>
            <w:rStyle w:val="Hyperlink"/>
            <w:rFonts w:hint="eastAsia"/>
            <w:noProof/>
            <w:rtl/>
          </w:rPr>
          <w:t>خو</w:t>
        </w:r>
        <w:r w:rsidRPr="00694193">
          <w:rPr>
            <w:rStyle w:val="Hyperlink"/>
            <w:rFonts w:hint="cs"/>
            <w:noProof/>
            <w:rtl/>
          </w:rPr>
          <w:t>یی</w:t>
        </w:r>
        <w:r w:rsidRPr="00694193">
          <w:rPr>
            <w:rStyle w:val="Hyperlink"/>
            <w:noProof/>
            <w:rtl/>
          </w:rPr>
          <w:t xml:space="preserve"> </w:t>
        </w:r>
        <w:r w:rsidRPr="00694193">
          <w:rPr>
            <w:rStyle w:val="Hyperlink"/>
            <w:rFonts w:hint="eastAsia"/>
            <w:noProof/>
            <w:rtl/>
          </w:rPr>
          <w:t>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504485630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52544D" w:rsidRDefault="0052544D" w:rsidP="0052544D">
      <w:pPr>
        <w:pStyle w:val="TOC9"/>
        <w:tabs>
          <w:tab w:val="right" w:leader="dot" w:pos="10194"/>
        </w:tabs>
        <w:rPr>
          <w:rFonts w:asciiTheme="minorHAnsi" w:eastAsiaTheme="minorEastAsia" w:hAnsiTheme="minorHAnsi" w:cstheme="minorBidi"/>
          <w:noProof/>
          <w:color w:val="auto"/>
          <w:szCs w:val="22"/>
          <w:rtl/>
        </w:rPr>
      </w:pPr>
      <w:hyperlink w:anchor="_Toc504485631" w:history="1">
        <w:r w:rsidRPr="00694193">
          <w:rPr>
            <w:rStyle w:val="Hyperlink"/>
            <w:rFonts w:hint="eastAsia"/>
            <w:noProof/>
            <w:rtl/>
          </w:rPr>
          <w:t>قاعده</w:t>
        </w:r>
        <w:r w:rsidRPr="00694193">
          <w:rPr>
            <w:rStyle w:val="Hyperlink"/>
            <w:noProof/>
            <w:rtl/>
          </w:rPr>
          <w:t xml:space="preserve"> </w:t>
        </w:r>
        <w:r w:rsidRPr="00694193">
          <w:rPr>
            <w:rStyle w:val="Hyperlink"/>
            <w:rFonts w:hint="eastAsia"/>
            <w:noProof/>
            <w:rtl/>
          </w:rPr>
          <w:t>تعاقب</w:t>
        </w:r>
        <w:r w:rsidRPr="00694193">
          <w:rPr>
            <w:rStyle w:val="Hyperlink"/>
            <w:noProof/>
            <w:rtl/>
          </w:rPr>
          <w:t xml:space="preserve"> </w:t>
        </w:r>
        <w:r w:rsidRPr="00694193">
          <w:rPr>
            <w:rStyle w:val="Hyperlink"/>
            <w:rFonts w:hint="eastAsia"/>
            <w:noProof/>
            <w:rtl/>
          </w:rPr>
          <w:t>ا</w:t>
        </w:r>
        <w:r w:rsidRPr="00694193">
          <w:rPr>
            <w:rStyle w:val="Hyperlink"/>
            <w:rFonts w:hint="cs"/>
            <w:noProof/>
            <w:rtl/>
          </w:rPr>
          <w:t>ی</w:t>
        </w:r>
        <w:r w:rsidRPr="00694193">
          <w:rPr>
            <w:rStyle w:val="Hyperlink"/>
            <w:rFonts w:hint="eastAsia"/>
            <w:noProof/>
            <w:rtl/>
          </w:rPr>
          <w:t>د</w:t>
        </w:r>
        <w:r w:rsidRPr="00694193">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504485631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52544D" w:rsidRDefault="0052544D" w:rsidP="0052544D">
      <w:pPr>
        <w:pStyle w:val="TOC9"/>
        <w:tabs>
          <w:tab w:val="right" w:leader="dot" w:pos="10194"/>
        </w:tabs>
        <w:rPr>
          <w:rFonts w:asciiTheme="minorHAnsi" w:eastAsiaTheme="minorEastAsia" w:hAnsiTheme="minorHAnsi" w:cstheme="minorBidi"/>
          <w:noProof/>
          <w:color w:val="auto"/>
          <w:szCs w:val="22"/>
          <w:rtl/>
        </w:rPr>
      </w:pPr>
      <w:hyperlink w:anchor="_Toc504485632" w:history="1">
        <w:r w:rsidRPr="00694193">
          <w:rPr>
            <w:rStyle w:val="Hyperlink"/>
            <w:rFonts w:hint="eastAsia"/>
            <w:noProof/>
            <w:rtl/>
          </w:rPr>
          <w:t>تطب</w:t>
        </w:r>
        <w:r w:rsidRPr="00694193">
          <w:rPr>
            <w:rStyle w:val="Hyperlink"/>
            <w:rFonts w:hint="cs"/>
            <w:noProof/>
            <w:rtl/>
          </w:rPr>
          <w:t>ی</w:t>
        </w:r>
        <w:r w:rsidRPr="00694193">
          <w:rPr>
            <w:rStyle w:val="Hyperlink"/>
            <w:rFonts w:hint="eastAsia"/>
            <w:noProof/>
            <w:rtl/>
          </w:rPr>
          <w:t>ق</w:t>
        </w:r>
        <w:r w:rsidRPr="00694193">
          <w:rPr>
            <w:rStyle w:val="Hyperlink"/>
            <w:noProof/>
            <w:rtl/>
          </w:rPr>
          <w:t xml:space="preserve"> </w:t>
        </w:r>
        <w:r w:rsidRPr="00694193">
          <w:rPr>
            <w:rStyle w:val="Hyperlink"/>
            <w:rFonts w:hint="eastAsia"/>
            <w:noProof/>
            <w:rtl/>
          </w:rPr>
          <w:t>قاعده</w:t>
        </w:r>
        <w:r w:rsidRPr="00694193">
          <w:rPr>
            <w:rStyle w:val="Hyperlink"/>
            <w:noProof/>
            <w:rtl/>
          </w:rPr>
          <w:t xml:space="preserve"> </w:t>
        </w:r>
        <w:r w:rsidRPr="00694193">
          <w:rPr>
            <w:rStyle w:val="Hyperlink"/>
            <w:rFonts w:hint="eastAsia"/>
            <w:noProof/>
            <w:rtl/>
          </w:rPr>
          <w:t>در</w:t>
        </w:r>
        <w:r w:rsidRPr="00694193">
          <w:rPr>
            <w:rStyle w:val="Hyperlink"/>
            <w:noProof/>
            <w:rtl/>
          </w:rPr>
          <w:t xml:space="preserve"> </w:t>
        </w:r>
        <w:r w:rsidRPr="00694193">
          <w:rPr>
            <w:rStyle w:val="Hyperlink"/>
            <w:rFonts w:hint="eastAsia"/>
            <w:noProof/>
            <w:rtl/>
          </w:rPr>
          <w:t>مقام</w:t>
        </w:r>
        <w:r w:rsidRPr="00694193">
          <w:rPr>
            <w:rStyle w:val="Hyperlink"/>
            <w:noProof/>
            <w:rtl/>
          </w:rPr>
          <w:t xml:space="preserve"> </w:t>
        </w:r>
        <w:r w:rsidRPr="00694193">
          <w:rPr>
            <w:rStyle w:val="Hyperlink"/>
            <w:rFonts w:hint="eastAsia"/>
            <w:noProof/>
            <w:rtl/>
          </w:rPr>
          <w:t>بر</w:t>
        </w:r>
        <w:r w:rsidRPr="00694193">
          <w:rPr>
            <w:rStyle w:val="Hyperlink"/>
            <w:noProof/>
            <w:rtl/>
          </w:rPr>
          <w:t xml:space="preserve"> </w:t>
        </w:r>
        <w:r w:rsidRPr="00694193">
          <w:rPr>
            <w:rStyle w:val="Hyperlink"/>
            <w:rFonts w:hint="eastAsia"/>
            <w:noProof/>
            <w:rtl/>
          </w:rPr>
          <w:t>اساس</w:t>
        </w:r>
        <w:r w:rsidRPr="00694193">
          <w:rPr>
            <w:rStyle w:val="Hyperlink"/>
            <w:noProof/>
            <w:rtl/>
          </w:rPr>
          <w:t xml:space="preserve"> </w:t>
        </w:r>
        <w:r w:rsidRPr="00694193">
          <w:rPr>
            <w:rStyle w:val="Hyperlink"/>
            <w:rFonts w:hint="eastAsia"/>
            <w:noProof/>
            <w:rtl/>
          </w:rPr>
          <w:t>مسلک</w:t>
        </w:r>
        <w:r w:rsidRPr="00694193">
          <w:rPr>
            <w:rStyle w:val="Hyperlink"/>
            <w:noProof/>
            <w:rtl/>
          </w:rPr>
          <w:t xml:space="preserve"> </w:t>
        </w:r>
        <w:r w:rsidRPr="00694193">
          <w:rPr>
            <w:rStyle w:val="Hyperlink"/>
            <w:rFonts w:hint="eastAsia"/>
            <w:noProof/>
            <w:rtl/>
          </w:rPr>
          <w:t>نف</w:t>
        </w:r>
        <w:r w:rsidRPr="00694193">
          <w:rPr>
            <w:rStyle w:val="Hyperlink"/>
            <w:rFonts w:hint="cs"/>
            <w:noProof/>
            <w:rtl/>
          </w:rPr>
          <w:t>ی</w:t>
        </w:r>
        <w:r w:rsidRPr="00694193">
          <w:rPr>
            <w:rStyle w:val="Hyperlink"/>
            <w:noProof/>
            <w:rtl/>
          </w:rPr>
          <w:t xml:space="preserve"> </w:t>
        </w:r>
        <w:r w:rsidRPr="00694193">
          <w:rPr>
            <w:rStyle w:val="Hyperlink"/>
            <w:rFonts w:hint="eastAsia"/>
            <w:noProof/>
            <w:rtl/>
          </w:rPr>
          <w:t>استناد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504485632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52544D" w:rsidRDefault="0052544D" w:rsidP="0052544D">
      <w:pPr>
        <w:pStyle w:val="TOC6"/>
        <w:tabs>
          <w:tab w:val="right" w:leader="dot" w:pos="10194"/>
        </w:tabs>
        <w:rPr>
          <w:rFonts w:asciiTheme="minorHAnsi" w:eastAsiaTheme="minorEastAsia" w:hAnsiTheme="minorHAnsi" w:cstheme="minorBidi"/>
          <w:bCs w:val="0"/>
          <w:noProof/>
          <w:color w:val="auto"/>
          <w:szCs w:val="22"/>
          <w:rtl/>
        </w:rPr>
      </w:pPr>
      <w:hyperlink w:anchor="_Toc504485633" w:history="1">
        <w:r w:rsidRPr="00694193">
          <w:rPr>
            <w:rStyle w:val="Hyperlink"/>
            <w:rFonts w:hint="eastAsia"/>
            <w:noProof/>
            <w:rtl/>
          </w:rPr>
          <w:t>مقتضا</w:t>
        </w:r>
        <w:r w:rsidRPr="00694193">
          <w:rPr>
            <w:rStyle w:val="Hyperlink"/>
            <w:rFonts w:hint="cs"/>
            <w:noProof/>
            <w:rtl/>
          </w:rPr>
          <w:t>ی</w:t>
        </w:r>
        <w:r w:rsidRPr="00694193">
          <w:rPr>
            <w:rStyle w:val="Hyperlink"/>
            <w:noProof/>
            <w:rtl/>
          </w:rPr>
          <w:t xml:space="preserve"> </w:t>
        </w:r>
        <w:r w:rsidRPr="00694193">
          <w:rPr>
            <w:rStyle w:val="Hyperlink"/>
            <w:rFonts w:hint="eastAsia"/>
            <w:noProof/>
            <w:rtl/>
          </w:rPr>
          <w:t>نص؛</w:t>
        </w:r>
        <w:r w:rsidRPr="00694193">
          <w:rPr>
            <w:rStyle w:val="Hyperlink"/>
            <w:noProof/>
            <w:rtl/>
          </w:rPr>
          <w:t xml:space="preserve"> </w:t>
        </w:r>
        <w:r w:rsidRPr="00694193">
          <w:rPr>
            <w:rStyle w:val="Hyperlink"/>
            <w:rFonts w:hint="eastAsia"/>
            <w:noProof/>
            <w:rtl/>
          </w:rPr>
          <w:t>جواز</w:t>
        </w:r>
        <w:r w:rsidRPr="00694193">
          <w:rPr>
            <w:rStyle w:val="Hyperlink"/>
            <w:noProof/>
            <w:rtl/>
          </w:rPr>
          <w:t xml:space="preserve"> </w:t>
        </w:r>
        <w:r w:rsidRPr="00694193">
          <w:rPr>
            <w:rStyle w:val="Hyperlink"/>
            <w:rFonts w:hint="eastAsia"/>
            <w:noProof/>
            <w:rtl/>
          </w:rPr>
          <w:t>رجوع</w:t>
        </w:r>
        <w:r w:rsidRPr="00694193">
          <w:rPr>
            <w:rStyle w:val="Hyperlink"/>
            <w:noProof/>
            <w:rtl/>
          </w:rPr>
          <w:t xml:space="preserve"> </w:t>
        </w:r>
        <w:r w:rsidRPr="00694193">
          <w:rPr>
            <w:rStyle w:val="Hyperlink"/>
            <w:rFonts w:hint="eastAsia"/>
            <w:noProof/>
            <w:rtl/>
          </w:rPr>
          <w:t>به</w:t>
        </w:r>
        <w:r w:rsidRPr="00694193">
          <w:rPr>
            <w:rStyle w:val="Hyperlink"/>
            <w:noProof/>
            <w:rtl/>
          </w:rPr>
          <w:t xml:space="preserve"> </w:t>
        </w:r>
        <w:r w:rsidRPr="00694193">
          <w:rPr>
            <w:rStyle w:val="Hyperlink"/>
            <w:rFonts w:hint="eastAsia"/>
            <w:noProof/>
            <w:rtl/>
          </w:rPr>
          <w:t>مکرِه</w:t>
        </w:r>
        <w:r w:rsidRPr="00694193">
          <w:rPr>
            <w:rStyle w:val="Hyperlink"/>
            <w:noProof/>
            <w:rtl/>
          </w:rPr>
          <w:t xml:space="preserve"> </w:t>
        </w:r>
        <w:r w:rsidRPr="00694193">
          <w:rPr>
            <w:rStyle w:val="Hyperlink"/>
            <w:rFonts w:hint="eastAsia"/>
            <w:noProof/>
            <w:rtl/>
          </w:rPr>
          <w:t>با</w:t>
        </w:r>
        <w:r w:rsidRPr="00694193">
          <w:rPr>
            <w:rStyle w:val="Hyperlink"/>
            <w:noProof/>
            <w:rtl/>
          </w:rPr>
          <w:t xml:space="preserve"> </w:t>
        </w:r>
        <w:r w:rsidRPr="00694193">
          <w:rPr>
            <w:rStyle w:val="Hyperlink"/>
            <w:rFonts w:hint="eastAsia"/>
            <w:noProof/>
            <w:rtl/>
          </w:rPr>
          <w:t>وجود</w:t>
        </w:r>
        <w:r w:rsidRPr="00694193">
          <w:rPr>
            <w:rStyle w:val="Hyperlink"/>
            <w:noProof/>
            <w:rtl/>
          </w:rPr>
          <w:t xml:space="preserve"> </w:t>
        </w:r>
        <w:r w:rsidRPr="00694193">
          <w:rPr>
            <w:rStyle w:val="Hyperlink"/>
            <w:rFonts w:hint="eastAsia"/>
            <w:noProof/>
            <w:rtl/>
          </w:rPr>
          <w:t>عدم</w:t>
        </w:r>
        <w:r w:rsidRPr="00694193">
          <w:rPr>
            <w:rStyle w:val="Hyperlink"/>
            <w:noProof/>
            <w:rtl/>
          </w:rPr>
          <w:t xml:space="preserve"> </w:t>
        </w:r>
        <w:r w:rsidRPr="00694193">
          <w:rPr>
            <w:rStyle w:val="Hyperlink"/>
            <w:rFonts w:hint="eastAsia"/>
            <w:noProof/>
            <w:rtl/>
          </w:rPr>
          <w:t>استناد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504485633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52544D" w:rsidRDefault="0052544D" w:rsidP="0052544D">
      <w:pPr>
        <w:pStyle w:val="TOC7"/>
        <w:tabs>
          <w:tab w:val="right" w:leader="dot" w:pos="10194"/>
        </w:tabs>
        <w:rPr>
          <w:rFonts w:asciiTheme="minorHAnsi" w:eastAsiaTheme="minorEastAsia" w:hAnsiTheme="minorHAnsi" w:cstheme="minorBidi"/>
          <w:bCs w:val="0"/>
          <w:noProof/>
          <w:color w:val="auto"/>
          <w:szCs w:val="22"/>
          <w:rtl/>
        </w:rPr>
      </w:pPr>
      <w:hyperlink w:anchor="_Toc504485634" w:history="1">
        <w:r w:rsidRPr="00694193">
          <w:rPr>
            <w:rStyle w:val="Hyperlink"/>
            <w:rFonts w:hint="eastAsia"/>
            <w:noProof/>
            <w:rtl/>
          </w:rPr>
          <w:t>تأ</w:t>
        </w:r>
        <w:r w:rsidRPr="00694193">
          <w:rPr>
            <w:rStyle w:val="Hyperlink"/>
            <w:rFonts w:hint="cs"/>
            <w:noProof/>
            <w:rtl/>
          </w:rPr>
          <w:t>یی</w:t>
        </w:r>
        <w:r w:rsidRPr="00694193">
          <w:rPr>
            <w:rStyle w:val="Hyperlink"/>
            <w:rFonts w:hint="eastAsia"/>
            <w:noProof/>
            <w:rtl/>
          </w:rPr>
          <w:t>د</w:t>
        </w:r>
        <w:r w:rsidRPr="00694193">
          <w:rPr>
            <w:rStyle w:val="Hyperlink"/>
            <w:noProof/>
            <w:rtl/>
          </w:rPr>
          <w:t xml:space="preserve"> </w:t>
        </w:r>
        <w:r w:rsidRPr="00694193">
          <w:rPr>
            <w:rStyle w:val="Hyperlink"/>
            <w:rFonts w:hint="eastAsia"/>
            <w:noProof/>
            <w:rtl/>
          </w:rPr>
          <w:t>روا</w:t>
        </w:r>
        <w:r w:rsidRPr="00694193">
          <w:rPr>
            <w:rStyle w:val="Hyperlink"/>
            <w:rFonts w:hint="cs"/>
            <w:noProof/>
            <w:rtl/>
          </w:rPr>
          <w:t>ی</w:t>
        </w:r>
        <w:r w:rsidRPr="00694193">
          <w:rPr>
            <w:rStyle w:val="Hyperlink"/>
            <w:rFonts w:hint="eastAsia"/>
            <w:noProof/>
            <w:rtl/>
          </w:rPr>
          <w:t>ت</w:t>
        </w:r>
        <w:r w:rsidRPr="00694193">
          <w:rPr>
            <w:rStyle w:val="Hyperlink"/>
            <w:noProof/>
            <w:rtl/>
          </w:rPr>
          <w:t xml:space="preserve"> </w:t>
        </w:r>
        <w:r w:rsidRPr="00694193">
          <w:rPr>
            <w:rStyle w:val="Hyperlink"/>
            <w:rFonts w:hint="eastAsia"/>
            <w:noProof/>
            <w:rtl/>
          </w:rPr>
          <w:t>نسبت</w:t>
        </w:r>
        <w:r w:rsidRPr="00694193">
          <w:rPr>
            <w:rStyle w:val="Hyperlink"/>
            <w:noProof/>
            <w:rtl/>
          </w:rPr>
          <w:t xml:space="preserve"> </w:t>
        </w:r>
        <w:r w:rsidRPr="00694193">
          <w:rPr>
            <w:rStyle w:val="Hyperlink"/>
            <w:rFonts w:hint="eastAsia"/>
            <w:noProof/>
            <w:rtl/>
          </w:rPr>
          <w:t>به</w:t>
        </w:r>
        <w:r w:rsidRPr="00694193">
          <w:rPr>
            <w:rStyle w:val="Hyperlink"/>
            <w:noProof/>
            <w:rtl/>
          </w:rPr>
          <w:t xml:space="preserve"> </w:t>
        </w:r>
        <w:r w:rsidRPr="00694193">
          <w:rPr>
            <w:rStyle w:val="Hyperlink"/>
            <w:rFonts w:hint="eastAsia"/>
            <w:noProof/>
            <w:rtl/>
          </w:rPr>
          <w:t>تحقق</w:t>
        </w:r>
        <w:r w:rsidRPr="00694193">
          <w:rPr>
            <w:rStyle w:val="Hyperlink"/>
            <w:noProof/>
            <w:rtl/>
          </w:rPr>
          <w:t xml:space="preserve"> </w:t>
        </w:r>
        <w:r w:rsidRPr="00694193">
          <w:rPr>
            <w:rStyle w:val="Hyperlink"/>
            <w:rFonts w:hint="eastAsia"/>
            <w:noProof/>
            <w:rtl/>
          </w:rPr>
          <w:t>استناد</w:t>
        </w:r>
        <w:r w:rsidRPr="00694193">
          <w:rPr>
            <w:rStyle w:val="Hyperlink"/>
            <w:noProof/>
            <w:rtl/>
          </w:rPr>
          <w:t xml:space="preserve"> </w:t>
        </w:r>
        <w:r w:rsidRPr="00694193">
          <w:rPr>
            <w:rStyle w:val="Hyperlink"/>
            <w:rFonts w:hint="eastAsia"/>
            <w:noProof/>
            <w:rtl/>
          </w:rPr>
          <w:t>در</w:t>
        </w:r>
        <w:r w:rsidRPr="00694193">
          <w:rPr>
            <w:rStyle w:val="Hyperlink"/>
            <w:noProof/>
            <w:rtl/>
          </w:rPr>
          <w:t xml:space="preserve"> </w:t>
        </w:r>
        <w:r w:rsidRPr="00694193">
          <w:rPr>
            <w:rStyle w:val="Hyperlink"/>
            <w:rFonts w:hint="eastAsia"/>
            <w:noProof/>
            <w:rtl/>
          </w:rPr>
          <w:t>ناح</w:t>
        </w:r>
        <w:r w:rsidRPr="00694193">
          <w:rPr>
            <w:rStyle w:val="Hyperlink"/>
            <w:rFonts w:hint="cs"/>
            <w:noProof/>
            <w:rtl/>
          </w:rPr>
          <w:t>ی</w:t>
        </w:r>
        <w:r w:rsidRPr="00694193">
          <w:rPr>
            <w:rStyle w:val="Hyperlink"/>
            <w:rFonts w:hint="eastAsia"/>
            <w:noProof/>
            <w:rtl/>
          </w:rPr>
          <w:t>ه</w:t>
        </w:r>
        <w:r w:rsidRPr="00694193">
          <w:rPr>
            <w:rStyle w:val="Hyperlink"/>
            <w:noProof/>
            <w:rtl/>
          </w:rPr>
          <w:t xml:space="preserve"> </w:t>
        </w:r>
        <w:r w:rsidRPr="00694193">
          <w:rPr>
            <w:rStyle w:val="Hyperlink"/>
            <w:rFonts w:hint="eastAsia"/>
            <w:noProof/>
            <w:rtl/>
          </w:rPr>
          <w:t>مکرِه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504485634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C91EB6" w:rsidRPr="00C91EB6" w:rsidRDefault="0052544D" w:rsidP="00C91EB6">
      <w:r>
        <w:rPr>
          <w:bCs/>
          <w:noProof/>
          <w:webHidden/>
          <w:color w:val="632423" w:themeColor="accent2" w:themeShade="80"/>
          <w:szCs w:val="24"/>
          <w:rtl/>
        </w:rPr>
        <w:fldChar w:fldCharType="end"/>
      </w:r>
      <w:bookmarkStart w:id="0" w:name="_GoBack"/>
      <w:bookmarkEnd w:id="0"/>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1" w:name="BokSabj2_d"/>
      <w:bookmarkEnd w:id="1"/>
      <w:r w:rsidR="00CC7997">
        <w:rPr>
          <w:rFonts w:hint="cs"/>
          <w:rtl/>
        </w:rPr>
        <w:t>قتل</w:t>
      </w:r>
      <w:r w:rsidR="00CC7997">
        <w:rPr>
          <w:rtl/>
        </w:rPr>
        <w:t xml:space="preserve"> </w:t>
      </w:r>
      <w:r w:rsidR="00CC7997">
        <w:rPr>
          <w:rFonts w:hint="cs"/>
          <w:rtl/>
        </w:rPr>
        <w:t>به</w:t>
      </w:r>
      <w:r w:rsidR="00CC7997">
        <w:rPr>
          <w:rtl/>
        </w:rPr>
        <w:t xml:space="preserve"> </w:t>
      </w:r>
      <w:r w:rsidR="00CC7997">
        <w:rPr>
          <w:rFonts w:hint="cs"/>
          <w:rtl/>
        </w:rPr>
        <w:t>تسبیب</w:t>
      </w:r>
      <w:r w:rsidR="00CC7997">
        <w:rPr>
          <w:rtl/>
        </w:rPr>
        <w:t>/</w:t>
      </w:r>
      <w:r w:rsidR="00CC7997">
        <w:rPr>
          <w:rFonts w:hint="cs"/>
          <w:rtl/>
        </w:rPr>
        <w:t>مراتب</w:t>
      </w:r>
      <w:r w:rsidR="00CC7997">
        <w:rPr>
          <w:rtl/>
        </w:rPr>
        <w:t xml:space="preserve"> </w:t>
      </w:r>
      <w:r w:rsidR="00CC7997">
        <w:rPr>
          <w:rFonts w:hint="cs"/>
          <w:rtl/>
        </w:rPr>
        <w:t>تسبیب</w:t>
      </w:r>
      <w:r w:rsidR="00CC7997">
        <w:rPr>
          <w:rtl/>
        </w:rPr>
        <w:t>/</w:t>
      </w:r>
      <w:r w:rsidR="00CC7997">
        <w:rPr>
          <w:rFonts w:hint="cs"/>
          <w:rtl/>
        </w:rPr>
        <w:t>مرتبه</w:t>
      </w:r>
      <w:r w:rsidR="00CC7997">
        <w:rPr>
          <w:rtl/>
        </w:rPr>
        <w:t xml:space="preserve"> </w:t>
      </w:r>
      <w:r w:rsidR="00CC7997">
        <w:rPr>
          <w:rFonts w:hint="cs"/>
          <w:rtl/>
        </w:rPr>
        <w:t>چهارم</w:t>
      </w:r>
      <w:r w:rsidR="00CC7997">
        <w:rPr>
          <w:rtl/>
        </w:rPr>
        <w:t>/</w:t>
      </w:r>
      <w:r w:rsidR="00CC7997">
        <w:rPr>
          <w:rFonts w:hint="cs"/>
          <w:rtl/>
        </w:rPr>
        <w:t>صورت</w:t>
      </w:r>
      <w:r w:rsidR="00CC7997">
        <w:rPr>
          <w:rtl/>
        </w:rPr>
        <w:t xml:space="preserve"> </w:t>
      </w:r>
      <w:r w:rsidR="00CC7997">
        <w:rPr>
          <w:rFonts w:hint="cs"/>
          <w:rtl/>
        </w:rPr>
        <w:t>سوم</w:t>
      </w:r>
      <w:r w:rsidR="00CC7997">
        <w:rPr>
          <w:rtl/>
        </w:rPr>
        <w:t>/</w:t>
      </w:r>
      <w:r w:rsidR="00CC7997">
        <w:rPr>
          <w:rFonts w:hint="cs"/>
          <w:rtl/>
        </w:rPr>
        <w:t>اکراه</w:t>
      </w:r>
      <w:r w:rsidR="00CC7997">
        <w:rPr>
          <w:rtl/>
        </w:rPr>
        <w:t xml:space="preserve"> </w:t>
      </w:r>
      <w:r w:rsidR="00CC7997">
        <w:rPr>
          <w:rFonts w:hint="cs"/>
          <w:rtl/>
        </w:rPr>
        <w:t>بر</w:t>
      </w:r>
      <w:r w:rsidR="00CC7997">
        <w:rPr>
          <w:rtl/>
        </w:rPr>
        <w:t xml:space="preserve"> </w:t>
      </w:r>
      <w:r w:rsidR="00CC7997">
        <w:rPr>
          <w:rFonts w:hint="cs"/>
          <w:rtl/>
        </w:rPr>
        <w:t>طرف</w:t>
      </w:r>
      <w:r w:rsidR="00025B70">
        <w:rPr>
          <w:rFonts w:hint="cs"/>
          <w:rtl/>
        </w:rPr>
        <w:t xml:space="preserve"> </w:t>
      </w:r>
      <w:r w:rsidR="00386C11" w:rsidRPr="00A6366F">
        <w:rPr>
          <w:rFonts w:hint="cs"/>
          <w:rtl/>
        </w:rPr>
        <w:t>/</w:t>
      </w:r>
      <w:bookmarkStart w:id="2" w:name="BokSabj_d"/>
      <w:bookmarkEnd w:id="2"/>
      <w:r w:rsidR="00CC7997">
        <w:rPr>
          <w:rFonts w:hint="cs"/>
          <w:rtl/>
        </w:rPr>
        <w:t>قتل</w:t>
      </w:r>
      <w:r w:rsidR="00CC7997">
        <w:rPr>
          <w:rtl/>
        </w:rPr>
        <w:t xml:space="preserve"> </w:t>
      </w:r>
      <w:r w:rsidR="00CC7997">
        <w:rPr>
          <w:rFonts w:hint="cs"/>
          <w:rtl/>
        </w:rPr>
        <w:t>عمد</w:t>
      </w:r>
      <w:r w:rsidR="00386C11" w:rsidRPr="00A6366F">
        <w:rPr>
          <w:rFonts w:hint="cs"/>
          <w:rtl/>
        </w:rPr>
        <w:t xml:space="preserve"> /</w:t>
      </w:r>
      <w:bookmarkStart w:id="3" w:name="Bokkolli"/>
      <w:bookmarkEnd w:id="3"/>
      <w:r w:rsidR="00CC7997">
        <w:rPr>
          <w:rFonts w:hint="cs"/>
          <w:rtl/>
        </w:rPr>
        <w:t>کتاب</w:t>
      </w:r>
      <w:r w:rsidR="00CC7997">
        <w:rPr>
          <w:rtl/>
        </w:rPr>
        <w:t xml:space="preserve"> </w:t>
      </w:r>
      <w:r w:rsidR="00CC7997">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D83214" w:rsidRDefault="00D83214" w:rsidP="00D83214">
      <w:pPr>
        <w:pBdr>
          <w:bottom w:val="double" w:sz="6" w:space="1" w:color="auto"/>
        </w:pBdr>
        <w:rPr>
          <w:rtl/>
        </w:rPr>
      </w:pPr>
      <w:r>
        <w:rPr>
          <w:rFonts w:hint="cs"/>
          <w:rtl/>
        </w:rPr>
        <w:t>بحث در ادامه بیان صور و موارد مرتبه چهارم تسبیب به قتل بود، که بعد از فرض اکراه بر قتل در راستای تکمیل سایر فروض اکراه به فرض اکراه بر طرف رسید.</w:t>
      </w:r>
      <w:bookmarkStart w:id="4" w:name="_Toc504484943"/>
    </w:p>
    <w:p w:rsidR="00D83214" w:rsidRPr="00D83214" w:rsidRDefault="00D83214" w:rsidP="00D83214">
      <w:pPr>
        <w:rPr>
          <w:rtl/>
        </w:rPr>
      </w:pPr>
      <w:r>
        <w:rPr>
          <w:rFonts w:hint="cs"/>
          <w:rtl/>
        </w:rPr>
        <w:t>همان طور که بیان شد، مرحوم آقای خویی ره و مرحوم علامه قدس سره، در مسأله اکراه بر جنایت دون القتل با وعید قتل، بر خلاف مشهور، قائل به عدم قصاص مکرِه شده اند، با این تفاوت که مرحوم علامه ره دیه را متوجه این مکرِه دانسته است،</w:t>
      </w:r>
      <w:r w:rsidR="009B5809">
        <w:rPr>
          <w:rStyle w:val="FootnoteReference"/>
          <w:rtl/>
        </w:rPr>
        <w:footnoteReference w:id="1"/>
      </w:r>
      <w:r>
        <w:rPr>
          <w:rFonts w:hint="cs"/>
          <w:rtl/>
        </w:rPr>
        <w:t xml:space="preserve"> در حالی که مرحوم آقای خویی قدس سره دیه را هم بر مکرِه ثابت نمی داند و مکرَه را مسئول پرداخت و محل رجوع مجنی علیه برای دریافت دیه دانسته است، بدون این که حقی برای مکرَه در رجوع به مکرِه قائل شده باشد.</w:t>
      </w:r>
      <w:r w:rsidR="009B5809">
        <w:rPr>
          <w:rStyle w:val="FootnoteReference"/>
          <w:rtl/>
        </w:rPr>
        <w:footnoteReference w:id="2"/>
      </w:r>
      <w:r>
        <w:rPr>
          <w:rFonts w:hint="cs"/>
          <w:rtl/>
        </w:rPr>
        <w:t xml:space="preserve">   </w:t>
      </w:r>
    </w:p>
    <w:p w:rsidR="004826FB" w:rsidRPr="004826FB" w:rsidRDefault="00CD0AAB" w:rsidP="00787090">
      <w:pPr>
        <w:pStyle w:val="Heading8"/>
        <w:rPr>
          <w:rFonts w:ascii="IRNazanin" w:hAnsi="IRNazanin" w:cs="IRNazanin"/>
        </w:rPr>
      </w:pPr>
      <w:bookmarkStart w:id="5" w:name="_Toc504485630"/>
      <w:r>
        <w:rPr>
          <w:rFonts w:hint="cs"/>
          <w:rtl/>
        </w:rPr>
        <w:t>تخطی مبنا از مرحوم آقای خویی ره</w:t>
      </w:r>
      <w:bookmarkEnd w:id="4"/>
      <w:bookmarkEnd w:id="5"/>
      <w:r>
        <w:rPr>
          <w:rFonts w:hint="cs"/>
          <w:rtl/>
        </w:rPr>
        <w:t xml:space="preserve"> </w:t>
      </w:r>
      <w:r w:rsidR="004826FB" w:rsidRPr="004826FB">
        <w:rPr>
          <w:rFonts w:cs="Cambria" w:hint="cs"/>
          <w:rtl/>
        </w:rPr>
        <w:t> </w:t>
      </w:r>
    </w:p>
    <w:p w:rsidR="004826FB" w:rsidRPr="004826FB" w:rsidRDefault="004826FB" w:rsidP="00D83214">
      <w:pPr>
        <w:rPr>
          <w:rtl/>
        </w:rPr>
      </w:pPr>
      <w:r w:rsidRPr="004826FB">
        <w:rPr>
          <w:rtl/>
        </w:rPr>
        <w:t xml:space="preserve">فرمایش مرحوم </w:t>
      </w:r>
      <w:r w:rsidR="00D83214">
        <w:rPr>
          <w:rFonts w:hint="cs"/>
          <w:rtl/>
        </w:rPr>
        <w:t xml:space="preserve">آقای </w:t>
      </w:r>
      <w:r w:rsidRPr="004826FB">
        <w:rPr>
          <w:rtl/>
        </w:rPr>
        <w:t xml:space="preserve">خویی </w:t>
      </w:r>
      <w:r w:rsidR="00D83214">
        <w:rPr>
          <w:rFonts w:hint="cs"/>
          <w:rtl/>
        </w:rPr>
        <w:t xml:space="preserve">ره </w:t>
      </w:r>
      <w:r w:rsidRPr="004826FB">
        <w:rPr>
          <w:rtl/>
        </w:rPr>
        <w:t xml:space="preserve">در </w:t>
      </w:r>
      <w:r w:rsidR="00D83214">
        <w:rPr>
          <w:rFonts w:hint="cs"/>
          <w:rtl/>
        </w:rPr>
        <w:t xml:space="preserve">کتاب القصاص منهاج </w:t>
      </w:r>
      <w:r w:rsidR="00B3737E">
        <w:rPr>
          <w:rFonts w:hint="cs"/>
          <w:rtl/>
        </w:rPr>
        <w:t xml:space="preserve">که قائل به ثبوت دیه بر مکرَه شده است؛ </w:t>
      </w:r>
      <w:r w:rsidRPr="004826FB">
        <w:rPr>
          <w:rtl/>
        </w:rPr>
        <w:t xml:space="preserve">با گفته ایشان در مکاسب </w:t>
      </w:r>
      <w:r w:rsidR="00B3737E">
        <w:rPr>
          <w:rFonts w:hint="cs"/>
          <w:rtl/>
        </w:rPr>
        <w:t xml:space="preserve">و در بحث فضولی که به مناسبتی متعرض مسأله تعاقب ایدی شده است؛ </w:t>
      </w:r>
      <w:r w:rsidRPr="004826FB">
        <w:rPr>
          <w:rtl/>
        </w:rPr>
        <w:t>متفاوت است و</w:t>
      </w:r>
      <w:r>
        <w:rPr>
          <w:rFonts w:hint="cs"/>
          <w:rtl/>
        </w:rPr>
        <w:t xml:space="preserve"> </w:t>
      </w:r>
      <w:r w:rsidRPr="004826FB">
        <w:rPr>
          <w:rtl/>
        </w:rPr>
        <w:t xml:space="preserve">شاید این </w:t>
      </w:r>
      <w:r w:rsidR="00B3737E">
        <w:rPr>
          <w:rFonts w:hint="cs"/>
          <w:rtl/>
        </w:rPr>
        <w:t xml:space="preserve">تنافی و به نوعی غفلت از قاعده که در منهاج روی داده است؛ </w:t>
      </w:r>
      <w:r w:rsidRPr="004826FB">
        <w:rPr>
          <w:rtl/>
        </w:rPr>
        <w:t>از باب تسرع</w:t>
      </w:r>
      <w:r>
        <w:rPr>
          <w:rFonts w:hint="cs"/>
          <w:rtl/>
        </w:rPr>
        <w:t xml:space="preserve">ی </w:t>
      </w:r>
      <w:r w:rsidR="00B3737E">
        <w:rPr>
          <w:rFonts w:hint="cs"/>
          <w:rtl/>
        </w:rPr>
        <w:t>باشد</w:t>
      </w:r>
      <w:r>
        <w:rPr>
          <w:rFonts w:hint="cs"/>
          <w:rtl/>
        </w:rPr>
        <w:t xml:space="preserve"> که </w:t>
      </w:r>
      <w:r w:rsidR="00B3737E">
        <w:rPr>
          <w:rFonts w:hint="cs"/>
          <w:rtl/>
        </w:rPr>
        <w:t xml:space="preserve">در منهاج </w:t>
      </w:r>
      <w:r>
        <w:rPr>
          <w:rFonts w:hint="cs"/>
          <w:rtl/>
        </w:rPr>
        <w:t>به نظر</w:t>
      </w:r>
      <w:r w:rsidR="00B3737E">
        <w:rPr>
          <w:rFonts w:hint="cs"/>
          <w:rtl/>
        </w:rPr>
        <w:t xml:space="preserve"> می رسد.</w:t>
      </w:r>
      <w:r w:rsidR="00FD6C3D">
        <w:rPr>
          <w:rStyle w:val="FootnoteReference"/>
          <w:rtl/>
        </w:rPr>
        <w:footnoteReference w:id="3"/>
      </w:r>
    </w:p>
    <w:p w:rsidR="004826FB" w:rsidRPr="004826FB" w:rsidRDefault="00581CB3" w:rsidP="009418CE">
      <w:pPr>
        <w:rPr>
          <w:rtl/>
        </w:rPr>
      </w:pPr>
      <w:r>
        <w:rPr>
          <w:rFonts w:hint="cs"/>
          <w:rtl/>
        </w:rPr>
        <w:t xml:space="preserve">بر اساس این فرض که در مقام، نوبت به پرداخت دیه برسد، کما این که مرحوم علامه ره و مرحوم آقای خویی ره قائل به آن شده است؛ منتهی با این تفاوت که مرحوم آقای خویی ره دیه را بر عهده مکرَه دانسته است بر خلاف مرحوم علامه قدس سره </w:t>
      </w:r>
      <w:r>
        <w:rPr>
          <w:rFonts w:hint="cs"/>
          <w:rtl/>
        </w:rPr>
        <w:lastRenderedPageBreak/>
        <w:t>که دیه را ب</w:t>
      </w:r>
      <w:r w:rsidR="009418CE">
        <w:rPr>
          <w:rFonts w:hint="cs"/>
          <w:rtl/>
        </w:rPr>
        <w:t>ر عهده مکرِه می داند، یا این که دیه از باب اختیار مجنی علیه باشد که بر اساس قول به تخییر بین طلب قصاص یا دیه (کما هو الحق)، مقتضای آن جواز طلب دیه است؛ نوبت به دیه رسیده است. بنابراین، در طلب به دیه یا باید قائل به تخییر بین رجوع به سبب یا مباشر شد و یا این که رجوع به مباشر تعین دارد منتهی خود مباشر می تواند به سبب رجوع کند؛ چرا که استقرار ضمان بر سبب است، اما قول به تعین رجوع به مباشر بدون این که مباشر حق رجوع داشته باشد که در کلام مرحوم آقای خویی ره در منهاج مطرح شده است، با</w:t>
      </w:r>
      <w:r w:rsidR="004826FB" w:rsidRPr="004826FB">
        <w:rPr>
          <w:rtl/>
        </w:rPr>
        <w:t xml:space="preserve"> هیچ یک از قواعد و کلیات سازگاری ندارد.</w:t>
      </w:r>
    </w:p>
    <w:p w:rsidR="00FD6C3D" w:rsidRDefault="00FD6C3D" w:rsidP="00787090">
      <w:pPr>
        <w:pStyle w:val="Heading9"/>
        <w:rPr>
          <w:rtl/>
        </w:rPr>
      </w:pPr>
      <w:bookmarkStart w:id="6" w:name="_Toc504484944"/>
      <w:bookmarkStart w:id="7" w:name="_Toc504485631"/>
      <w:r>
        <w:rPr>
          <w:rFonts w:hint="cs"/>
          <w:rtl/>
        </w:rPr>
        <w:t>قاعده تعاقب ایدی</w:t>
      </w:r>
      <w:bookmarkEnd w:id="6"/>
      <w:bookmarkEnd w:id="7"/>
    </w:p>
    <w:p w:rsidR="00FD6C3D" w:rsidRDefault="00FD6C3D" w:rsidP="00FD6C3D">
      <w:pPr>
        <w:rPr>
          <w:rtl/>
        </w:rPr>
      </w:pPr>
      <w:r>
        <w:rPr>
          <w:rFonts w:hint="cs"/>
          <w:rtl/>
        </w:rPr>
        <w:t xml:space="preserve">در موارد تلف مال غیر، قاعده مقتضی رجوع مالک به </w:t>
      </w:r>
      <w:r w:rsidR="004826FB" w:rsidRPr="004826FB">
        <w:rPr>
          <w:rtl/>
        </w:rPr>
        <w:t xml:space="preserve">مباشر </w:t>
      </w:r>
      <w:r>
        <w:rPr>
          <w:rFonts w:hint="cs"/>
          <w:rtl/>
        </w:rPr>
        <w:t xml:space="preserve">و متلف است </w:t>
      </w:r>
      <w:r w:rsidR="004826FB" w:rsidRPr="004826FB">
        <w:rPr>
          <w:rtl/>
        </w:rPr>
        <w:t xml:space="preserve">و </w:t>
      </w:r>
      <w:r>
        <w:rPr>
          <w:rFonts w:hint="cs"/>
          <w:rtl/>
        </w:rPr>
        <w:t xml:space="preserve">در صورتی که اتلاف این متلف، مسبب از دیگری باشد، </w:t>
      </w:r>
      <w:r w:rsidR="004826FB" w:rsidRPr="004826FB">
        <w:rPr>
          <w:rtl/>
        </w:rPr>
        <w:t>با توجه به این که متلف در این خسارت از ناحیه غیر</w:t>
      </w:r>
      <w:r>
        <w:rPr>
          <w:rFonts w:hint="cs"/>
          <w:rtl/>
        </w:rPr>
        <w:t>،</w:t>
      </w:r>
      <w:r w:rsidR="004826FB" w:rsidRPr="004826FB">
        <w:rPr>
          <w:rtl/>
        </w:rPr>
        <w:t xml:space="preserve"> مغرور است</w:t>
      </w:r>
      <w:r>
        <w:rPr>
          <w:rFonts w:hint="cs"/>
          <w:rtl/>
        </w:rPr>
        <w:t>،</w:t>
      </w:r>
      <w:r w:rsidR="004826FB" w:rsidRPr="004826FB">
        <w:rPr>
          <w:rtl/>
        </w:rPr>
        <w:t xml:space="preserve"> </w:t>
      </w:r>
      <w:r>
        <w:rPr>
          <w:rFonts w:hint="cs"/>
          <w:rtl/>
        </w:rPr>
        <w:t>وی حق رجوع به این سبب غار را دارد.</w:t>
      </w:r>
    </w:p>
    <w:p w:rsidR="004826FB" w:rsidRPr="004826FB" w:rsidRDefault="004826FB" w:rsidP="00D11F90">
      <w:pPr>
        <w:rPr>
          <w:rtl/>
        </w:rPr>
      </w:pPr>
      <w:r w:rsidRPr="004826FB">
        <w:rPr>
          <w:rtl/>
        </w:rPr>
        <w:t xml:space="preserve">البته </w:t>
      </w:r>
      <w:r w:rsidR="00FD6C3D">
        <w:rPr>
          <w:rFonts w:hint="cs"/>
          <w:rtl/>
        </w:rPr>
        <w:t xml:space="preserve">مراد از </w:t>
      </w:r>
      <w:r w:rsidRPr="004826FB">
        <w:rPr>
          <w:rtl/>
        </w:rPr>
        <w:t xml:space="preserve">غرور </w:t>
      </w:r>
      <w:r w:rsidR="00FD6C3D">
        <w:rPr>
          <w:rFonts w:hint="cs"/>
          <w:rtl/>
        </w:rPr>
        <w:t>در اینجا، معنای لغوی آن نیست،</w:t>
      </w:r>
      <w:r w:rsidRPr="004826FB">
        <w:rPr>
          <w:rtl/>
        </w:rPr>
        <w:t xml:space="preserve"> بلکه مراد </w:t>
      </w:r>
      <w:r w:rsidR="00FD6C3D">
        <w:rPr>
          <w:rFonts w:hint="cs"/>
          <w:rtl/>
        </w:rPr>
        <w:t xml:space="preserve">از آن این است که </w:t>
      </w:r>
      <w:r w:rsidRPr="004826FB">
        <w:rPr>
          <w:rtl/>
        </w:rPr>
        <w:t>تسبیب به خسارت</w:t>
      </w:r>
      <w:r w:rsidR="00FD6C3D">
        <w:rPr>
          <w:rFonts w:hint="cs"/>
          <w:rtl/>
        </w:rPr>
        <w:t>،</w:t>
      </w:r>
      <w:r w:rsidRPr="004826FB">
        <w:rPr>
          <w:rtl/>
        </w:rPr>
        <w:t xml:space="preserve"> موجب ضمانت می شود</w:t>
      </w:r>
      <w:r w:rsidR="00FD6C3D">
        <w:rPr>
          <w:rFonts w:hint="cs"/>
          <w:rtl/>
        </w:rPr>
        <w:t>.</w:t>
      </w:r>
      <w:r w:rsidRPr="004826FB">
        <w:rPr>
          <w:rtl/>
        </w:rPr>
        <w:t xml:space="preserve">  در مسأله تعاقب ایدی در کلام فقها</w:t>
      </w:r>
      <w:r w:rsidR="00FD6C3D">
        <w:rPr>
          <w:rFonts w:hint="cs"/>
          <w:rtl/>
        </w:rPr>
        <w:t>ی مختلف این مسأله مطرح شده است</w:t>
      </w:r>
      <w:r w:rsidRPr="004826FB">
        <w:rPr>
          <w:rtl/>
        </w:rPr>
        <w:t xml:space="preserve">؛ به این بیان که اگر </w:t>
      </w:r>
      <w:r w:rsidR="00D11F90">
        <w:rPr>
          <w:rFonts w:hint="cs"/>
          <w:rtl/>
        </w:rPr>
        <w:t xml:space="preserve">تالف </w:t>
      </w:r>
      <w:r w:rsidRPr="004826FB">
        <w:rPr>
          <w:rtl/>
        </w:rPr>
        <w:t xml:space="preserve">در دست یکی از ایادی </w:t>
      </w:r>
      <w:r w:rsidR="00D11F90">
        <w:rPr>
          <w:rFonts w:hint="cs"/>
          <w:rtl/>
        </w:rPr>
        <w:t xml:space="preserve">که تالف تحت اختیار آن ها بوده است، </w:t>
      </w:r>
      <w:r w:rsidRPr="004826FB">
        <w:rPr>
          <w:rtl/>
        </w:rPr>
        <w:t xml:space="preserve">تلف شود، مالک مخیر است که به هر کدام </w:t>
      </w:r>
      <w:r w:rsidR="00D11F90">
        <w:rPr>
          <w:rFonts w:hint="cs"/>
          <w:rtl/>
        </w:rPr>
        <w:t xml:space="preserve">از این ایادی </w:t>
      </w:r>
      <w:r w:rsidRPr="004826FB">
        <w:rPr>
          <w:rtl/>
        </w:rPr>
        <w:t>رجوع کند</w:t>
      </w:r>
      <w:r w:rsidR="00D11F90">
        <w:rPr>
          <w:rFonts w:hint="cs"/>
          <w:rtl/>
        </w:rPr>
        <w:t>؛ «</w:t>
      </w:r>
      <w:r w:rsidRPr="004826FB">
        <w:rPr>
          <w:rtl/>
        </w:rPr>
        <w:t>علی الید ما اخذت حتی تودی</w:t>
      </w:r>
      <w:r w:rsidR="00D11F90">
        <w:rPr>
          <w:rFonts w:hint="cs"/>
          <w:rtl/>
        </w:rPr>
        <w:t>»،</w:t>
      </w:r>
      <w:r w:rsidRPr="004826FB">
        <w:rPr>
          <w:rtl/>
        </w:rPr>
        <w:t xml:space="preserve"> منتهی اگر </w:t>
      </w:r>
      <w:r w:rsidR="00D11F90">
        <w:rPr>
          <w:rFonts w:hint="cs"/>
          <w:rtl/>
        </w:rPr>
        <w:t xml:space="preserve">مالک </w:t>
      </w:r>
      <w:r w:rsidR="00D11F90">
        <w:rPr>
          <w:rtl/>
        </w:rPr>
        <w:t>به شخص</w:t>
      </w:r>
      <w:r w:rsidR="00D11F90">
        <w:rPr>
          <w:rFonts w:hint="cs"/>
          <w:rtl/>
        </w:rPr>
        <w:t xml:space="preserve"> متلفی که</w:t>
      </w:r>
      <w:r w:rsidRPr="004826FB">
        <w:rPr>
          <w:rtl/>
        </w:rPr>
        <w:t xml:space="preserve"> </w:t>
      </w:r>
      <w:r w:rsidR="00D11F90">
        <w:rPr>
          <w:rFonts w:hint="cs"/>
          <w:rtl/>
        </w:rPr>
        <w:t xml:space="preserve">تالف </w:t>
      </w:r>
      <w:r w:rsidRPr="004826FB">
        <w:rPr>
          <w:rtl/>
        </w:rPr>
        <w:t xml:space="preserve">در دستش تلف شده </w:t>
      </w:r>
      <w:r w:rsidR="00D11F90">
        <w:rPr>
          <w:rFonts w:hint="cs"/>
          <w:rtl/>
        </w:rPr>
        <w:t>است، رجوع کند؛</w:t>
      </w:r>
      <w:r w:rsidRPr="004826FB">
        <w:rPr>
          <w:rtl/>
        </w:rPr>
        <w:t xml:space="preserve"> </w:t>
      </w:r>
      <w:r w:rsidR="00D11F90">
        <w:rPr>
          <w:rFonts w:hint="cs"/>
          <w:rtl/>
        </w:rPr>
        <w:t xml:space="preserve">وی </w:t>
      </w:r>
      <w:r w:rsidRPr="004826FB">
        <w:rPr>
          <w:rtl/>
        </w:rPr>
        <w:t>حق رجوع به دیگران</w:t>
      </w:r>
      <w:r w:rsidR="00D11F90">
        <w:rPr>
          <w:rFonts w:hint="cs"/>
          <w:rtl/>
        </w:rPr>
        <w:t xml:space="preserve"> را</w:t>
      </w:r>
      <w:r w:rsidRPr="004826FB">
        <w:rPr>
          <w:rtl/>
        </w:rPr>
        <w:t xml:space="preserve"> ندارد</w:t>
      </w:r>
      <w:r w:rsidR="00D11F90">
        <w:rPr>
          <w:rFonts w:hint="cs"/>
          <w:rtl/>
        </w:rPr>
        <w:t>،</w:t>
      </w:r>
      <w:r w:rsidRPr="004826FB">
        <w:rPr>
          <w:rtl/>
        </w:rPr>
        <w:t xml:space="preserve"> مگر این که </w:t>
      </w:r>
      <w:r w:rsidR="00D11F90">
        <w:rPr>
          <w:rFonts w:hint="cs"/>
          <w:rtl/>
        </w:rPr>
        <w:t xml:space="preserve">در این اتلاف </w:t>
      </w:r>
      <w:r w:rsidRPr="004826FB">
        <w:rPr>
          <w:rtl/>
        </w:rPr>
        <w:t xml:space="preserve">مغرور از دیگری </w:t>
      </w:r>
      <w:r w:rsidR="00D11F90">
        <w:rPr>
          <w:rFonts w:hint="cs"/>
          <w:rtl/>
        </w:rPr>
        <w:t xml:space="preserve">شده </w:t>
      </w:r>
      <w:r w:rsidRPr="004826FB">
        <w:rPr>
          <w:rtl/>
        </w:rPr>
        <w:t>باشد</w:t>
      </w:r>
      <w:r w:rsidR="00D11F90">
        <w:rPr>
          <w:rFonts w:hint="cs"/>
          <w:rtl/>
        </w:rPr>
        <w:t>،</w:t>
      </w:r>
      <w:r w:rsidRPr="004826FB">
        <w:rPr>
          <w:rtl/>
        </w:rPr>
        <w:t xml:space="preserve"> که </w:t>
      </w:r>
      <w:r w:rsidR="00D11F90">
        <w:rPr>
          <w:rFonts w:hint="cs"/>
          <w:rtl/>
        </w:rPr>
        <w:t xml:space="preserve">در این صورت </w:t>
      </w:r>
      <w:r w:rsidRPr="004826FB">
        <w:rPr>
          <w:rtl/>
        </w:rPr>
        <w:t>می توان</w:t>
      </w:r>
      <w:r w:rsidR="00D11F90">
        <w:rPr>
          <w:rFonts w:hint="cs"/>
          <w:rtl/>
        </w:rPr>
        <w:t>د</w:t>
      </w:r>
      <w:r w:rsidRPr="004826FB">
        <w:rPr>
          <w:rtl/>
        </w:rPr>
        <w:t xml:space="preserve"> به غار رجوع کند، اما در صورت</w:t>
      </w:r>
      <w:r w:rsidR="00D11F90">
        <w:rPr>
          <w:rFonts w:hint="cs"/>
          <w:rtl/>
        </w:rPr>
        <w:t xml:space="preserve"> </w:t>
      </w:r>
      <w:r w:rsidRPr="004826FB">
        <w:rPr>
          <w:rtl/>
        </w:rPr>
        <w:t xml:space="preserve"> رجوع </w:t>
      </w:r>
      <w:r w:rsidR="00D11F90">
        <w:rPr>
          <w:rFonts w:hint="cs"/>
          <w:rtl/>
        </w:rPr>
        <w:t xml:space="preserve">مالک </w:t>
      </w:r>
      <w:r w:rsidRPr="004826FB">
        <w:rPr>
          <w:rtl/>
        </w:rPr>
        <w:t>به غیر متلف</w:t>
      </w:r>
      <w:r w:rsidR="00D11F90">
        <w:rPr>
          <w:rFonts w:hint="cs"/>
          <w:rtl/>
        </w:rPr>
        <w:t>،</w:t>
      </w:r>
      <w:r w:rsidRPr="004826FB">
        <w:rPr>
          <w:rtl/>
        </w:rPr>
        <w:t xml:space="preserve"> او حق رجوع بر متلف </w:t>
      </w:r>
      <w:r w:rsidR="00D11F90">
        <w:rPr>
          <w:rFonts w:hint="cs"/>
          <w:rtl/>
        </w:rPr>
        <w:t xml:space="preserve">را </w:t>
      </w:r>
      <w:r w:rsidR="00D11F90">
        <w:rPr>
          <w:rtl/>
        </w:rPr>
        <w:t>دارد</w:t>
      </w:r>
      <w:r w:rsidR="00D11F90">
        <w:rPr>
          <w:rFonts w:hint="cs"/>
          <w:rtl/>
        </w:rPr>
        <w:t xml:space="preserve">؛ چرا که به موجب این فعل و انفعالات، </w:t>
      </w:r>
      <w:r w:rsidRPr="004826FB">
        <w:rPr>
          <w:rtl/>
        </w:rPr>
        <w:t xml:space="preserve">این شخص اعتبارا مالک مال تالف </w:t>
      </w:r>
      <w:r w:rsidR="00D11F90">
        <w:rPr>
          <w:rFonts w:hint="cs"/>
          <w:rtl/>
        </w:rPr>
        <w:t>شده است،</w:t>
      </w:r>
      <w:r w:rsidRPr="004826FB">
        <w:rPr>
          <w:rtl/>
        </w:rPr>
        <w:t xml:space="preserve"> </w:t>
      </w:r>
      <w:r w:rsidR="00D11F90">
        <w:rPr>
          <w:rFonts w:hint="cs"/>
          <w:rtl/>
        </w:rPr>
        <w:t xml:space="preserve">و در صورتی که متلف اصلی نباشد، همان حقی را که مالک اصلی و اولیه داشت، دارد و گویی </w:t>
      </w:r>
      <w:r w:rsidRPr="004826FB">
        <w:rPr>
          <w:rtl/>
        </w:rPr>
        <w:t>مال او توسط متلف تلف شده است و حق رجوع خواهد داشت.</w:t>
      </w:r>
    </w:p>
    <w:p w:rsidR="00CD0AAB" w:rsidRDefault="00CD0AAB" w:rsidP="00787090">
      <w:pPr>
        <w:pStyle w:val="Heading9"/>
        <w:rPr>
          <w:rtl/>
        </w:rPr>
      </w:pPr>
      <w:bookmarkStart w:id="8" w:name="_Toc504484945"/>
      <w:bookmarkStart w:id="9" w:name="_Toc504485632"/>
      <w:r>
        <w:rPr>
          <w:rFonts w:hint="cs"/>
          <w:rtl/>
        </w:rPr>
        <w:t>تطبیق قاعده در مقام بر اساس مسلک نفی استناد</w:t>
      </w:r>
      <w:bookmarkEnd w:id="8"/>
      <w:bookmarkEnd w:id="9"/>
    </w:p>
    <w:p w:rsidR="004826FB" w:rsidRPr="004826FB" w:rsidRDefault="004826FB" w:rsidP="00CD0AAB">
      <w:pPr>
        <w:rPr>
          <w:rtl/>
        </w:rPr>
      </w:pPr>
      <w:r w:rsidRPr="004826FB">
        <w:rPr>
          <w:rtl/>
        </w:rPr>
        <w:t>این قاعده عام</w:t>
      </w:r>
      <w:r w:rsidR="00D11F90">
        <w:rPr>
          <w:rFonts w:hint="cs"/>
          <w:rtl/>
        </w:rPr>
        <w:t>،</w:t>
      </w:r>
      <w:r w:rsidRPr="004826FB">
        <w:rPr>
          <w:rtl/>
        </w:rPr>
        <w:t xml:space="preserve"> در ما نحن فیه </w:t>
      </w:r>
      <w:r w:rsidR="00D11F90">
        <w:rPr>
          <w:rFonts w:hint="cs"/>
          <w:rtl/>
        </w:rPr>
        <w:t xml:space="preserve">هم تطبیق می شود و </w:t>
      </w:r>
      <w:r w:rsidRPr="004826FB">
        <w:rPr>
          <w:rtl/>
        </w:rPr>
        <w:t>مقتضی این است که شخص مجنی علیه حق رجوع بر خصوص متلف</w:t>
      </w:r>
      <w:r w:rsidR="00D11F90">
        <w:rPr>
          <w:rFonts w:hint="cs"/>
          <w:rtl/>
        </w:rPr>
        <w:t xml:space="preserve"> را </w:t>
      </w:r>
      <w:r w:rsidRPr="004826FB">
        <w:rPr>
          <w:rtl/>
        </w:rPr>
        <w:t xml:space="preserve"> دارد، </w:t>
      </w:r>
      <w:r w:rsidR="00D11F90">
        <w:rPr>
          <w:rFonts w:hint="cs"/>
          <w:rtl/>
        </w:rPr>
        <w:t xml:space="preserve">و با توجه به مسلک مشهور </w:t>
      </w:r>
      <w:r w:rsidRPr="004826FB">
        <w:rPr>
          <w:rtl/>
        </w:rPr>
        <w:t>که اکراه را موجب استناد نمی دانند</w:t>
      </w:r>
      <w:r w:rsidR="00D11F90">
        <w:rPr>
          <w:rFonts w:hint="cs"/>
          <w:rtl/>
        </w:rPr>
        <w:t>، مکرِه متلف محسوب نمی شود</w:t>
      </w:r>
      <w:r w:rsidRPr="004826FB">
        <w:rPr>
          <w:rtl/>
        </w:rPr>
        <w:t xml:space="preserve">، </w:t>
      </w:r>
      <w:r w:rsidR="00D11F90">
        <w:rPr>
          <w:rFonts w:hint="cs"/>
          <w:rtl/>
        </w:rPr>
        <w:t xml:space="preserve">لذا با رجوع مجنی علیه به مباشر که </w:t>
      </w:r>
      <w:r w:rsidRPr="004826FB">
        <w:rPr>
          <w:rtl/>
        </w:rPr>
        <w:t>همان مکرَه است، از آن جا که این</w:t>
      </w:r>
      <w:r w:rsidR="00CD0AAB">
        <w:rPr>
          <w:rFonts w:hint="cs"/>
          <w:rtl/>
        </w:rPr>
        <w:t xml:space="preserve"> </w:t>
      </w:r>
      <w:r w:rsidRPr="004826FB">
        <w:rPr>
          <w:rtl/>
        </w:rPr>
        <w:t xml:space="preserve">خسارت مسبب از اکراه مکرِه </w:t>
      </w:r>
      <w:r w:rsidR="00CD0AAB">
        <w:rPr>
          <w:rFonts w:hint="cs"/>
          <w:rtl/>
        </w:rPr>
        <w:t>می باشد،</w:t>
      </w:r>
      <w:r w:rsidRPr="004826FB">
        <w:rPr>
          <w:rtl/>
        </w:rPr>
        <w:t xml:space="preserve"> قرار</w:t>
      </w:r>
      <w:r w:rsidR="00CD0AAB">
        <w:rPr>
          <w:rtl/>
        </w:rPr>
        <w:t xml:space="preserve"> ضمان بر سبب یا مکرِه خواهد بود</w:t>
      </w:r>
      <w:r w:rsidR="00CD0AAB">
        <w:rPr>
          <w:rFonts w:hint="cs"/>
          <w:rtl/>
        </w:rPr>
        <w:t xml:space="preserve"> و حق رجوع به مکرِه برای مکرَه ثابت است.</w:t>
      </w:r>
    </w:p>
    <w:p w:rsidR="004826FB" w:rsidRPr="004826FB" w:rsidRDefault="004826FB" w:rsidP="00CD0AAB">
      <w:pPr>
        <w:rPr>
          <w:rtl/>
        </w:rPr>
      </w:pPr>
      <w:r w:rsidRPr="004826FB">
        <w:rPr>
          <w:rtl/>
        </w:rPr>
        <w:lastRenderedPageBreak/>
        <w:t>اما بر اسا</w:t>
      </w:r>
      <w:r w:rsidR="00CD0AAB">
        <w:rPr>
          <w:rtl/>
        </w:rPr>
        <w:t>س</w:t>
      </w:r>
      <w:r w:rsidR="00CD0AAB">
        <w:rPr>
          <w:rFonts w:hint="cs"/>
          <w:rtl/>
        </w:rPr>
        <w:t xml:space="preserve"> مبنای </w:t>
      </w:r>
      <w:r w:rsidRPr="004826FB">
        <w:rPr>
          <w:rtl/>
        </w:rPr>
        <w:t xml:space="preserve">مختار که </w:t>
      </w:r>
      <w:r w:rsidR="00CD0AAB">
        <w:rPr>
          <w:rFonts w:hint="cs"/>
          <w:rtl/>
        </w:rPr>
        <w:t>در آن در عین این که تلف به مباشر مستند است،</w:t>
      </w:r>
      <w:r w:rsidR="00CD0AAB">
        <w:rPr>
          <w:rtl/>
        </w:rPr>
        <w:t xml:space="preserve"> به مکرِه هم استناد دارد</w:t>
      </w:r>
      <w:r w:rsidR="00CD0AAB">
        <w:rPr>
          <w:rFonts w:hint="cs"/>
          <w:rtl/>
        </w:rPr>
        <w:t>؛</w:t>
      </w:r>
      <w:r w:rsidRPr="004826FB">
        <w:rPr>
          <w:rtl/>
        </w:rPr>
        <w:t xml:space="preserve"> </w:t>
      </w:r>
      <w:r w:rsidR="00CD0AAB">
        <w:rPr>
          <w:rFonts w:hint="cs"/>
          <w:rtl/>
        </w:rPr>
        <w:t xml:space="preserve">از ابتداء و بر طبق قاعده مجنی علیه </w:t>
      </w:r>
      <w:r w:rsidRPr="004826FB">
        <w:rPr>
          <w:rtl/>
        </w:rPr>
        <w:t>به هر دو می تواند رجوع کند</w:t>
      </w:r>
      <w:r w:rsidR="00CD0AAB">
        <w:rPr>
          <w:rFonts w:hint="cs"/>
          <w:rtl/>
        </w:rPr>
        <w:t>؛ چرا که اتلاف به هر دو مستند و هر دو متلف محسوب می شوند، و</w:t>
      </w:r>
      <w:r w:rsidRPr="004826FB">
        <w:rPr>
          <w:rtl/>
        </w:rPr>
        <w:t xml:space="preserve"> در</w:t>
      </w:r>
      <w:r w:rsidR="00CD0AAB">
        <w:rPr>
          <w:rFonts w:hint="cs"/>
          <w:rtl/>
        </w:rPr>
        <w:t xml:space="preserve"> صورتی که مکرِه رجوع شود، وی حق رجوع به مکره را ندارد بر خلاف مکرَه که می تواند به مکرِه و سبب رجوع نماید.</w:t>
      </w:r>
    </w:p>
    <w:p w:rsidR="00CD0AAB" w:rsidRDefault="004826FB" w:rsidP="00CD0AAB">
      <w:pPr>
        <w:rPr>
          <w:rtl/>
        </w:rPr>
      </w:pPr>
      <w:r w:rsidRPr="004826FB">
        <w:rPr>
          <w:rtl/>
        </w:rPr>
        <w:t>خود مرحوم آقای خویی</w:t>
      </w:r>
      <w:r w:rsidR="00CD0AAB">
        <w:rPr>
          <w:rFonts w:hint="cs"/>
          <w:rtl/>
        </w:rPr>
        <w:t xml:space="preserve"> ره</w:t>
      </w:r>
      <w:r w:rsidR="00CD0AAB">
        <w:rPr>
          <w:rtl/>
        </w:rPr>
        <w:t xml:space="preserve"> هم </w:t>
      </w:r>
      <w:r w:rsidR="00CD0AAB">
        <w:rPr>
          <w:rFonts w:hint="cs"/>
          <w:rtl/>
        </w:rPr>
        <w:t>در زمره بزرگانی است که این قاعده را پذیرفته است، منتهی در بحث قصاص از آن غفلت نموده و حکم به قصاص مکرَه نموده است، بدون این که تعرضی نسبت به حق مکرَه در رجوع به مکرِه داشته باشد.</w:t>
      </w:r>
    </w:p>
    <w:p w:rsidR="00CD0AAB" w:rsidRDefault="00CD0AAB" w:rsidP="00787090">
      <w:pPr>
        <w:pStyle w:val="Heading6"/>
        <w:rPr>
          <w:rtl/>
        </w:rPr>
      </w:pPr>
      <w:bookmarkStart w:id="10" w:name="_Toc504484946"/>
      <w:bookmarkStart w:id="11" w:name="_Toc504485633"/>
      <w:r>
        <w:rPr>
          <w:rFonts w:hint="cs"/>
          <w:rtl/>
        </w:rPr>
        <w:t>مقتضای نص؛ جواز رجوع به مکرِه با وجود عدم استناد</w:t>
      </w:r>
      <w:bookmarkEnd w:id="10"/>
      <w:bookmarkEnd w:id="11"/>
      <w:r>
        <w:rPr>
          <w:rFonts w:hint="cs"/>
          <w:rtl/>
        </w:rPr>
        <w:t xml:space="preserve"> </w:t>
      </w:r>
    </w:p>
    <w:p w:rsidR="00E05B8D" w:rsidRPr="00787090" w:rsidRDefault="00E05B8D" w:rsidP="00787090">
      <w:pPr>
        <w:spacing w:line="240" w:lineRule="auto"/>
        <w:rPr>
          <w:rFonts w:ascii="IRNazanin" w:eastAsia="Times New Roman" w:hAnsi="IRNazanin" w:cs="IRNazanin" w:hint="cs"/>
          <w:color w:val="000000"/>
          <w:sz w:val="35"/>
          <w:szCs w:val="35"/>
          <w:rtl/>
        </w:rPr>
      </w:pPr>
      <w:r w:rsidRPr="00E05B8D">
        <w:rPr>
          <w:rFonts w:hint="cs"/>
          <w:rtl/>
        </w:rPr>
        <w:t>«</w:t>
      </w:r>
      <w:r w:rsidRPr="00E05B8D">
        <w:rPr>
          <w:rStyle w:val="IntenseEmphasis"/>
          <w:rFonts w:hint="cs"/>
          <w:rtl/>
        </w:rPr>
        <w:t>عِدَّةٌ مِنْ أَصْحَابِنَا عَنْ سَهْلِ بْنِ زِيَادٍ عَنْ مُحَمَّدِ بْنِ الْحَسَنِ بْنِ شَمُّونٍ عَنْ عَبْدِ اللَّهِ بْنِ عَبْدِ الرَّحْمَنِ عَنْ مِسْمَعٍ عَنْ أَبِي عَبْدِ اللَّهِ ع</w:t>
      </w:r>
      <w:r w:rsidRPr="00E05B8D">
        <w:rPr>
          <w:rStyle w:val="IntenseEmphasis"/>
          <w:rtl/>
        </w:rPr>
        <w:t xml:space="preserve"> أَنَّ أَمِيرَ الْمُؤْمِنِينَ ع قَضَى فِي أَرْبَعَةٍ شَهِدُوا عَلَى رَجُلٍ أَنَّهُمْ رَأَوْهُ مَعَ امْرَأَةٍ يُجَامِعُهَا فَيُرْجَمُ ثُمَّ يَرْجِعُ وَاحِدٌ مِنْهُمْ قَالَ يُغَرَّمُ رُبُعَ الدِّيَةِ إِذَا قَالَ شُبِّهَ عَلَيَّ فَإِنْ رَجَعَ اثْنَانِ وَ قَالا شُبِّهَ عَلَيْنَا غُرِّمَا نِصْفَ الدِّيَةِ وَ إِنْ رَجَعُوا جَمِيعاً وَ قَالُوا شُبِّهَ عَلَيْنَا غُرِّمُوا الدِّيَةَ وَ إِنْ قَالُوا شَهِدْنَا بِالزُّورِ قُتِلُوا جَمِيعاً.</w:t>
      </w:r>
      <w:r w:rsidRPr="00E05B8D">
        <w:rPr>
          <w:rFonts w:hint="cs"/>
          <w:rtl/>
        </w:rPr>
        <w:t>»</w:t>
      </w:r>
      <w:r w:rsidRPr="00E05B8D">
        <w:rPr>
          <w:rStyle w:val="a2"/>
          <w:sz w:val="16"/>
          <w:szCs w:val="20"/>
          <w:vertAlign w:val="superscript"/>
          <w:rtl/>
        </w:rPr>
        <w:footnoteReference w:id="4"/>
      </w:r>
    </w:p>
    <w:p w:rsidR="004826FB" w:rsidRPr="004826FB" w:rsidRDefault="004826FB" w:rsidP="00CD0AAB">
      <w:pPr>
        <w:rPr>
          <w:rtl/>
        </w:rPr>
      </w:pPr>
      <w:r w:rsidRPr="004826FB">
        <w:rPr>
          <w:rtl/>
        </w:rPr>
        <w:t xml:space="preserve"> </w:t>
      </w:r>
      <w:r w:rsidR="00CD0AAB">
        <w:rPr>
          <w:rFonts w:hint="cs"/>
          <w:rtl/>
        </w:rPr>
        <w:t xml:space="preserve">با وجود انکار استناد جنایت به مکرِه، </w:t>
      </w:r>
      <w:r w:rsidRPr="004826FB">
        <w:rPr>
          <w:rtl/>
        </w:rPr>
        <w:t xml:space="preserve">مستفاد از برخی نصوص این است که حتی ابتدائا هم </w:t>
      </w:r>
      <w:r w:rsidR="00CD0AAB">
        <w:rPr>
          <w:rFonts w:hint="cs"/>
          <w:rtl/>
        </w:rPr>
        <w:t xml:space="preserve">می توان به </w:t>
      </w:r>
      <w:r w:rsidRPr="004826FB">
        <w:rPr>
          <w:rtl/>
        </w:rPr>
        <w:t xml:space="preserve">سبب </w:t>
      </w:r>
      <w:r w:rsidR="00CD0AAB">
        <w:rPr>
          <w:rFonts w:hint="cs"/>
          <w:rtl/>
        </w:rPr>
        <w:t xml:space="preserve">رجوع نمود؛ </w:t>
      </w:r>
      <w:r w:rsidRPr="004826FB">
        <w:rPr>
          <w:rtl/>
        </w:rPr>
        <w:t xml:space="preserve">کما این که </w:t>
      </w:r>
      <w:r w:rsidR="00CD0AAB">
        <w:rPr>
          <w:rFonts w:hint="cs"/>
          <w:rtl/>
        </w:rPr>
        <w:t>در روایات شاهد زور که در گذشته نقل شد، به این رجوع تصریح شده است.</w:t>
      </w:r>
    </w:p>
    <w:p w:rsidR="004826FB" w:rsidRDefault="004826FB" w:rsidP="00E05B8D">
      <w:pPr>
        <w:rPr>
          <w:rtl/>
        </w:rPr>
      </w:pPr>
      <w:r w:rsidRPr="004826FB">
        <w:rPr>
          <w:rtl/>
        </w:rPr>
        <w:t>در بحث شاهد زور</w:t>
      </w:r>
      <w:r w:rsidR="00CD0AAB">
        <w:rPr>
          <w:rFonts w:hint="cs"/>
          <w:rtl/>
        </w:rPr>
        <w:t>،</w:t>
      </w:r>
      <w:r w:rsidR="00E05B8D">
        <w:rPr>
          <w:rtl/>
        </w:rPr>
        <w:t xml:space="preserve"> </w:t>
      </w:r>
      <w:r w:rsidR="00E05B8D">
        <w:rPr>
          <w:rFonts w:hint="cs"/>
          <w:rtl/>
        </w:rPr>
        <w:t>در جایی</w:t>
      </w:r>
      <w:r w:rsidRPr="004826FB">
        <w:rPr>
          <w:rtl/>
        </w:rPr>
        <w:t xml:space="preserve"> که بعد از حکم حاکم به قصاص بر اساس شهادت </w:t>
      </w:r>
      <w:r w:rsidR="00CD0AAB">
        <w:rPr>
          <w:rFonts w:hint="cs"/>
          <w:rtl/>
        </w:rPr>
        <w:t xml:space="preserve">عده ای از </w:t>
      </w:r>
      <w:r w:rsidR="00CD0AAB">
        <w:rPr>
          <w:rtl/>
        </w:rPr>
        <w:t>شهود</w:t>
      </w:r>
      <w:r w:rsidRPr="004826FB">
        <w:rPr>
          <w:rtl/>
        </w:rPr>
        <w:t xml:space="preserve"> که بعد از قصاص اعتراف به اشتباه خود نمود</w:t>
      </w:r>
      <w:r w:rsidR="00CD0AAB">
        <w:rPr>
          <w:rFonts w:hint="cs"/>
          <w:rtl/>
        </w:rPr>
        <w:t>ه ا</w:t>
      </w:r>
      <w:r w:rsidR="00CD0AAB">
        <w:rPr>
          <w:rtl/>
        </w:rPr>
        <w:t>ند</w:t>
      </w:r>
      <w:r w:rsidR="00CD0AAB">
        <w:rPr>
          <w:rFonts w:hint="cs"/>
          <w:rtl/>
        </w:rPr>
        <w:t>؛</w:t>
      </w:r>
      <w:r w:rsidRPr="004826FB">
        <w:rPr>
          <w:rtl/>
        </w:rPr>
        <w:t xml:space="preserve"> </w:t>
      </w:r>
      <w:r w:rsidR="00E05B8D">
        <w:rPr>
          <w:rFonts w:hint="cs"/>
          <w:rtl/>
        </w:rPr>
        <w:t xml:space="preserve">در روایتی </w:t>
      </w:r>
      <w:r w:rsidRPr="004826FB">
        <w:rPr>
          <w:rtl/>
        </w:rPr>
        <w:t>تع</w:t>
      </w:r>
      <w:r w:rsidR="00E05B8D">
        <w:rPr>
          <w:rtl/>
        </w:rPr>
        <w:t xml:space="preserve">بیر </w:t>
      </w:r>
      <w:r w:rsidR="00E05B8D">
        <w:rPr>
          <w:rFonts w:hint="cs"/>
          <w:rtl/>
        </w:rPr>
        <w:t xml:space="preserve">غرامت به این شهود معترف متوجه شده است؛ </w:t>
      </w:r>
      <w:r w:rsidRPr="004826FB">
        <w:rPr>
          <w:rtl/>
        </w:rPr>
        <w:t>در حالی که</w:t>
      </w:r>
      <w:r w:rsidR="00E05B8D">
        <w:rPr>
          <w:rFonts w:hint="cs"/>
          <w:rtl/>
        </w:rPr>
        <w:t xml:space="preserve"> معمولا</w:t>
      </w:r>
      <w:r w:rsidRPr="004826FB">
        <w:rPr>
          <w:rtl/>
        </w:rPr>
        <w:t xml:space="preserve"> </w:t>
      </w:r>
      <w:r w:rsidR="00E05B8D">
        <w:rPr>
          <w:rFonts w:hint="cs"/>
          <w:rtl/>
        </w:rPr>
        <w:t xml:space="preserve">در اجرای حدود </w:t>
      </w:r>
      <w:r w:rsidRPr="004826FB">
        <w:rPr>
          <w:rtl/>
        </w:rPr>
        <w:t xml:space="preserve">مباشر جلاد </w:t>
      </w:r>
      <w:r w:rsidR="00E05B8D">
        <w:rPr>
          <w:rFonts w:hint="cs"/>
          <w:rtl/>
        </w:rPr>
        <w:t xml:space="preserve">و مأمور حاکم </w:t>
      </w:r>
      <w:r w:rsidR="00E05B8D">
        <w:rPr>
          <w:rtl/>
        </w:rPr>
        <w:t>است</w:t>
      </w:r>
      <w:r w:rsidR="00E05B8D">
        <w:rPr>
          <w:rFonts w:hint="cs"/>
          <w:rtl/>
        </w:rPr>
        <w:t>،</w:t>
      </w:r>
      <w:r w:rsidRPr="004826FB">
        <w:rPr>
          <w:rtl/>
        </w:rPr>
        <w:t xml:space="preserve"> </w:t>
      </w:r>
      <w:r w:rsidR="00E05B8D">
        <w:rPr>
          <w:rFonts w:hint="cs"/>
          <w:rtl/>
        </w:rPr>
        <w:t>و حال آن که تعبیر موجود در روایت مشمول رجوع به حاکم و جلاد نیست، اما در باب تلف اموال رجوع به مباشر از مسلمات است.</w:t>
      </w:r>
    </w:p>
    <w:p w:rsidR="00D83214" w:rsidRPr="004826FB" w:rsidRDefault="00D83214" w:rsidP="00D83214">
      <w:pPr>
        <w:rPr>
          <w:rtl/>
        </w:rPr>
      </w:pPr>
      <w:r w:rsidRPr="004826FB">
        <w:rPr>
          <w:rtl/>
        </w:rPr>
        <w:t xml:space="preserve">بر فرض اختیار دیه به جای قصاص یا بر اساس تعین دیه، رجوع به مباشر و استقرار ضمانت بر سبب </w:t>
      </w:r>
      <w:r>
        <w:rPr>
          <w:rFonts w:hint="cs"/>
          <w:rtl/>
        </w:rPr>
        <w:t>مطرح می شود</w:t>
      </w:r>
      <w:r w:rsidRPr="004826FB">
        <w:rPr>
          <w:rtl/>
        </w:rPr>
        <w:t xml:space="preserve">، در حالی که مقتضای </w:t>
      </w:r>
      <w:r>
        <w:rPr>
          <w:rFonts w:hint="cs"/>
          <w:rtl/>
        </w:rPr>
        <w:t xml:space="preserve">این روایت و روایات دیگری از این دست، </w:t>
      </w:r>
      <w:r w:rsidRPr="004826FB">
        <w:rPr>
          <w:rtl/>
        </w:rPr>
        <w:t>جواز رجوع ابتدایی به سبب و مکرِه است، مگر این که احتمال خصوصیت</w:t>
      </w:r>
      <w:r>
        <w:rPr>
          <w:rFonts w:hint="cs"/>
          <w:rtl/>
        </w:rPr>
        <w:t>ی</w:t>
      </w:r>
      <w:r w:rsidRPr="004826FB">
        <w:rPr>
          <w:rtl/>
        </w:rPr>
        <w:t xml:space="preserve"> در ناحیه شهادت وجود داشته باشد که در این صورت می بایست بر اساس قاعده </w:t>
      </w:r>
      <w:r>
        <w:rPr>
          <w:rFonts w:hint="cs"/>
          <w:rtl/>
        </w:rPr>
        <w:t xml:space="preserve">و مبنا </w:t>
      </w:r>
      <w:r w:rsidRPr="004826FB">
        <w:rPr>
          <w:rtl/>
        </w:rPr>
        <w:t>عمل نمود.</w:t>
      </w:r>
    </w:p>
    <w:p w:rsidR="00D83214" w:rsidRPr="004826FB" w:rsidRDefault="00D83214" w:rsidP="00E05B8D">
      <w:pPr>
        <w:rPr>
          <w:rtl/>
        </w:rPr>
      </w:pPr>
    </w:p>
    <w:p w:rsidR="00E05B8D" w:rsidRDefault="00E05B8D" w:rsidP="00787090">
      <w:pPr>
        <w:pStyle w:val="Heading7"/>
        <w:rPr>
          <w:rtl/>
        </w:rPr>
      </w:pPr>
      <w:bookmarkStart w:id="12" w:name="_Toc504484947"/>
      <w:bookmarkStart w:id="13" w:name="_Toc504485634"/>
      <w:r>
        <w:rPr>
          <w:rFonts w:hint="cs"/>
          <w:rtl/>
        </w:rPr>
        <w:lastRenderedPageBreak/>
        <w:t>تأیید روایت نسبت به تحقق استناد در ناحیه مکرِه</w:t>
      </w:r>
      <w:bookmarkEnd w:id="12"/>
      <w:bookmarkEnd w:id="13"/>
      <w:r>
        <w:rPr>
          <w:rFonts w:hint="cs"/>
          <w:rtl/>
        </w:rPr>
        <w:t xml:space="preserve"> </w:t>
      </w:r>
    </w:p>
    <w:p w:rsidR="004826FB" w:rsidRPr="004826FB" w:rsidRDefault="004826FB" w:rsidP="00E05B8D">
      <w:pPr>
        <w:rPr>
          <w:rtl/>
        </w:rPr>
      </w:pPr>
      <w:r w:rsidRPr="004826FB">
        <w:rPr>
          <w:rtl/>
        </w:rPr>
        <w:t xml:space="preserve">البته </w:t>
      </w:r>
      <w:r w:rsidR="00E05B8D">
        <w:rPr>
          <w:rFonts w:hint="cs"/>
          <w:rtl/>
        </w:rPr>
        <w:t xml:space="preserve">آن چه در مورد روایت فوق بیان شد، بر اساس مسلک مشهور در عدم استناد جنایت به مکرِه بود، و الا همین روایت می تواند به نوعی </w:t>
      </w:r>
      <w:r w:rsidR="00E05B8D">
        <w:rPr>
          <w:rtl/>
        </w:rPr>
        <w:t>م</w:t>
      </w:r>
      <w:r w:rsidR="00E05B8D">
        <w:rPr>
          <w:rFonts w:hint="cs"/>
          <w:rtl/>
        </w:rPr>
        <w:t>ؤ</w:t>
      </w:r>
      <w:r w:rsidRPr="004826FB">
        <w:rPr>
          <w:rtl/>
        </w:rPr>
        <w:t xml:space="preserve">ید </w:t>
      </w:r>
      <w:r w:rsidR="00E05B8D">
        <w:rPr>
          <w:rFonts w:hint="cs"/>
          <w:rtl/>
        </w:rPr>
        <w:t xml:space="preserve">مبنای </w:t>
      </w:r>
      <w:r w:rsidRPr="004826FB">
        <w:rPr>
          <w:rtl/>
        </w:rPr>
        <w:t xml:space="preserve">مختار در تحقق </w:t>
      </w:r>
      <w:r w:rsidR="00E05B8D">
        <w:rPr>
          <w:rFonts w:hint="cs"/>
          <w:rtl/>
        </w:rPr>
        <w:t xml:space="preserve">و صدق </w:t>
      </w:r>
      <w:r w:rsidRPr="004826FB">
        <w:rPr>
          <w:rtl/>
        </w:rPr>
        <w:t xml:space="preserve">استناد </w:t>
      </w:r>
      <w:r w:rsidR="00E05B8D">
        <w:rPr>
          <w:rFonts w:hint="cs"/>
          <w:rtl/>
        </w:rPr>
        <w:t>فعل به سبب هم باشد.</w:t>
      </w:r>
    </w:p>
    <w:p w:rsidR="004826FB" w:rsidRPr="004826FB" w:rsidRDefault="004826FB" w:rsidP="004826FB">
      <w:pPr>
        <w:spacing w:line="240" w:lineRule="auto"/>
        <w:rPr>
          <w:rFonts w:ascii="IRNazanin" w:eastAsia="Times New Roman" w:hAnsi="IRNazanin" w:cs="IRNazanin"/>
          <w:color w:val="000000"/>
          <w:sz w:val="36"/>
          <w:szCs w:val="36"/>
          <w:rtl/>
        </w:rPr>
      </w:pPr>
      <w:r w:rsidRPr="004826FB">
        <w:rPr>
          <w:rFonts w:ascii="IRNazanin" w:eastAsia="Times New Roman" w:hAnsi="IRNazanin" w:cs="IRNazanin"/>
          <w:color w:val="000000"/>
          <w:sz w:val="36"/>
          <w:szCs w:val="36"/>
          <w:rtl/>
        </w:rPr>
        <w:t xml:space="preserve">  </w:t>
      </w:r>
    </w:p>
    <w:p w:rsidR="008F5B4D" w:rsidRDefault="008F5B4D" w:rsidP="003A6148"/>
    <w:p w:rsidR="003E6650" w:rsidRPr="001A27D7" w:rsidRDefault="00307311" w:rsidP="00824B22">
      <w:pPr>
        <w:rPr>
          <w:rtl/>
        </w:rPr>
      </w:pPr>
      <w:r>
        <w:rPr>
          <w:rFonts w:hint="cs"/>
          <w:rtl/>
        </w:rPr>
        <w:t>متن تقریر ...</w:t>
      </w:r>
      <w:r w:rsidR="00E52D07">
        <w:rPr>
          <w:rFonts w:hint="cs"/>
          <w:rtl/>
        </w:rPr>
        <w:t xml:space="preserve">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03F8" w:rsidRDefault="00E903F8" w:rsidP="008B750B">
      <w:pPr>
        <w:spacing w:line="240" w:lineRule="auto"/>
      </w:pPr>
      <w:r>
        <w:separator/>
      </w:r>
    </w:p>
  </w:endnote>
  <w:endnote w:type="continuationSeparator" w:id="0">
    <w:p w:rsidR="00E903F8" w:rsidRDefault="00E903F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00002003" w:usb1="00000000" w:usb2="00000000" w:usb3="00000000" w:csb0="00000041"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CB3" w:rsidRDefault="00581CB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581CB3" w:rsidRPr="006D44C1" w:rsidTr="0020241A">
      <w:tc>
        <w:tcPr>
          <w:tcW w:w="3382" w:type="dxa"/>
          <w:tcBorders>
            <w:top w:val="nil"/>
            <w:left w:val="nil"/>
            <w:bottom w:val="nil"/>
            <w:right w:val="nil"/>
          </w:tcBorders>
        </w:tcPr>
        <w:p w:rsidR="00581CB3" w:rsidRDefault="00581CB3"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581CB3" w:rsidRDefault="00581CB3" w:rsidP="006D44C1">
          <w:pPr>
            <w:pStyle w:val="Footer"/>
            <w:jc w:val="right"/>
            <w:rPr>
              <w:rtl/>
            </w:rPr>
          </w:pPr>
          <w:r>
            <w:rPr>
              <w:rFonts w:hint="cs"/>
              <w:rtl/>
            </w:rPr>
            <w:t xml:space="preserve">صفحه </w:t>
          </w:r>
          <w:r>
            <w:fldChar w:fldCharType="begin"/>
          </w:r>
          <w:r>
            <w:instrText>PAGE   \* MERGEFORMAT</w:instrText>
          </w:r>
          <w:r>
            <w:fldChar w:fldCharType="separate"/>
          </w:r>
          <w:r w:rsidR="0052544D" w:rsidRPr="0052544D">
            <w:rPr>
              <w:noProof/>
              <w:rtl/>
              <w:lang w:val="fa-IR"/>
            </w:rPr>
            <w:t>4</w:t>
          </w:r>
          <w:r>
            <w:rPr>
              <w:noProof/>
            </w:rPr>
            <w:fldChar w:fldCharType="end"/>
          </w:r>
        </w:p>
      </w:tc>
      <w:tc>
        <w:tcPr>
          <w:tcW w:w="4786" w:type="dxa"/>
          <w:tcBorders>
            <w:top w:val="nil"/>
            <w:left w:val="nil"/>
            <w:bottom w:val="nil"/>
            <w:right w:val="nil"/>
          </w:tcBorders>
          <w:vAlign w:val="center"/>
        </w:tcPr>
        <w:p w:rsidR="00581CB3" w:rsidRPr="006D44C1" w:rsidRDefault="00581CB3" w:rsidP="001B6799">
          <w:pPr>
            <w:pStyle w:val="Footer"/>
            <w:bidi w:val="0"/>
            <w:rPr>
              <w:color w:val="808080" w:themeColor="background1" w:themeShade="80"/>
              <w:rtl/>
            </w:rPr>
          </w:pPr>
          <w:bookmarkStart w:id="21" w:name="BokAdres"/>
          <w:bookmarkEnd w:id="21"/>
          <w:r>
            <w:rPr>
              <w:color w:val="808080" w:themeColor="background1" w:themeShade="80"/>
            </w:rPr>
            <w:t>F1mq1_13961103-069_ar1_mfeb.ir</w:t>
          </w:r>
        </w:p>
      </w:tc>
    </w:tr>
  </w:tbl>
  <w:p w:rsidR="00581CB3" w:rsidRDefault="00581CB3"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CB3" w:rsidRDefault="00581CB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03F8" w:rsidRDefault="00E903F8" w:rsidP="008B750B">
      <w:pPr>
        <w:spacing w:line="240" w:lineRule="auto"/>
      </w:pPr>
      <w:r>
        <w:separator/>
      </w:r>
    </w:p>
  </w:footnote>
  <w:footnote w:type="continuationSeparator" w:id="0">
    <w:p w:rsidR="00E903F8" w:rsidRDefault="00E903F8" w:rsidP="008B750B">
      <w:pPr>
        <w:spacing w:line="240" w:lineRule="auto"/>
      </w:pPr>
      <w:r>
        <w:continuationSeparator/>
      </w:r>
    </w:p>
  </w:footnote>
  <w:footnote w:id="1">
    <w:p w:rsidR="009B5809" w:rsidRDefault="009B5809">
      <w:pPr>
        <w:pStyle w:val="FootnoteText"/>
        <w:rPr>
          <w:rFonts w:hint="cs"/>
          <w:rtl/>
        </w:rPr>
      </w:pPr>
      <w:r>
        <w:rPr>
          <w:rStyle w:val="FootnoteReference"/>
        </w:rPr>
        <w:footnoteRef/>
      </w:r>
      <w:r>
        <w:rPr>
          <w:rtl/>
        </w:rPr>
        <w:t xml:space="preserve"> </w:t>
      </w:r>
      <w:r>
        <w:rPr>
          <w:rFonts w:hint="cs"/>
          <w:rtl/>
        </w:rPr>
        <w:t xml:space="preserve">. </w:t>
      </w:r>
      <w:r w:rsidRPr="00D65F4C">
        <w:rPr>
          <w:rFonts w:hint="cs"/>
          <w:rtl/>
        </w:rPr>
        <w:t>قواعد</w:t>
      </w:r>
      <w:r w:rsidRPr="00D65F4C">
        <w:rPr>
          <w:rtl/>
        </w:rPr>
        <w:t xml:space="preserve"> </w:t>
      </w:r>
      <w:r w:rsidRPr="00D65F4C">
        <w:rPr>
          <w:rFonts w:hint="cs"/>
          <w:rtl/>
        </w:rPr>
        <w:t>الأحكام</w:t>
      </w:r>
      <w:r w:rsidRPr="00D65F4C">
        <w:rPr>
          <w:rtl/>
        </w:rPr>
        <w:t xml:space="preserve"> </w:t>
      </w:r>
      <w:r w:rsidRPr="00D65F4C">
        <w:rPr>
          <w:rFonts w:hint="cs"/>
          <w:rtl/>
        </w:rPr>
        <w:t>في</w:t>
      </w:r>
      <w:r w:rsidRPr="00D65F4C">
        <w:rPr>
          <w:rtl/>
        </w:rPr>
        <w:t xml:space="preserve"> </w:t>
      </w:r>
      <w:r w:rsidRPr="00D65F4C">
        <w:rPr>
          <w:rFonts w:hint="cs"/>
          <w:rtl/>
        </w:rPr>
        <w:t>معرفة</w:t>
      </w:r>
      <w:r w:rsidRPr="00D65F4C">
        <w:rPr>
          <w:rtl/>
        </w:rPr>
        <w:t xml:space="preserve"> </w:t>
      </w:r>
      <w:r w:rsidRPr="00D65F4C">
        <w:rPr>
          <w:rFonts w:hint="cs"/>
          <w:rtl/>
        </w:rPr>
        <w:t>الحلال</w:t>
      </w:r>
      <w:r w:rsidRPr="00D65F4C">
        <w:rPr>
          <w:rtl/>
        </w:rPr>
        <w:t xml:space="preserve"> </w:t>
      </w:r>
      <w:r w:rsidRPr="00D65F4C">
        <w:rPr>
          <w:rFonts w:hint="cs"/>
          <w:rtl/>
        </w:rPr>
        <w:t>و</w:t>
      </w:r>
      <w:r w:rsidRPr="00D65F4C">
        <w:rPr>
          <w:rtl/>
        </w:rPr>
        <w:t xml:space="preserve"> </w:t>
      </w:r>
      <w:r w:rsidRPr="00D65F4C">
        <w:rPr>
          <w:rFonts w:hint="cs"/>
          <w:rtl/>
        </w:rPr>
        <w:t>الحرام،</w:t>
      </w:r>
      <w:r w:rsidRPr="00D65F4C">
        <w:rPr>
          <w:rtl/>
        </w:rPr>
        <w:t xml:space="preserve"> </w:t>
      </w:r>
      <w:r w:rsidRPr="00D65F4C">
        <w:rPr>
          <w:rFonts w:hint="cs"/>
          <w:rtl/>
        </w:rPr>
        <w:t>ج‌</w:t>
      </w:r>
      <w:r w:rsidRPr="00D65F4C">
        <w:rPr>
          <w:rtl/>
        </w:rPr>
        <w:t>3</w:t>
      </w:r>
      <w:r w:rsidRPr="00D65F4C">
        <w:rPr>
          <w:rFonts w:hint="cs"/>
          <w:rtl/>
        </w:rPr>
        <w:t>،</w:t>
      </w:r>
      <w:r w:rsidRPr="00D65F4C">
        <w:rPr>
          <w:rtl/>
        </w:rPr>
        <w:t xml:space="preserve"> </w:t>
      </w:r>
      <w:r w:rsidRPr="00D65F4C">
        <w:rPr>
          <w:rFonts w:hint="cs"/>
          <w:rtl/>
        </w:rPr>
        <w:t>ص</w:t>
      </w:r>
      <w:r w:rsidRPr="00D65F4C">
        <w:rPr>
          <w:rtl/>
        </w:rPr>
        <w:t>: 590</w:t>
      </w:r>
      <w:r>
        <w:rPr>
          <w:rFonts w:hint="cs"/>
          <w:rtl/>
        </w:rPr>
        <w:t>.</w:t>
      </w:r>
    </w:p>
  </w:footnote>
  <w:footnote w:id="2">
    <w:p w:rsidR="009B5809" w:rsidRDefault="009B5809">
      <w:pPr>
        <w:pStyle w:val="FootnoteText"/>
        <w:rPr>
          <w:rFonts w:hint="cs"/>
          <w:rtl/>
        </w:rPr>
      </w:pPr>
      <w:r>
        <w:rPr>
          <w:rStyle w:val="FootnoteReference"/>
        </w:rPr>
        <w:footnoteRef/>
      </w:r>
      <w:r>
        <w:rPr>
          <w:rtl/>
        </w:rPr>
        <w:t xml:space="preserve"> </w:t>
      </w:r>
      <w:r>
        <w:rPr>
          <w:rFonts w:hint="cs"/>
          <w:rtl/>
        </w:rPr>
        <w:t xml:space="preserve">. </w:t>
      </w:r>
      <w:hyperlink r:id="rId1" w:history="1">
        <w:r w:rsidRPr="00A2604A">
          <w:rPr>
            <w:rStyle w:val="Hyperlink"/>
            <w:rFonts w:hint="cs"/>
            <w:rtl/>
          </w:rPr>
          <w:t>موسوعة</w:t>
        </w:r>
        <w:r w:rsidRPr="00A2604A">
          <w:rPr>
            <w:rStyle w:val="Hyperlink"/>
            <w:rtl/>
          </w:rPr>
          <w:t xml:space="preserve"> </w:t>
        </w:r>
        <w:r w:rsidRPr="00A2604A">
          <w:rPr>
            <w:rStyle w:val="Hyperlink"/>
            <w:rFonts w:hint="cs"/>
            <w:rtl/>
          </w:rPr>
          <w:t>الامام</w:t>
        </w:r>
        <w:r w:rsidRPr="00A2604A">
          <w:rPr>
            <w:rStyle w:val="Hyperlink"/>
            <w:rtl/>
          </w:rPr>
          <w:t xml:space="preserve"> </w:t>
        </w:r>
        <w:r w:rsidRPr="00A2604A">
          <w:rPr>
            <w:rStyle w:val="Hyperlink"/>
            <w:rFonts w:hint="cs"/>
            <w:rtl/>
          </w:rPr>
          <w:t>الخوئی،</w:t>
        </w:r>
        <w:r w:rsidRPr="00A2604A">
          <w:rPr>
            <w:rStyle w:val="Hyperlink"/>
            <w:rtl/>
          </w:rPr>
          <w:t xml:space="preserve"> </w:t>
        </w:r>
        <w:r w:rsidRPr="00A2604A">
          <w:rPr>
            <w:rStyle w:val="Hyperlink"/>
            <w:rFonts w:hint="cs"/>
            <w:rtl/>
          </w:rPr>
          <w:t>السید</w:t>
        </w:r>
        <w:r w:rsidRPr="00A2604A">
          <w:rPr>
            <w:rStyle w:val="Hyperlink"/>
            <w:rtl/>
          </w:rPr>
          <w:t xml:space="preserve"> </w:t>
        </w:r>
        <w:r w:rsidRPr="00A2604A">
          <w:rPr>
            <w:rStyle w:val="Hyperlink"/>
            <w:rFonts w:hint="cs"/>
            <w:rtl/>
          </w:rPr>
          <w:t>أبوالقاسم</w:t>
        </w:r>
        <w:r w:rsidRPr="00A2604A">
          <w:rPr>
            <w:rStyle w:val="Hyperlink"/>
            <w:rtl/>
          </w:rPr>
          <w:t xml:space="preserve"> </w:t>
        </w:r>
        <w:r w:rsidRPr="00A2604A">
          <w:rPr>
            <w:rStyle w:val="Hyperlink"/>
            <w:rFonts w:hint="cs"/>
            <w:rtl/>
          </w:rPr>
          <w:t>الخوئی،</w:t>
        </w:r>
        <w:r w:rsidRPr="00A2604A">
          <w:rPr>
            <w:rStyle w:val="Hyperlink"/>
            <w:rtl/>
          </w:rPr>
          <w:t xml:space="preserve"> </w:t>
        </w:r>
        <w:r w:rsidRPr="00A2604A">
          <w:rPr>
            <w:rStyle w:val="Hyperlink"/>
            <w:rFonts w:hint="cs"/>
            <w:rtl/>
          </w:rPr>
          <w:t>ج</w:t>
        </w:r>
        <w:r w:rsidRPr="00A2604A">
          <w:rPr>
            <w:rStyle w:val="Hyperlink"/>
            <w:rtl/>
          </w:rPr>
          <w:t>42</w:t>
        </w:r>
        <w:r w:rsidRPr="00A2604A">
          <w:rPr>
            <w:rStyle w:val="Hyperlink"/>
            <w:rFonts w:hint="cs"/>
            <w:rtl/>
          </w:rPr>
          <w:t>،</w:t>
        </w:r>
        <w:r w:rsidRPr="00A2604A">
          <w:rPr>
            <w:rStyle w:val="Hyperlink"/>
            <w:rtl/>
          </w:rPr>
          <w:t xml:space="preserve"> </w:t>
        </w:r>
        <w:r w:rsidRPr="00A2604A">
          <w:rPr>
            <w:rStyle w:val="Hyperlink"/>
            <w:rFonts w:hint="cs"/>
            <w:rtl/>
          </w:rPr>
          <w:t>ص</w:t>
        </w:r>
        <w:r w:rsidRPr="00A2604A">
          <w:rPr>
            <w:rStyle w:val="Hyperlink"/>
            <w:rtl/>
          </w:rPr>
          <w:t>20.</w:t>
        </w:r>
      </w:hyperlink>
    </w:p>
  </w:footnote>
  <w:footnote w:id="3">
    <w:p w:rsidR="00FD6C3D" w:rsidRPr="00FD6C3D" w:rsidRDefault="00FD6C3D" w:rsidP="00FD6C3D">
      <w:pPr>
        <w:pStyle w:val="FootnoteText"/>
        <w:rPr>
          <w:rFonts w:hint="cs"/>
        </w:rPr>
      </w:pPr>
      <w:r>
        <w:t>.</w:t>
      </w:r>
      <w:r w:rsidRPr="00FD6C3D">
        <w:footnoteRef/>
      </w:r>
      <w:r w:rsidRPr="00FD6C3D">
        <w:rPr>
          <w:rtl/>
        </w:rPr>
        <w:t xml:space="preserve"> </w:t>
      </w:r>
      <w:hyperlink r:id="rId2" w:history="1">
        <w:r w:rsidRPr="00FD6C3D">
          <w:rPr>
            <w:rStyle w:val="Hyperlink"/>
            <w:rFonts w:hint="cs"/>
            <w:rtl/>
          </w:rPr>
          <w:t>مصباح</w:t>
        </w:r>
        <w:r w:rsidRPr="00FD6C3D">
          <w:rPr>
            <w:rStyle w:val="Hyperlink"/>
            <w:rtl/>
          </w:rPr>
          <w:t xml:space="preserve"> </w:t>
        </w:r>
        <w:r w:rsidRPr="00FD6C3D">
          <w:rPr>
            <w:rStyle w:val="Hyperlink"/>
            <w:rFonts w:hint="cs"/>
            <w:rtl/>
          </w:rPr>
          <w:t>الفقاهة،</w:t>
        </w:r>
        <w:r w:rsidRPr="00FD6C3D">
          <w:rPr>
            <w:rStyle w:val="Hyperlink"/>
            <w:rtl/>
          </w:rPr>
          <w:t xml:space="preserve"> </w:t>
        </w:r>
        <w:r w:rsidRPr="00FD6C3D">
          <w:rPr>
            <w:rStyle w:val="Hyperlink"/>
            <w:rFonts w:hint="cs"/>
            <w:rtl/>
          </w:rPr>
          <w:t>السید</w:t>
        </w:r>
        <w:r w:rsidRPr="00FD6C3D">
          <w:rPr>
            <w:rStyle w:val="Hyperlink"/>
            <w:rtl/>
          </w:rPr>
          <w:t xml:space="preserve"> </w:t>
        </w:r>
        <w:r w:rsidRPr="00FD6C3D">
          <w:rPr>
            <w:rStyle w:val="Hyperlink"/>
            <w:rFonts w:hint="cs"/>
            <w:rtl/>
          </w:rPr>
          <w:t>أبوالقاسم</w:t>
        </w:r>
        <w:r w:rsidRPr="00FD6C3D">
          <w:rPr>
            <w:rStyle w:val="Hyperlink"/>
            <w:rtl/>
          </w:rPr>
          <w:t xml:space="preserve"> </w:t>
        </w:r>
        <w:r w:rsidRPr="00FD6C3D">
          <w:rPr>
            <w:rStyle w:val="Hyperlink"/>
            <w:rFonts w:hint="cs"/>
            <w:rtl/>
          </w:rPr>
          <w:t>الخوئی،</w:t>
        </w:r>
        <w:r w:rsidRPr="00FD6C3D">
          <w:rPr>
            <w:rStyle w:val="Hyperlink"/>
            <w:rtl/>
          </w:rPr>
          <w:t xml:space="preserve"> </w:t>
        </w:r>
        <w:r w:rsidRPr="00FD6C3D">
          <w:rPr>
            <w:rStyle w:val="Hyperlink"/>
            <w:rFonts w:hint="cs"/>
            <w:rtl/>
          </w:rPr>
          <w:t>ج</w:t>
        </w:r>
        <w:r w:rsidRPr="00FD6C3D">
          <w:rPr>
            <w:rStyle w:val="Hyperlink"/>
            <w:rtl/>
          </w:rPr>
          <w:t>4</w:t>
        </w:r>
        <w:r w:rsidRPr="00FD6C3D">
          <w:rPr>
            <w:rStyle w:val="Hyperlink"/>
            <w:rFonts w:hint="cs"/>
            <w:rtl/>
          </w:rPr>
          <w:t>،</w:t>
        </w:r>
        <w:r w:rsidRPr="00FD6C3D">
          <w:rPr>
            <w:rStyle w:val="Hyperlink"/>
            <w:rtl/>
          </w:rPr>
          <w:t xml:space="preserve"> </w:t>
        </w:r>
        <w:r w:rsidRPr="00FD6C3D">
          <w:rPr>
            <w:rStyle w:val="Hyperlink"/>
            <w:rFonts w:hint="cs"/>
            <w:rtl/>
          </w:rPr>
          <w:t>ص</w:t>
        </w:r>
        <w:r w:rsidRPr="00FD6C3D">
          <w:rPr>
            <w:rStyle w:val="Hyperlink"/>
            <w:rtl/>
          </w:rPr>
          <w:t>367</w:t>
        </w:r>
        <w:r w:rsidRPr="00FD6C3D">
          <w:rPr>
            <w:rStyle w:val="Hyperlink"/>
          </w:rPr>
          <w:t>.</w:t>
        </w:r>
      </w:hyperlink>
    </w:p>
  </w:footnote>
  <w:footnote w:id="4">
    <w:p w:rsidR="00E05B8D" w:rsidRPr="00E05B8D" w:rsidRDefault="00E05B8D" w:rsidP="00E05B8D">
      <w:pPr>
        <w:pStyle w:val="FootnoteText"/>
        <w:rPr>
          <w:rFonts w:hint="cs"/>
          <w:rtl/>
        </w:rPr>
      </w:pPr>
      <w:r w:rsidRPr="00E05B8D">
        <w:footnoteRef/>
      </w:r>
      <w:r>
        <w:rPr>
          <w:rFonts w:hint="cs"/>
          <w:rtl/>
        </w:rPr>
        <w:t>.</w:t>
      </w:r>
      <w:r w:rsidRPr="00E05B8D">
        <w:rPr>
          <w:rtl/>
        </w:rPr>
        <w:t xml:space="preserve"> </w:t>
      </w:r>
      <w:hyperlink r:id="rId3" w:history="1">
        <w:r w:rsidRPr="00E05B8D">
          <w:rPr>
            <w:rStyle w:val="Hyperlink"/>
            <w:rFonts w:hint="cs"/>
            <w:rtl/>
          </w:rPr>
          <w:t>الکافی،</w:t>
        </w:r>
        <w:r w:rsidRPr="00E05B8D">
          <w:rPr>
            <w:rStyle w:val="Hyperlink"/>
            <w:rtl/>
          </w:rPr>
          <w:t xml:space="preserve"> </w:t>
        </w:r>
        <w:r w:rsidRPr="00E05B8D">
          <w:rPr>
            <w:rStyle w:val="Hyperlink"/>
            <w:rFonts w:hint="cs"/>
            <w:rtl/>
          </w:rPr>
          <w:t>محمد</w:t>
        </w:r>
        <w:r w:rsidRPr="00E05B8D">
          <w:rPr>
            <w:rStyle w:val="Hyperlink"/>
            <w:rtl/>
          </w:rPr>
          <w:t xml:space="preserve"> </w:t>
        </w:r>
        <w:r w:rsidRPr="00E05B8D">
          <w:rPr>
            <w:rStyle w:val="Hyperlink"/>
            <w:rFonts w:hint="cs"/>
            <w:rtl/>
          </w:rPr>
          <w:t>بن</w:t>
        </w:r>
        <w:r w:rsidRPr="00E05B8D">
          <w:rPr>
            <w:rStyle w:val="Hyperlink"/>
            <w:rtl/>
          </w:rPr>
          <w:t xml:space="preserve"> </w:t>
        </w:r>
        <w:r w:rsidRPr="00E05B8D">
          <w:rPr>
            <w:rStyle w:val="Hyperlink"/>
            <w:rFonts w:hint="cs"/>
            <w:rtl/>
          </w:rPr>
          <w:t>یعقوب</w:t>
        </w:r>
        <w:r w:rsidRPr="00E05B8D">
          <w:rPr>
            <w:rStyle w:val="Hyperlink"/>
            <w:rtl/>
          </w:rPr>
          <w:t xml:space="preserve"> </w:t>
        </w:r>
        <w:r w:rsidRPr="00E05B8D">
          <w:rPr>
            <w:rStyle w:val="Hyperlink"/>
            <w:rFonts w:hint="cs"/>
            <w:rtl/>
          </w:rPr>
          <w:t>کلینی،</w:t>
        </w:r>
        <w:r w:rsidRPr="00E05B8D">
          <w:rPr>
            <w:rStyle w:val="Hyperlink"/>
            <w:rtl/>
          </w:rPr>
          <w:t xml:space="preserve"> </w:t>
        </w:r>
        <w:r w:rsidRPr="00E05B8D">
          <w:rPr>
            <w:rStyle w:val="Hyperlink"/>
            <w:rFonts w:hint="cs"/>
            <w:rtl/>
          </w:rPr>
          <w:t>ج</w:t>
        </w:r>
        <w:r w:rsidRPr="00E05B8D">
          <w:rPr>
            <w:rStyle w:val="Hyperlink"/>
            <w:rtl/>
          </w:rPr>
          <w:t>7</w:t>
        </w:r>
        <w:r w:rsidRPr="00E05B8D">
          <w:rPr>
            <w:rStyle w:val="Hyperlink"/>
            <w:rFonts w:hint="cs"/>
            <w:rtl/>
          </w:rPr>
          <w:t>،</w:t>
        </w:r>
        <w:r w:rsidRPr="00E05B8D">
          <w:rPr>
            <w:rStyle w:val="Hyperlink"/>
            <w:rtl/>
          </w:rPr>
          <w:t xml:space="preserve"> </w:t>
        </w:r>
        <w:r w:rsidRPr="00E05B8D">
          <w:rPr>
            <w:rStyle w:val="Hyperlink"/>
            <w:rFonts w:hint="cs"/>
            <w:rtl/>
          </w:rPr>
          <w:t>ص</w:t>
        </w:r>
        <w:r w:rsidRPr="00E05B8D">
          <w:rPr>
            <w:rStyle w:val="Hyperlink"/>
            <w:rtl/>
          </w:rPr>
          <w:t>366.</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CB3" w:rsidRDefault="00581CB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CB3" w:rsidRPr="001D2E9A" w:rsidRDefault="00581CB3"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w:t>
    </w:r>
    <w:bookmarkStart w:id="14" w:name="BokNum"/>
    <w:bookmarkEnd w:id="14"/>
    <w:r>
      <w:rPr>
        <w:b/>
        <w:bCs/>
        <w:sz w:val="20"/>
        <w:szCs w:val="24"/>
        <w:rtl/>
      </w:rPr>
      <w:t>069</w:t>
    </w:r>
    <w:r>
      <w:rPr>
        <w:rFonts w:hint="cs"/>
        <w:b/>
        <w:bCs/>
        <w:sz w:val="20"/>
        <w:szCs w:val="24"/>
        <w:rtl/>
      </w:rPr>
      <w:tab/>
    </w:r>
    <w:r w:rsidRPr="00C32A7E">
      <w:rPr>
        <w:rFonts w:hint="cs"/>
        <w:b/>
        <w:bCs/>
        <w:color w:val="632423" w:themeColor="accent2" w:themeShade="80"/>
        <w:sz w:val="20"/>
        <w:szCs w:val="24"/>
        <w:rtl/>
      </w:rPr>
      <w:t xml:space="preserve">درس خارج </w:t>
    </w:r>
    <w:bookmarkStart w:id="15" w:name="Bokdars"/>
    <w:bookmarkEnd w:id="15"/>
    <w:r>
      <w:rPr>
        <w:rFonts w:hint="cs"/>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16" w:name="Bokostad"/>
    <w:bookmarkEnd w:id="16"/>
    <w:r>
      <w:rPr>
        <w:rFonts w:hint="cs"/>
        <w:b/>
        <w:bCs/>
        <w:color w:val="632423" w:themeColor="accent2" w:themeShade="80"/>
        <w:sz w:val="20"/>
        <w:szCs w:val="24"/>
        <w:rtl/>
      </w:rPr>
      <w:t>قائینی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7" w:name="BokTarikh"/>
    <w:bookmarkEnd w:id="17"/>
    <w:r>
      <w:rPr>
        <w:sz w:val="24"/>
        <w:szCs w:val="24"/>
        <w:rtl/>
      </w:rPr>
      <w:t>3 /11 /1396</w:t>
    </w:r>
  </w:p>
  <w:p w:rsidR="00581CB3" w:rsidRPr="00F16B53" w:rsidRDefault="00581CB3"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sz w:val="24"/>
        <w:szCs w:val="24"/>
        <w:rtl/>
      </w:rPr>
      <w:t>:</w:t>
    </w:r>
    <w:bookmarkStart w:id="18" w:name="BokSabj"/>
    <w:bookmarkEnd w:id="18"/>
    <w:r>
      <w:rPr>
        <w:rFonts w:hint="cs"/>
        <w:sz w:val="24"/>
        <w:szCs w:val="24"/>
        <w:rtl/>
      </w:rPr>
      <w:t>قتل</w:t>
    </w:r>
    <w:r>
      <w:rPr>
        <w:sz w:val="24"/>
        <w:szCs w:val="24"/>
        <w:rtl/>
      </w:rPr>
      <w:t xml:space="preserve"> </w:t>
    </w:r>
    <w:r>
      <w:rPr>
        <w:rFonts w:hint="cs"/>
        <w:sz w:val="24"/>
        <w:szCs w:val="24"/>
        <w:rtl/>
      </w:rPr>
      <w:t xml:space="preserve">عمد  </w:t>
    </w:r>
    <w:r>
      <w:rPr>
        <w:rFonts w:hint="cs"/>
        <w:sz w:val="24"/>
        <w:szCs w:val="24"/>
        <w:rtl/>
      </w:rPr>
      <w:tab/>
    </w:r>
    <w:r w:rsidRPr="001D2E9A">
      <w:rPr>
        <w:rFonts w:hint="cs"/>
        <w:b/>
        <w:bCs/>
        <w:color w:val="7030A0"/>
        <w:sz w:val="24"/>
        <w:szCs w:val="24"/>
        <w:rtl/>
      </w:rPr>
      <w:t>مقرر</w:t>
    </w:r>
    <w:r>
      <w:rPr>
        <w:rFonts w:hint="cs"/>
        <w:sz w:val="24"/>
        <w:szCs w:val="24"/>
        <w:rtl/>
      </w:rPr>
      <w:t>:</w:t>
    </w:r>
    <w:bookmarkStart w:id="19" w:name="Bokmoqarer"/>
    <w:bookmarkEnd w:id="19"/>
    <w:r>
      <w:rPr>
        <w:rFonts w:hint="cs"/>
        <w:sz w:val="24"/>
        <w:szCs w:val="24"/>
        <w:rtl/>
      </w:rPr>
      <w:t>سید</w:t>
    </w:r>
    <w:r>
      <w:rPr>
        <w:sz w:val="24"/>
        <w:szCs w:val="24"/>
        <w:rtl/>
      </w:rPr>
      <w:t xml:space="preserve"> </w:t>
    </w:r>
    <w:r>
      <w:rPr>
        <w:rFonts w:hint="cs"/>
        <w:sz w:val="24"/>
        <w:szCs w:val="24"/>
        <w:rtl/>
      </w:rPr>
      <w:t>علی</w:t>
    </w:r>
    <w:r>
      <w:rPr>
        <w:sz w:val="24"/>
        <w:szCs w:val="24"/>
        <w:rtl/>
      </w:rPr>
      <w:t xml:space="preserve"> </w:t>
    </w:r>
    <w:r>
      <w:rPr>
        <w:rFonts w:hint="cs"/>
        <w:sz w:val="24"/>
        <w:szCs w:val="24"/>
        <w:rtl/>
      </w:rPr>
      <w:t xml:space="preserve">رهنمایی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0" w:name="BokSabj2"/>
    <w:bookmarkEnd w:id="20"/>
    <w:r>
      <w:rPr>
        <w:rFonts w:hint="cs"/>
        <w:sz w:val="24"/>
        <w:szCs w:val="24"/>
        <w:rtl/>
      </w:rPr>
      <w:t>قتل</w:t>
    </w:r>
    <w:r>
      <w:rPr>
        <w:sz w:val="24"/>
        <w:szCs w:val="24"/>
        <w:rtl/>
      </w:rPr>
      <w:t xml:space="preserve"> </w:t>
    </w:r>
    <w:r>
      <w:rPr>
        <w:rFonts w:hint="cs"/>
        <w:sz w:val="24"/>
        <w:szCs w:val="24"/>
        <w:rtl/>
      </w:rPr>
      <w:t>به</w:t>
    </w:r>
    <w:r>
      <w:rPr>
        <w:sz w:val="24"/>
        <w:szCs w:val="24"/>
        <w:rtl/>
      </w:rPr>
      <w:t xml:space="preserve"> </w:t>
    </w:r>
    <w:r>
      <w:rPr>
        <w:rFonts w:hint="cs"/>
        <w:sz w:val="24"/>
        <w:szCs w:val="24"/>
        <w:rtl/>
      </w:rPr>
      <w:t>تسبیب</w:t>
    </w:r>
    <w:r>
      <w:rPr>
        <w:sz w:val="24"/>
        <w:szCs w:val="24"/>
        <w:rtl/>
      </w:rPr>
      <w:t>/</w:t>
    </w:r>
    <w:r>
      <w:rPr>
        <w:rFonts w:hint="cs"/>
        <w:sz w:val="24"/>
        <w:szCs w:val="24"/>
        <w:rtl/>
      </w:rPr>
      <w:t>مراتب</w:t>
    </w:r>
    <w:r>
      <w:rPr>
        <w:sz w:val="24"/>
        <w:szCs w:val="24"/>
        <w:rtl/>
      </w:rPr>
      <w:t xml:space="preserve"> </w:t>
    </w:r>
    <w:r>
      <w:rPr>
        <w:rFonts w:hint="cs"/>
        <w:sz w:val="24"/>
        <w:szCs w:val="24"/>
        <w:rtl/>
      </w:rPr>
      <w:t>تسبیب</w:t>
    </w:r>
    <w:r>
      <w:rPr>
        <w:sz w:val="24"/>
        <w:szCs w:val="24"/>
        <w:rtl/>
      </w:rPr>
      <w:t>/</w:t>
    </w:r>
    <w:r>
      <w:rPr>
        <w:rFonts w:hint="cs"/>
        <w:sz w:val="24"/>
        <w:szCs w:val="24"/>
        <w:rtl/>
      </w:rPr>
      <w:t>مرتبه</w:t>
    </w:r>
    <w:r>
      <w:rPr>
        <w:sz w:val="24"/>
        <w:szCs w:val="24"/>
        <w:rtl/>
      </w:rPr>
      <w:t xml:space="preserve"> </w:t>
    </w:r>
    <w:r>
      <w:rPr>
        <w:rFonts w:hint="cs"/>
        <w:sz w:val="24"/>
        <w:szCs w:val="24"/>
        <w:rtl/>
      </w:rPr>
      <w:t>چهارم</w:t>
    </w:r>
    <w:r>
      <w:rPr>
        <w:sz w:val="24"/>
        <w:szCs w:val="24"/>
        <w:rtl/>
      </w:rPr>
      <w:t>/</w:t>
    </w:r>
    <w:r>
      <w:rPr>
        <w:rFonts w:hint="cs"/>
        <w:sz w:val="24"/>
        <w:szCs w:val="24"/>
        <w:rtl/>
      </w:rPr>
      <w:t>صورت</w:t>
    </w:r>
    <w:r>
      <w:rPr>
        <w:sz w:val="24"/>
        <w:szCs w:val="24"/>
        <w:rtl/>
      </w:rPr>
      <w:t xml:space="preserve"> </w:t>
    </w:r>
    <w:r>
      <w:rPr>
        <w:rFonts w:hint="cs"/>
        <w:sz w:val="24"/>
        <w:szCs w:val="24"/>
        <w:rtl/>
      </w:rPr>
      <w:t>سوم</w:t>
    </w:r>
    <w:r>
      <w:rPr>
        <w:sz w:val="24"/>
        <w:szCs w:val="24"/>
        <w:rtl/>
      </w:rPr>
      <w:t>/</w:t>
    </w:r>
    <w:r>
      <w:rPr>
        <w:rFonts w:hint="cs"/>
        <w:sz w:val="24"/>
        <w:szCs w:val="24"/>
        <w:rtl/>
      </w:rPr>
      <w:t>اکراه</w:t>
    </w:r>
    <w:r>
      <w:rPr>
        <w:sz w:val="24"/>
        <w:szCs w:val="24"/>
        <w:rtl/>
      </w:rPr>
      <w:t xml:space="preserve"> </w:t>
    </w:r>
    <w:r>
      <w:rPr>
        <w:rFonts w:hint="cs"/>
        <w:sz w:val="24"/>
        <w:szCs w:val="24"/>
        <w:rtl/>
      </w:rPr>
      <w:t>بر</w:t>
    </w:r>
    <w:r>
      <w:rPr>
        <w:sz w:val="24"/>
        <w:szCs w:val="24"/>
        <w:rtl/>
      </w:rPr>
      <w:t xml:space="preserve"> </w:t>
    </w:r>
    <w:r>
      <w:rPr>
        <w:rFonts w:hint="cs"/>
        <w:sz w:val="24"/>
        <w:szCs w:val="24"/>
        <w:rtl/>
      </w:rPr>
      <w:t>طرف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CB3" w:rsidRDefault="00581C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A1A69"/>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6FB"/>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44D"/>
    <w:rsid w:val="005257ED"/>
    <w:rsid w:val="005306F8"/>
    <w:rsid w:val="0054023D"/>
    <w:rsid w:val="005426BF"/>
    <w:rsid w:val="0056213C"/>
    <w:rsid w:val="00580C24"/>
    <w:rsid w:val="00581CB3"/>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87090"/>
    <w:rsid w:val="00795E02"/>
    <w:rsid w:val="007979D0"/>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8CE"/>
    <w:rsid w:val="00941CEB"/>
    <w:rsid w:val="0094720F"/>
    <w:rsid w:val="00953B28"/>
    <w:rsid w:val="00954322"/>
    <w:rsid w:val="00957CAA"/>
    <w:rsid w:val="0096778A"/>
    <w:rsid w:val="00977656"/>
    <w:rsid w:val="009846A7"/>
    <w:rsid w:val="0098794D"/>
    <w:rsid w:val="0099497B"/>
    <w:rsid w:val="009A43BA"/>
    <w:rsid w:val="009B0D05"/>
    <w:rsid w:val="009B4CA6"/>
    <w:rsid w:val="009B5809"/>
    <w:rsid w:val="009B79F8"/>
    <w:rsid w:val="009C66D5"/>
    <w:rsid w:val="009D13FD"/>
    <w:rsid w:val="009D266A"/>
    <w:rsid w:val="009E6675"/>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F3925"/>
    <w:rsid w:val="00B1296B"/>
    <w:rsid w:val="00B2292F"/>
    <w:rsid w:val="00B3737E"/>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C7997"/>
    <w:rsid w:val="00CD0050"/>
    <w:rsid w:val="00CD0AAB"/>
    <w:rsid w:val="00CE7481"/>
    <w:rsid w:val="00CF0A8F"/>
    <w:rsid w:val="00D048CE"/>
    <w:rsid w:val="00D10998"/>
    <w:rsid w:val="00D11F90"/>
    <w:rsid w:val="00D15CBD"/>
    <w:rsid w:val="00D221CB"/>
    <w:rsid w:val="00D23391"/>
    <w:rsid w:val="00D31805"/>
    <w:rsid w:val="00D552B9"/>
    <w:rsid w:val="00D735B2"/>
    <w:rsid w:val="00D74021"/>
    <w:rsid w:val="00D76D01"/>
    <w:rsid w:val="00D83214"/>
    <w:rsid w:val="00D922A9"/>
    <w:rsid w:val="00D9394A"/>
    <w:rsid w:val="00DB0CBB"/>
    <w:rsid w:val="00DB67CC"/>
    <w:rsid w:val="00DC3783"/>
    <w:rsid w:val="00DE1070"/>
    <w:rsid w:val="00E00219"/>
    <w:rsid w:val="00E0316B"/>
    <w:rsid w:val="00E05B8D"/>
    <w:rsid w:val="00E25E10"/>
    <w:rsid w:val="00E50B41"/>
    <w:rsid w:val="00E5219B"/>
    <w:rsid w:val="00E52D07"/>
    <w:rsid w:val="00E5518B"/>
    <w:rsid w:val="00E609FE"/>
    <w:rsid w:val="00E75920"/>
    <w:rsid w:val="00E80D96"/>
    <w:rsid w:val="00E871FA"/>
    <w:rsid w:val="00E903F8"/>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D6C3D"/>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19849034">
      <w:bodyDiv w:val="1"/>
      <w:marLeft w:val="0"/>
      <w:marRight w:val="0"/>
      <w:marTop w:val="0"/>
      <w:marBottom w:val="0"/>
      <w:divBdr>
        <w:top w:val="none" w:sz="0" w:space="0" w:color="auto"/>
        <w:left w:val="none" w:sz="0" w:space="0" w:color="auto"/>
        <w:bottom w:val="none" w:sz="0" w:space="0" w:color="auto"/>
        <w:right w:val="none" w:sz="0" w:space="0" w:color="auto"/>
      </w:divBdr>
      <w:divsChild>
        <w:div w:id="1310666435">
          <w:marLeft w:val="0"/>
          <w:marRight w:val="0"/>
          <w:marTop w:val="0"/>
          <w:marBottom w:val="0"/>
          <w:divBdr>
            <w:top w:val="none" w:sz="0" w:space="0" w:color="auto"/>
            <w:left w:val="none" w:sz="0" w:space="0" w:color="auto"/>
            <w:bottom w:val="none" w:sz="0" w:space="0" w:color="auto"/>
            <w:right w:val="none" w:sz="0" w:space="0" w:color="auto"/>
          </w:divBdr>
          <w:divsChild>
            <w:div w:id="503782140">
              <w:marLeft w:val="0"/>
              <w:marRight w:val="0"/>
              <w:marTop w:val="0"/>
              <w:marBottom w:val="0"/>
              <w:divBdr>
                <w:top w:val="none" w:sz="0" w:space="0" w:color="auto"/>
                <w:left w:val="none" w:sz="0" w:space="0" w:color="auto"/>
                <w:bottom w:val="none" w:sz="0" w:space="0" w:color="auto"/>
                <w:right w:val="none" w:sz="0" w:space="0" w:color="auto"/>
              </w:divBdr>
              <w:divsChild>
                <w:div w:id="1004745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05/7/366/" TargetMode="External"/><Relationship Id="rId2" Type="http://schemas.openxmlformats.org/officeDocument/2006/relationships/hyperlink" Target="http://lib.eshia.ir/10155/4/367/" TargetMode="External"/><Relationship Id="rId1" Type="http://schemas.openxmlformats.org/officeDocument/2006/relationships/hyperlink" Target="http://lib.eshia.ir/71334/42/20/"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10382-2DF9-4AF0-9759-B85F688E8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121</TotalTime>
  <Pages>4</Pages>
  <Words>903</Words>
  <Characters>5153</Characters>
  <Application>Microsoft Office Word</Application>
  <DocSecurity>0</DocSecurity>
  <Lines>42</Lines>
  <Paragraphs>12</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6044</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6</cp:revision>
  <dcterms:created xsi:type="dcterms:W3CDTF">2018-01-23T06:52:00Z</dcterms:created>
  <dcterms:modified xsi:type="dcterms:W3CDTF">2018-01-23T12:15:00Z</dcterms:modified>
  <cp:contentStatus>ویرایش 2.5</cp:contentStatus>
  <cp:version>2.3</cp:version>
</cp:coreProperties>
</file>