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C91EB6" w:rsidP="00C91EB6"/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CE12D8">
        <w:rPr>
          <w:rFonts w:hint="cs"/>
          <w:rtl/>
        </w:rPr>
        <w:t>استناد</w:t>
      </w:r>
      <w:r w:rsidR="00CE12D8">
        <w:rPr>
          <w:rtl/>
        </w:rPr>
        <w:t xml:space="preserve"> </w:t>
      </w:r>
      <w:r w:rsidR="00CE12D8">
        <w:rPr>
          <w:rFonts w:hint="cs"/>
          <w:rtl/>
        </w:rPr>
        <w:t>قتل</w:t>
      </w:r>
      <w:r w:rsidR="00CE12D8">
        <w:rPr>
          <w:rtl/>
        </w:rPr>
        <w:t xml:space="preserve"> </w:t>
      </w:r>
      <w:r w:rsidR="00CE12D8">
        <w:rPr>
          <w:rFonts w:hint="cs"/>
          <w:rtl/>
        </w:rPr>
        <w:t>به</w:t>
      </w:r>
      <w:r w:rsidR="00CE12D8">
        <w:rPr>
          <w:rtl/>
        </w:rPr>
        <w:t xml:space="preserve"> </w:t>
      </w:r>
      <w:r w:rsidR="00CE12D8">
        <w:rPr>
          <w:rFonts w:hint="cs"/>
          <w:rtl/>
        </w:rPr>
        <w:t>جانی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CE12D8">
        <w:rPr>
          <w:rFonts w:hint="cs"/>
          <w:rtl/>
        </w:rPr>
        <w:t>موجبات</w:t>
      </w:r>
      <w:r w:rsidR="00CE12D8">
        <w:rPr>
          <w:rtl/>
        </w:rPr>
        <w:t xml:space="preserve"> </w:t>
      </w:r>
      <w:r w:rsidR="00CE12D8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CE12D8">
        <w:rPr>
          <w:rFonts w:hint="cs"/>
          <w:rtl/>
        </w:rPr>
        <w:t>کتاب</w:t>
      </w:r>
      <w:r w:rsidR="00CE12D8">
        <w:rPr>
          <w:rtl/>
        </w:rPr>
        <w:t xml:space="preserve"> </w:t>
      </w:r>
      <w:r w:rsidR="00CE12D8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3A6148" w:rsidRDefault="00ED1581" w:rsidP="00ED1581">
      <w:pPr>
        <w:rPr>
          <w:rtl/>
        </w:rPr>
      </w:pPr>
      <w:r w:rsidRPr="00ED1581">
        <w:rPr>
          <w:rtl/>
        </w:rPr>
        <w:t>بحث منتهی شد به این مسأله که اگر شخص جرح و جنایتی بر فرد دیگری وارد نمود که بنفسه موجب قتل نیست و قصد قتل هم در کار نبود ولی اتفاقا سرایت این جرح منجر به موت شد.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ED1581" w:rsidRPr="00ED1581" w:rsidRDefault="00ED1581" w:rsidP="00ED1581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  <w:rtl/>
        </w:rPr>
      </w:pPr>
    </w:p>
    <w:p w:rsidR="00ED1581" w:rsidRDefault="00ED1581" w:rsidP="00ED1581">
      <w:pPr>
        <w:rPr>
          <w:rtl/>
        </w:rPr>
      </w:pPr>
      <w:r w:rsidRPr="00ED1581">
        <w:rPr>
          <w:rtl/>
        </w:rPr>
        <w:t xml:space="preserve">در کلام جمعی از جمله </w:t>
      </w:r>
      <w:r>
        <w:rPr>
          <w:rFonts w:hint="cs"/>
          <w:rtl/>
        </w:rPr>
        <w:t xml:space="preserve">مرحوم آقای خویی در </w:t>
      </w:r>
      <w:r>
        <w:rPr>
          <w:rtl/>
        </w:rPr>
        <w:t>منهاج آمده</w:t>
      </w:r>
      <w:r>
        <w:rPr>
          <w:rFonts w:hint="cs"/>
          <w:rtl/>
        </w:rPr>
        <w:t xml:space="preserve"> است</w:t>
      </w:r>
      <w:r w:rsidRPr="00ED1581">
        <w:rPr>
          <w:rtl/>
        </w:rPr>
        <w:t xml:space="preserve"> که مشهور بین اصحاب اثبات قصاص در </w:t>
      </w:r>
      <w:r>
        <w:rPr>
          <w:rFonts w:hint="cs"/>
          <w:rtl/>
        </w:rPr>
        <w:t xml:space="preserve">موردی است که به سبب سرایت، جنایتی که نه غالبا کشنده است و نه با قصد قتل صورت گرفته است؛ منجر به موت مجنی علیه شود، بنابراین، </w:t>
      </w:r>
      <w:r w:rsidRPr="00ED1581">
        <w:rPr>
          <w:rtl/>
        </w:rPr>
        <w:t xml:space="preserve">فرض کلمات این </w:t>
      </w:r>
      <w:r>
        <w:rPr>
          <w:rFonts w:hint="cs"/>
          <w:rtl/>
        </w:rPr>
        <w:t>بزرگان این است</w:t>
      </w:r>
      <w:r w:rsidRPr="00ED1581">
        <w:rPr>
          <w:rtl/>
        </w:rPr>
        <w:t xml:space="preserve"> که جنایت و جرح </w:t>
      </w:r>
      <w:r>
        <w:rPr>
          <w:rFonts w:hint="cs"/>
          <w:rtl/>
        </w:rPr>
        <w:t xml:space="preserve">به خودی خود، </w:t>
      </w:r>
      <w:r>
        <w:rPr>
          <w:rtl/>
        </w:rPr>
        <w:t>کشندگی ندا</w:t>
      </w:r>
      <w:r>
        <w:rPr>
          <w:rFonts w:hint="cs"/>
          <w:rtl/>
        </w:rPr>
        <w:t>رد</w:t>
      </w:r>
      <w:r w:rsidRPr="00ED1581">
        <w:rPr>
          <w:rtl/>
        </w:rPr>
        <w:t xml:space="preserve"> و </w:t>
      </w:r>
      <w:r>
        <w:rPr>
          <w:rFonts w:hint="cs"/>
          <w:rtl/>
        </w:rPr>
        <w:t xml:space="preserve">توأم با </w:t>
      </w:r>
      <w:r w:rsidRPr="00ED1581">
        <w:rPr>
          <w:rtl/>
        </w:rPr>
        <w:t xml:space="preserve">قصد قتل هم </w:t>
      </w:r>
      <w:r>
        <w:rPr>
          <w:rFonts w:hint="cs"/>
          <w:rtl/>
        </w:rPr>
        <w:t>وارد نشده است،</w:t>
      </w:r>
      <w:r w:rsidRPr="00ED1581">
        <w:rPr>
          <w:rtl/>
        </w:rPr>
        <w:t xml:space="preserve"> ولی </w:t>
      </w:r>
      <w:r>
        <w:rPr>
          <w:rFonts w:hint="cs"/>
          <w:rtl/>
        </w:rPr>
        <w:t xml:space="preserve">در اثر </w:t>
      </w:r>
      <w:r w:rsidRPr="00ED1581">
        <w:rPr>
          <w:rtl/>
        </w:rPr>
        <w:t>سرایت منجر به موت مجنی علیه شده است.</w:t>
      </w:r>
    </w:p>
    <w:p w:rsidR="00ED1581" w:rsidRDefault="003D04C8" w:rsidP="00ED1581">
      <w:pPr>
        <w:pStyle w:val="Heading2"/>
        <w:rPr>
          <w:rtl/>
        </w:rPr>
      </w:pPr>
      <w:r>
        <w:rPr>
          <w:rFonts w:hint="cs"/>
          <w:rtl/>
        </w:rPr>
        <w:t>بررسی</w:t>
      </w:r>
      <w:r w:rsidR="00ED1581">
        <w:rPr>
          <w:rFonts w:hint="cs"/>
          <w:rtl/>
        </w:rPr>
        <w:t xml:space="preserve"> ثبوت قصاص در مقام</w:t>
      </w:r>
    </w:p>
    <w:p w:rsidR="00ED1581" w:rsidRPr="00ED1581" w:rsidRDefault="00ED1581" w:rsidP="00ED1581">
      <w:pPr>
        <w:rPr>
          <w:rtl/>
        </w:rPr>
      </w:pPr>
      <w:r w:rsidRPr="00ED1581">
        <w:rPr>
          <w:rtl/>
        </w:rPr>
        <w:t>جمعی از بزرگان مثل مرحوم</w:t>
      </w:r>
      <w:r>
        <w:rPr>
          <w:rtl/>
        </w:rPr>
        <w:t xml:space="preserve"> شهید</w:t>
      </w:r>
      <w:r>
        <w:rPr>
          <w:rFonts w:hint="cs"/>
          <w:rtl/>
        </w:rPr>
        <w:t xml:space="preserve"> ثانی</w:t>
      </w:r>
      <w:r>
        <w:rPr>
          <w:rtl/>
        </w:rPr>
        <w:t xml:space="preserve"> و مرحوم فاضل و صاحب جواهر</w:t>
      </w:r>
      <w:r w:rsidRPr="00ED1581">
        <w:rPr>
          <w:rtl/>
        </w:rPr>
        <w:t xml:space="preserve"> و</w:t>
      </w:r>
      <w:r>
        <w:rPr>
          <w:rFonts w:hint="cs"/>
          <w:rtl/>
        </w:rPr>
        <w:t xml:space="preserve"> </w:t>
      </w:r>
      <w:r w:rsidRPr="00ED1581">
        <w:rPr>
          <w:rtl/>
        </w:rPr>
        <w:t xml:space="preserve">مرحوم خویی به </w:t>
      </w:r>
      <w:r>
        <w:rPr>
          <w:rFonts w:hint="cs"/>
          <w:rtl/>
        </w:rPr>
        <w:t xml:space="preserve">حکم </w:t>
      </w:r>
      <w:r w:rsidRPr="00ED1581">
        <w:rPr>
          <w:rtl/>
        </w:rPr>
        <w:t xml:space="preserve">قصاص </w:t>
      </w:r>
      <w:r>
        <w:rPr>
          <w:rFonts w:hint="cs"/>
          <w:rtl/>
        </w:rPr>
        <w:t xml:space="preserve">در مقام، </w:t>
      </w:r>
      <w:r>
        <w:rPr>
          <w:rtl/>
        </w:rPr>
        <w:t>اشکال نموده اند</w:t>
      </w:r>
      <w:r>
        <w:rPr>
          <w:rFonts w:hint="cs"/>
          <w:rtl/>
        </w:rPr>
        <w:t>.</w:t>
      </w:r>
    </w:p>
    <w:p w:rsidR="00ED1581" w:rsidRPr="00ED1581" w:rsidRDefault="00ED1581" w:rsidP="00ED1581">
      <w:pPr>
        <w:rPr>
          <w:rtl/>
        </w:rPr>
      </w:pPr>
      <w:r w:rsidRPr="00ED1581">
        <w:rPr>
          <w:rtl/>
        </w:rPr>
        <w:t xml:space="preserve">آن چه </w:t>
      </w:r>
      <w:r w:rsidR="00D2226E">
        <w:rPr>
          <w:rFonts w:hint="cs"/>
          <w:rtl/>
        </w:rPr>
        <w:t xml:space="preserve">در این جا </w:t>
      </w:r>
      <w:r w:rsidRPr="00ED1581">
        <w:rPr>
          <w:rtl/>
        </w:rPr>
        <w:t>مراد است این است که خود جنایت مستقیما کشنده نیست</w:t>
      </w:r>
      <w:r w:rsidR="00D2226E">
        <w:rPr>
          <w:rFonts w:hint="cs"/>
          <w:rtl/>
        </w:rPr>
        <w:t>؛</w:t>
      </w:r>
      <w:r w:rsidRPr="00ED1581">
        <w:rPr>
          <w:rtl/>
        </w:rPr>
        <w:t xml:space="preserve"> بلکه قتل </w:t>
      </w:r>
      <w:r w:rsidR="00D2226E">
        <w:rPr>
          <w:rtl/>
        </w:rPr>
        <w:t>به سبب سرایت به وقوع پیوسته است</w:t>
      </w:r>
      <w:r w:rsidR="00D2226E">
        <w:rPr>
          <w:rFonts w:hint="cs"/>
          <w:rtl/>
        </w:rPr>
        <w:t>، در حالی که</w:t>
      </w:r>
      <w:r w:rsidRPr="00ED1581">
        <w:rPr>
          <w:rtl/>
        </w:rPr>
        <w:t xml:space="preserve"> آن چه مستقیما واقع شده جرح است.</w:t>
      </w:r>
    </w:p>
    <w:p w:rsidR="00D2226E" w:rsidRDefault="00D2226E" w:rsidP="00D2226E">
      <w:pPr>
        <w:rPr>
          <w:rtl/>
        </w:rPr>
      </w:pPr>
      <w:r>
        <w:rPr>
          <w:rFonts w:hint="cs"/>
          <w:rtl/>
        </w:rPr>
        <w:t>در واقع سرایت در مقابل جنایتی است که ما به آن جنایت مستقیم می گوییم و با آن جنایت مباشر و تسبیبی، تفاوت دارد.</w:t>
      </w:r>
    </w:p>
    <w:p w:rsidR="003D04C8" w:rsidRDefault="003D04C8" w:rsidP="003D04C8">
      <w:pPr>
        <w:pStyle w:val="Heading3"/>
        <w:rPr>
          <w:rtl/>
        </w:rPr>
      </w:pPr>
      <w:r>
        <w:rPr>
          <w:rFonts w:hint="cs"/>
          <w:rtl/>
        </w:rPr>
        <w:t>اطلاق قول به ثبوت قصاص</w:t>
      </w:r>
    </w:p>
    <w:p w:rsidR="00ED1581" w:rsidRPr="00BB3465" w:rsidRDefault="00D2226E" w:rsidP="00BB3465">
      <w:pPr>
        <w:rPr>
          <w:rFonts w:ascii="Noor_Lotus" w:hAnsi="Noor_Lotus" w:cs="Noor_Lotus"/>
          <w:color w:val="000000"/>
          <w:sz w:val="2"/>
          <w:szCs w:val="2"/>
          <w:rtl/>
        </w:rPr>
      </w:pPr>
      <w:r>
        <w:rPr>
          <w:rFonts w:hint="cs"/>
          <w:rtl/>
        </w:rPr>
        <w:t>تعبیری</w:t>
      </w:r>
      <w:r>
        <w:rPr>
          <w:rtl/>
        </w:rPr>
        <w:t xml:space="preserve"> که در ک</w:t>
      </w:r>
      <w:r>
        <w:rPr>
          <w:rFonts w:hint="cs"/>
          <w:rtl/>
        </w:rPr>
        <w:t>لام مرحوم</w:t>
      </w:r>
      <w:r w:rsidR="00ED1581" w:rsidRPr="00ED1581">
        <w:rPr>
          <w:rtl/>
        </w:rPr>
        <w:t xml:space="preserve"> علامه در قواعد</w:t>
      </w:r>
      <w:r w:rsidR="00BB3465">
        <w:rPr>
          <w:rFonts w:hint="cs"/>
          <w:rtl/>
        </w:rPr>
        <w:t>،</w:t>
      </w:r>
      <w:r w:rsidR="00ED1581" w:rsidRPr="00ED1581">
        <w:rPr>
          <w:rtl/>
        </w:rPr>
        <w:t xml:space="preserve"> </w:t>
      </w:r>
      <w:r>
        <w:rPr>
          <w:rFonts w:hint="cs"/>
          <w:rtl/>
        </w:rPr>
        <w:t>این گونه است</w:t>
      </w:r>
      <w:r w:rsidR="00ED1581" w:rsidRPr="00ED1581">
        <w:rPr>
          <w:rtl/>
        </w:rPr>
        <w:t xml:space="preserve">: </w:t>
      </w:r>
      <w:r>
        <w:rPr>
          <w:rFonts w:hint="cs"/>
          <w:rtl/>
        </w:rPr>
        <w:t>«</w:t>
      </w:r>
      <w:r w:rsidR="00BB3465" w:rsidRPr="00BB3465">
        <w:rPr>
          <w:rFonts w:ascii="Noor_Lotus" w:hAnsi="Noor_Lotus" w:cs="Noor_Lotus" w:hint="cs"/>
          <w:color w:val="000000"/>
          <w:sz w:val="30"/>
          <w:szCs w:val="30"/>
          <w:rtl/>
        </w:rPr>
        <w:t xml:space="preserve"> لو سرت جناية العمد، ثبت القصاص في النفس.</w:t>
      </w:r>
      <w:r w:rsidR="00BB3465">
        <w:rPr>
          <w:rFonts w:ascii="Noor_Lotus" w:hAnsi="Noor_Lotus" w:cs="Noor_Lotus" w:hint="cs"/>
          <w:color w:val="000000"/>
          <w:sz w:val="2"/>
          <w:szCs w:val="2"/>
          <w:rtl/>
        </w:rPr>
        <w:t xml:space="preserve"> </w:t>
      </w:r>
      <w:r w:rsidR="00BB3465" w:rsidRPr="00BB3465">
        <w:rPr>
          <w:rFonts w:ascii="Noor_Lotus" w:eastAsia="Times New Roman" w:hAnsi="Noor_Lotus" w:cs="Noor_Lotus" w:hint="cs"/>
          <w:color w:val="000000"/>
          <w:sz w:val="30"/>
          <w:szCs w:val="30"/>
          <w:rtl/>
        </w:rPr>
        <w:t>فلو قطع إصبعه عمدا لا بقصد القتل فسرت إلى نفسه قتل الجارح.</w:t>
      </w:r>
      <w:r>
        <w:rPr>
          <w:rFonts w:hint="cs"/>
          <w:rtl/>
        </w:rPr>
        <w:t>»</w:t>
      </w:r>
      <w:r w:rsidR="00BB3465">
        <w:rPr>
          <w:rStyle w:val="FootnoteReference"/>
          <w:rtl/>
        </w:rPr>
        <w:footnoteReference w:id="1"/>
      </w:r>
      <w:r w:rsidR="00BB3465">
        <w:rPr>
          <w:rFonts w:ascii="Noor_Lotus" w:hAnsi="Noor_Lotus" w:cs="Noor_Lotus" w:hint="cs"/>
          <w:color w:val="000000"/>
          <w:sz w:val="2"/>
          <w:szCs w:val="2"/>
          <w:rtl/>
        </w:rPr>
        <w:t xml:space="preserve"> </w:t>
      </w:r>
    </w:p>
    <w:p w:rsidR="003D04C8" w:rsidRDefault="00ED1581" w:rsidP="003D04C8">
      <w:pPr>
        <w:rPr>
          <w:rtl/>
        </w:rPr>
      </w:pPr>
      <w:r w:rsidRPr="00ED1581">
        <w:rPr>
          <w:rtl/>
        </w:rPr>
        <w:lastRenderedPageBreak/>
        <w:t xml:space="preserve">از این تعبیر جمعی از بزرگان از جمله مرحوم صاحب جواهر تلقی اطلاق کرده اند، </w:t>
      </w:r>
      <w:r w:rsidR="00BB3465">
        <w:rPr>
          <w:rFonts w:hint="cs"/>
          <w:rtl/>
        </w:rPr>
        <w:t>چه این که</w:t>
      </w:r>
      <w:r w:rsidRPr="00ED1581">
        <w:rPr>
          <w:rtl/>
        </w:rPr>
        <w:t xml:space="preserve"> تاثیر جرح در</w:t>
      </w:r>
      <w:r w:rsidR="00BB3465">
        <w:rPr>
          <w:rtl/>
        </w:rPr>
        <w:t xml:space="preserve"> سرایت غالبی باشد یا نه</w:t>
      </w:r>
      <w:r w:rsidR="00BB3465">
        <w:rPr>
          <w:rFonts w:hint="cs"/>
          <w:rtl/>
        </w:rPr>
        <w:t>، مورد جنایت غلبه در سرایت هم نداشته باشد، کما این که مرحوم شهید ثانی در مسالک پا را فراتر گذاشته و این اطلاق را صریح کلام علامه می داند.</w:t>
      </w:r>
      <w:r w:rsidR="003D04C8">
        <w:rPr>
          <w:rStyle w:val="FootnoteReference"/>
          <w:rtl/>
        </w:rPr>
        <w:footnoteReference w:id="2"/>
      </w:r>
    </w:p>
    <w:p w:rsidR="003D04C8" w:rsidRDefault="003D04C8" w:rsidP="003D04C8">
      <w:pPr>
        <w:pStyle w:val="Heading3"/>
        <w:rPr>
          <w:rtl/>
        </w:rPr>
      </w:pPr>
      <w:r>
        <w:rPr>
          <w:rFonts w:hint="cs"/>
          <w:rtl/>
        </w:rPr>
        <w:t xml:space="preserve">اشکال به اطلاق؛ عدم تناسب اطلاق با ملاک و ضابطه </w:t>
      </w:r>
    </w:p>
    <w:p w:rsidR="00ED1581" w:rsidRPr="00A22694" w:rsidRDefault="00ED1581" w:rsidP="0067475C">
      <w:pPr>
        <w:rPr>
          <w:rFonts w:ascii="Noor_Lotus" w:hAnsi="Noor_Lotus" w:cs="Noor_Lotus"/>
          <w:color w:val="000000"/>
          <w:sz w:val="2"/>
          <w:szCs w:val="2"/>
          <w:rtl/>
        </w:rPr>
      </w:pPr>
      <w:r w:rsidRPr="00ED1581">
        <w:rPr>
          <w:rtl/>
        </w:rPr>
        <w:t>بزرگانی مثل فاضل هندی</w:t>
      </w:r>
      <w:r w:rsidR="00A22694">
        <w:rPr>
          <w:rStyle w:val="FootnoteReference"/>
          <w:rtl/>
        </w:rPr>
        <w:footnoteReference w:id="3"/>
      </w:r>
      <w:r w:rsidRPr="00ED1581">
        <w:rPr>
          <w:rtl/>
        </w:rPr>
        <w:t xml:space="preserve"> و شهید ثانی این اطلاق را بر نمی تابند و مرحوم شهید ثانی این اطلاق را </w:t>
      </w:r>
      <w:r w:rsidR="00A22694">
        <w:rPr>
          <w:rtl/>
        </w:rPr>
        <w:t>با ضابطه قصاص سازگار نمی دانند</w:t>
      </w:r>
      <w:r w:rsidR="00A22694">
        <w:rPr>
          <w:rFonts w:hint="cs"/>
          <w:rtl/>
        </w:rPr>
        <w:t>؛ چرا که آن دو ملاکی که لا اقل باید یکی از آن ها باشد تا از دید این بزرگان عمد محقق شود، در این جا وجود ندارد. «</w:t>
      </w:r>
      <w:r w:rsidR="00A22694" w:rsidRPr="00A22694">
        <w:rPr>
          <w:rFonts w:ascii="Noor_Lotus" w:hAnsi="Noor_Lotus" w:cs="Noor_Lotus" w:hint="cs"/>
          <w:color w:val="000000"/>
          <w:sz w:val="30"/>
          <w:szCs w:val="30"/>
          <w:rtl/>
        </w:rPr>
        <w:t>و تمشية هذا الإطلاق على قاعدة العمد السابقة لا يخلو من إشكال.</w:t>
      </w:r>
      <w:r w:rsidR="00A22694">
        <w:rPr>
          <w:rFonts w:ascii="Noor_Lotus" w:hAnsi="Noor_Lotus" w:cs="Noor_Lotus" w:hint="cs"/>
          <w:color w:val="000000"/>
          <w:sz w:val="30"/>
          <w:szCs w:val="30"/>
          <w:rtl/>
        </w:rPr>
        <w:t>»</w:t>
      </w:r>
      <w:r w:rsidR="0067475C">
        <w:rPr>
          <w:rStyle w:val="FootnoteReference"/>
          <w:rFonts w:ascii="Noor_Lotus" w:hAnsi="Noor_Lotus" w:cs="Noor_Lotus"/>
          <w:color w:val="000000"/>
          <w:sz w:val="30"/>
          <w:szCs w:val="30"/>
          <w:rtl/>
        </w:rPr>
        <w:footnoteReference w:id="4"/>
      </w:r>
    </w:p>
    <w:p w:rsidR="00A22694" w:rsidRDefault="00A22694" w:rsidP="00A22694">
      <w:pPr>
        <w:pStyle w:val="Heading4"/>
        <w:rPr>
          <w:rtl/>
        </w:rPr>
      </w:pPr>
      <w:r>
        <w:rPr>
          <w:rFonts w:hint="cs"/>
          <w:rtl/>
        </w:rPr>
        <w:t>مسامحه مرحوم آقای خویی</w:t>
      </w:r>
      <w:r w:rsidR="0067475C">
        <w:rPr>
          <w:rFonts w:hint="cs"/>
          <w:rtl/>
        </w:rPr>
        <w:t xml:space="preserve"> ره</w:t>
      </w:r>
    </w:p>
    <w:p w:rsidR="00A22694" w:rsidRPr="009342A6" w:rsidRDefault="009342A6" w:rsidP="009342A6">
      <w:pPr>
        <w:spacing w:before="100" w:beforeAutospacing="1" w:after="100" w:afterAutospacing="1" w:line="240" w:lineRule="auto"/>
        <w:rPr>
          <w:i/>
          <w:color w:val="0000FF"/>
          <w:rtl/>
        </w:rPr>
      </w:pPr>
      <w:r w:rsidRPr="009342A6">
        <w:rPr>
          <w:rStyle w:val="SubtleEmphasis"/>
          <w:rFonts w:hint="cs"/>
          <w:rtl/>
        </w:rPr>
        <w:t>(مسألة 5): إذا جنى عمدا و لم تكن الجناية مما تقتل غالبا و لم يكن الجاني‌ قد قصد بها القتل و لكن اتفق موت المجني عليه بالسراية فالمشهور بين الأصحاب ثبوت القود و لكنه لا يخلو من اشكال، بل لا يبعد عدمه، فيجري عليه حكم القتل الشبيه بالعمد.</w:t>
      </w:r>
      <w:r>
        <w:rPr>
          <w:rStyle w:val="FootnoteReference"/>
          <w:i/>
          <w:color w:val="0000FF"/>
          <w:rtl/>
        </w:rPr>
        <w:footnoteReference w:id="5"/>
      </w:r>
    </w:p>
    <w:p w:rsidR="00ED1581" w:rsidRDefault="00ED1581" w:rsidP="009342A6">
      <w:pPr>
        <w:rPr>
          <w:rtl/>
        </w:rPr>
      </w:pPr>
      <w:r w:rsidRPr="00ED1581">
        <w:rPr>
          <w:rtl/>
        </w:rPr>
        <w:t xml:space="preserve">عبارت مرحوم خویی </w:t>
      </w:r>
      <w:r w:rsidR="009342A6">
        <w:rPr>
          <w:rFonts w:hint="cs"/>
          <w:rtl/>
        </w:rPr>
        <w:t xml:space="preserve">در مقام، </w:t>
      </w:r>
      <w:r w:rsidRPr="00ED1581">
        <w:rPr>
          <w:rtl/>
        </w:rPr>
        <w:t>مشتمل بر مسامح</w:t>
      </w:r>
      <w:r w:rsidR="009342A6">
        <w:rPr>
          <w:rtl/>
        </w:rPr>
        <w:t>ه است</w:t>
      </w:r>
      <w:r w:rsidR="009342A6">
        <w:rPr>
          <w:rFonts w:hint="cs"/>
          <w:rtl/>
        </w:rPr>
        <w:t>؛ چرا که</w:t>
      </w:r>
      <w:r w:rsidR="009342A6">
        <w:rPr>
          <w:rtl/>
        </w:rPr>
        <w:t xml:space="preserve"> قطعا مراد ایشان </w:t>
      </w:r>
      <w:r w:rsidR="009342A6">
        <w:rPr>
          <w:rFonts w:hint="cs"/>
          <w:rtl/>
        </w:rPr>
        <w:t xml:space="preserve">این است که ولو جنایت غالبا کشنده نیست، اما </w:t>
      </w:r>
      <w:r w:rsidRPr="00ED1581">
        <w:rPr>
          <w:rtl/>
        </w:rPr>
        <w:t xml:space="preserve">تأثیر جنایت در سرایت غالبی </w:t>
      </w:r>
      <w:r w:rsidR="009342A6">
        <w:rPr>
          <w:rFonts w:hint="cs"/>
          <w:rtl/>
        </w:rPr>
        <w:t>نیست، و سرایت اتفاقی و تصادفی به وقوع پیوسته است.</w:t>
      </w:r>
    </w:p>
    <w:p w:rsidR="009342A6" w:rsidRPr="00ED1581" w:rsidRDefault="009342A6" w:rsidP="009342A6">
      <w:pPr>
        <w:rPr>
          <w:rtl/>
        </w:rPr>
      </w:pPr>
      <w:r>
        <w:rPr>
          <w:rFonts w:hint="cs"/>
          <w:rtl/>
        </w:rPr>
        <w:t>به هر حال در مقام حق با مرحوم آقای خویی و دیگر اعلام است و ما نحن فیه از موارد قتل شبه عمد است.</w:t>
      </w:r>
    </w:p>
    <w:p w:rsidR="009342A6" w:rsidRDefault="009342A6" w:rsidP="00ED1581">
      <w:pPr>
        <w:rPr>
          <w:rtl/>
        </w:rPr>
      </w:pPr>
    </w:p>
    <w:p w:rsidR="00ED1581" w:rsidRPr="00ED1581" w:rsidRDefault="009342A6" w:rsidP="009342A6">
      <w:pPr>
        <w:pStyle w:val="Heading3"/>
        <w:rPr>
          <w:rtl/>
        </w:rPr>
      </w:pPr>
      <w:r>
        <w:rPr>
          <w:rFonts w:hint="cs"/>
          <w:rtl/>
        </w:rPr>
        <w:lastRenderedPageBreak/>
        <w:t xml:space="preserve">بررسی انتساب قول قصاص </w:t>
      </w:r>
      <w:r w:rsidR="008B6395">
        <w:rPr>
          <w:rFonts w:hint="cs"/>
          <w:rtl/>
        </w:rPr>
        <w:t xml:space="preserve">مطلق </w:t>
      </w:r>
      <w:r w:rsidR="00ED1581" w:rsidRPr="00ED1581">
        <w:rPr>
          <w:rtl/>
        </w:rPr>
        <w:t>به مشهور</w:t>
      </w:r>
    </w:p>
    <w:p w:rsidR="00ED1581" w:rsidRPr="00ED1581" w:rsidRDefault="009342A6" w:rsidP="008B6395">
      <w:pPr>
        <w:rPr>
          <w:rtl/>
        </w:rPr>
      </w:pPr>
      <w:r>
        <w:rPr>
          <w:rFonts w:hint="cs"/>
          <w:rtl/>
        </w:rPr>
        <w:t xml:space="preserve">آن چه که به مشهور نسبت داده شده است، حکم ثبوت قصاص در مقام </w:t>
      </w:r>
      <w:r w:rsidR="008B6395">
        <w:rPr>
          <w:rFonts w:hint="cs"/>
          <w:rtl/>
        </w:rPr>
        <w:t xml:space="preserve">به نحو مطلق </w:t>
      </w:r>
      <w:r>
        <w:rPr>
          <w:rFonts w:hint="cs"/>
          <w:rtl/>
        </w:rPr>
        <w:t xml:space="preserve">است، </w:t>
      </w:r>
      <w:r w:rsidR="00ED1581" w:rsidRPr="00ED1581">
        <w:rPr>
          <w:rtl/>
        </w:rPr>
        <w:t>ولو این که سرایت غالبی نباشد.</w:t>
      </w:r>
    </w:p>
    <w:p w:rsidR="00ED1581" w:rsidRPr="00ED1581" w:rsidRDefault="00ED1581" w:rsidP="00ED1581">
      <w:pPr>
        <w:rPr>
          <w:rtl/>
        </w:rPr>
      </w:pPr>
      <w:r w:rsidRPr="00ED1581">
        <w:rPr>
          <w:rtl/>
        </w:rPr>
        <w:t>برای بررسی این ادعا عبارت دو نفر از اعلام ذکر می شود.</w:t>
      </w:r>
    </w:p>
    <w:p w:rsidR="00ED1581" w:rsidRPr="00ED1581" w:rsidRDefault="00ED1581" w:rsidP="008B6395">
      <w:pPr>
        <w:rPr>
          <w:rtl/>
        </w:rPr>
      </w:pPr>
      <w:r w:rsidRPr="00ED1581">
        <w:rPr>
          <w:rtl/>
        </w:rPr>
        <w:t>مرحوم علامه در قواعد</w:t>
      </w:r>
      <w:r w:rsidR="008B6395">
        <w:rPr>
          <w:rFonts w:hint="cs"/>
          <w:rtl/>
        </w:rPr>
        <w:t xml:space="preserve"> می فرماید</w:t>
      </w:r>
      <w:r w:rsidRPr="00ED1581">
        <w:rPr>
          <w:rtl/>
        </w:rPr>
        <w:t xml:space="preserve">: </w:t>
      </w:r>
      <w:r w:rsidR="008B6395">
        <w:rPr>
          <w:rFonts w:hint="cs"/>
          <w:rtl/>
        </w:rPr>
        <w:t>«</w:t>
      </w:r>
      <w:r w:rsidRPr="008B6395">
        <w:rPr>
          <w:rFonts w:ascii="Noor_Lotus" w:hAnsi="Noor_Lotus"/>
          <w:sz w:val="30"/>
          <w:szCs w:val="30"/>
          <w:rtl/>
        </w:rPr>
        <w:t>لو سرت جناية العمد، ثبت القصاص في النفس.</w:t>
      </w:r>
      <w:r w:rsidR="008B6395">
        <w:rPr>
          <w:rFonts w:ascii="Noor_Lotus" w:hAnsi="Noor_Lotus" w:hint="cs"/>
          <w:sz w:val="30"/>
          <w:szCs w:val="30"/>
          <w:rtl/>
        </w:rPr>
        <w:t xml:space="preserve"> </w:t>
      </w:r>
      <w:r w:rsidRPr="008B6395">
        <w:rPr>
          <w:rFonts w:ascii="Noor_Lotus" w:hAnsi="Noor_Lotus"/>
          <w:sz w:val="30"/>
          <w:szCs w:val="30"/>
          <w:rtl/>
        </w:rPr>
        <w:t>فلو قطع إصبعه عمدا لا بقصد القتل فسرت إلى نفسه قتل الجارح.</w:t>
      </w:r>
      <w:r w:rsidR="008B6395" w:rsidRPr="008B6395">
        <w:rPr>
          <w:rFonts w:ascii="Noor_Lotus" w:hAnsi="Noor_Lotus" w:hint="cs"/>
          <w:sz w:val="30"/>
          <w:szCs w:val="30"/>
          <w:rtl/>
        </w:rPr>
        <w:t>»</w:t>
      </w:r>
      <w:r w:rsidR="008B6395">
        <w:rPr>
          <w:rFonts w:ascii="Noor_Lotus" w:hAnsi="Noor_Lotus" w:hint="cs"/>
          <w:sz w:val="30"/>
          <w:szCs w:val="30"/>
          <w:rtl/>
        </w:rPr>
        <w:t>،</w:t>
      </w:r>
      <w:r w:rsidR="008B6395">
        <w:rPr>
          <w:rStyle w:val="FootnoteReference"/>
          <w:rtl/>
        </w:rPr>
        <w:footnoteReference w:id="6"/>
      </w:r>
      <w:r w:rsidR="008B6395" w:rsidRPr="00ED1581">
        <w:rPr>
          <w:rtl/>
        </w:rPr>
        <w:t xml:space="preserve"> </w:t>
      </w:r>
      <w:r w:rsidRPr="00ED1581">
        <w:rPr>
          <w:rtl/>
        </w:rPr>
        <w:t>همان طور که مشخص است در این عبارت اثری از قید غلبه دیده نمی شود.</w:t>
      </w:r>
    </w:p>
    <w:p w:rsidR="00ED1581" w:rsidRPr="00ED1581" w:rsidRDefault="00ED1581" w:rsidP="008B6395">
      <w:pPr>
        <w:rPr>
          <w:rtl/>
        </w:rPr>
      </w:pPr>
      <w:r w:rsidRPr="00ED1581">
        <w:rPr>
          <w:rtl/>
        </w:rPr>
        <w:t xml:space="preserve">مرحوم محقق </w:t>
      </w:r>
      <w:r w:rsidR="008B6395">
        <w:rPr>
          <w:rFonts w:hint="cs"/>
          <w:rtl/>
        </w:rPr>
        <w:t xml:space="preserve">هم </w:t>
      </w:r>
      <w:r w:rsidRPr="00ED1581">
        <w:rPr>
          <w:rtl/>
        </w:rPr>
        <w:t>در مختصر</w:t>
      </w:r>
      <w:r w:rsidR="008B6395">
        <w:rPr>
          <w:rFonts w:hint="cs"/>
          <w:rtl/>
        </w:rPr>
        <w:t xml:space="preserve"> این گونه تعبیر دارد</w:t>
      </w:r>
      <w:r w:rsidRPr="00ED1581">
        <w:rPr>
          <w:rtl/>
        </w:rPr>
        <w:t>:</w:t>
      </w:r>
      <w:r w:rsidR="008B6395">
        <w:rPr>
          <w:rFonts w:hint="cs"/>
          <w:rtl/>
        </w:rPr>
        <w:t xml:space="preserve"> </w:t>
      </w:r>
      <w:r w:rsidR="008B6395" w:rsidRPr="0067475C">
        <w:rPr>
          <w:rStyle w:val="a3"/>
          <w:rFonts w:hint="cs"/>
          <w:rtl/>
        </w:rPr>
        <w:t>«</w:t>
      </w:r>
      <w:r w:rsidRPr="0067475C">
        <w:rPr>
          <w:rStyle w:val="a3"/>
          <w:rtl/>
        </w:rPr>
        <w:t>و لو جرح جان فسرت الجناية دخل قصاص الطرف في النفس، أما لو جرحه و قتله، فقولان: أحدهما لا يدخل قصاص الطرف في النفس، و الآخر: يدخل.</w:t>
      </w:r>
      <w:r w:rsidR="008B6395" w:rsidRPr="0067475C">
        <w:rPr>
          <w:rStyle w:val="a3"/>
          <w:rFonts w:hint="cs"/>
          <w:rtl/>
        </w:rPr>
        <w:t xml:space="preserve"> </w:t>
      </w:r>
      <w:r w:rsidRPr="0067475C">
        <w:rPr>
          <w:rStyle w:val="a3"/>
          <w:rtl/>
        </w:rPr>
        <w:t>و في «النهاية». ان فرقه لم يدخل، و مستندها رواية محمد بن قيس.</w:t>
      </w:r>
      <w:r w:rsidR="008B6395" w:rsidRPr="0067475C">
        <w:rPr>
          <w:rStyle w:val="a3"/>
          <w:rFonts w:hint="cs"/>
          <w:rtl/>
        </w:rPr>
        <w:t xml:space="preserve"> </w:t>
      </w:r>
      <w:r w:rsidRPr="0067475C">
        <w:rPr>
          <w:rStyle w:val="a3"/>
          <w:rtl/>
        </w:rPr>
        <w:t>و تدخل دية الطرف في دية النفس إجماعا.</w:t>
      </w:r>
      <w:r w:rsidR="008B6395" w:rsidRPr="0067475C">
        <w:rPr>
          <w:rStyle w:val="a3"/>
          <w:rFonts w:hint="cs"/>
          <w:rtl/>
        </w:rPr>
        <w:t>»</w:t>
      </w:r>
      <w:r w:rsidR="008B6395" w:rsidRPr="0067475C">
        <w:rPr>
          <w:rStyle w:val="a3"/>
          <w:vertAlign w:val="superscript"/>
          <w:rtl/>
        </w:rPr>
        <w:footnoteReference w:id="7"/>
      </w:r>
    </w:p>
    <w:p w:rsidR="008B6395" w:rsidRDefault="008B6395" w:rsidP="008B6395">
      <w:pPr>
        <w:pStyle w:val="Heading4"/>
        <w:rPr>
          <w:rtl/>
        </w:rPr>
      </w:pPr>
      <w:r>
        <w:rPr>
          <w:rFonts w:hint="cs"/>
          <w:rtl/>
        </w:rPr>
        <w:t>خلط مبحث در تلقی اطلاق</w:t>
      </w:r>
    </w:p>
    <w:p w:rsidR="00ED1581" w:rsidRPr="00ED1581" w:rsidRDefault="008B6395" w:rsidP="008B6395">
      <w:pPr>
        <w:rPr>
          <w:rtl/>
        </w:rPr>
      </w:pPr>
      <w:r>
        <w:rPr>
          <w:rFonts w:hint="cs"/>
          <w:rtl/>
        </w:rPr>
        <w:t xml:space="preserve">آن هایی که به مشهور چنین نسبتی داده اند، از چنین تعابیری، </w:t>
      </w:r>
      <w:r w:rsidR="00ED1581" w:rsidRPr="00ED1581">
        <w:rPr>
          <w:rtl/>
        </w:rPr>
        <w:t xml:space="preserve">تلقی اطلاق </w:t>
      </w:r>
      <w:r>
        <w:rPr>
          <w:rFonts w:hint="cs"/>
          <w:rtl/>
        </w:rPr>
        <w:t xml:space="preserve">نموده اند، در حالی که حق این است که استفاده اطلاق از </w:t>
      </w:r>
      <w:r w:rsidR="00ED1581" w:rsidRPr="00ED1581">
        <w:rPr>
          <w:rtl/>
        </w:rPr>
        <w:t>این عبارات تمام نیست.</w:t>
      </w:r>
    </w:p>
    <w:p w:rsidR="00ED1581" w:rsidRPr="00ED1581" w:rsidRDefault="008B6395" w:rsidP="008B6395">
      <w:pPr>
        <w:rPr>
          <w:rtl/>
        </w:rPr>
      </w:pPr>
      <w:r>
        <w:rPr>
          <w:rFonts w:hint="cs"/>
          <w:rtl/>
        </w:rPr>
        <w:t xml:space="preserve">به نظر می رسد که منشأ خلطی که در این جا صورت گرفته است، ذکر مباحث و مسائل سرایت، </w:t>
      </w:r>
      <w:r w:rsidR="00ED1581" w:rsidRPr="00ED1581">
        <w:rPr>
          <w:rtl/>
        </w:rPr>
        <w:t>ذیل عنوان عمد است</w:t>
      </w:r>
      <w:r>
        <w:rPr>
          <w:rFonts w:hint="cs"/>
          <w:rtl/>
        </w:rPr>
        <w:t>،</w:t>
      </w:r>
      <w:r w:rsidR="00ED1581" w:rsidRPr="00ED1581">
        <w:rPr>
          <w:rtl/>
        </w:rPr>
        <w:t xml:space="preserve"> کما این که استناد هم ذیل عمد آمده </w:t>
      </w:r>
      <w:r>
        <w:rPr>
          <w:rFonts w:hint="cs"/>
          <w:rtl/>
        </w:rPr>
        <w:t>بود و منجر به ایجاد مشکلاتی شده بود</w:t>
      </w:r>
      <w:r w:rsidR="00ED1581" w:rsidRPr="00ED1581">
        <w:rPr>
          <w:rtl/>
        </w:rPr>
        <w:t xml:space="preserve">، </w:t>
      </w:r>
      <w:r>
        <w:rPr>
          <w:rFonts w:hint="cs"/>
          <w:rtl/>
        </w:rPr>
        <w:t xml:space="preserve">لذا حق این است که </w:t>
      </w:r>
      <w:r w:rsidR="00ED1581" w:rsidRPr="00ED1581">
        <w:rPr>
          <w:rtl/>
        </w:rPr>
        <w:t xml:space="preserve">این در هم ریختگی </w:t>
      </w:r>
      <w:r>
        <w:rPr>
          <w:rFonts w:hint="cs"/>
          <w:rtl/>
        </w:rPr>
        <w:t xml:space="preserve">در شکل و جایگاه مباحث </w:t>
      </w:r>
      <w:r w:rsidR="00ED1581" w:rsidRPr="00ED1581">
        <w:rPr>
          <w:rtl/>
        </w:rPr>
        <w:t>منشأ این اطلاق باشد.</w:t>
      </w:r>
    </w:p>
    <w:p w:rsidR="00ED1581" w:rsidRPr="00ED1581" w:rsidRDefault="008B6395" w:rsidP="00896734">
      <w:pPr>
        <w:rPr>
          <w:rtl/>
        </w:rPr>
      </w:pPr>
      <w:r>
        <w:rPr>
          <w:rFonts w:hint="cs"/>
          <w:rtl/>
        </w:rPr>
        <w:t xml:space="preserve">در حقیقت </w:t>
      </w:r>
      <w:r w:rsidR="00ED1581" w:rsidRPr="00ED1581">
        <w:rPr>
          <w:rtl/>
        </w:rPr>
        <w:t xml:space="preserve">مراد این است که ملاک در </w:t>
      </w:r>
      <w:r>
        <w:rPr>
          <w:rFonts w:hint="cs"/>
          <w:rtl/>
        </w:rPr>
        <w:t xml:space="preserve">استحقاق </w:t>
      </w:r>
      <w:r w:rsidR="00ED1581" w:rsidRPr="00ED1581">
        <w:rPr>
          <w:rtl/>
        </w:rPr>
        <w:t>مجنی علیه</w:t>
      </w:r>
      <w:r>
        <w:rPr>
          <w:rFonts w:hint="cs"/>
          <w:rtl/>
        </w:rPr>
        <w:t>،</w:t>
      </w:r>
      <w:r w:rsidR="00ED1581" w:rsidRPr="00ED1581">
        <w:rPr>
          <w:rtl/>
        </w:rPr>
        <w:t xml:space="preserve"> جنایت ابتدایی نیست</w:t>
      </w:r>
      <w:r>
        <w:rPr>
          <w:rFonts w:hint="cs"/>
          <w:rtl/>
        </w:rPr>
        <w:t>،</w:t>
      </w:r>
      <w:r>
        <w:rPr>
          <w:rtl/>
        </w:rPr>
        <w:t xml:space="preserve"> بلکه آن انفعال نهایی است</w:t>
      </w:r>
      <w:r>
        <w:rPr>
          <w:rFonts w:hint="cs"/>
          <w:rtl/>
        </w:rPr>
        <w:t xml:space="preserve"> و منشأش جنایت اولیه بوده است. </w:t>
      </w:r>
      <w:r w:rsidR="00ED1581" w:rsidRPr="00ED1581">
        <w:rPr>
          <w:rtl/>
        </w:rPr>
        <w:t xml:space="preserve">در جایی که منتهای جنایت موت شد، دیگر جای قصاص طرف نیست و تداخل حاصل می شود. </w:t>
      </w:r>
      <w:r>
        <w:rPr>
          <w:rFonts w:hint="cs"/>
          <w:rtl/>
        </w:rPr>
        <w:t>و از آن جا که</w:t>
      </w:r>
      <w:r w:rsidR="00ED1581" w:rsidRPr="00ED1581">
        <w:rPr>
          <w:rtl/>
        </w:rPr>
        <w:t xml:space="preserve"> این تعابیر، در مقام بیان شرایط و خصوصیات نیست</w:t>
      </w:r>
      <w:r w:rsidR="00896734">
        <w:rPr>
          <w:rFonts w:hint="cs"/>
          <w:rtl/>
        </w:rPr>
        <w:t>،</w:t>
      </w:r>
      <w:r w:rsidR="00ED1581" w:rsidRPr="00ED1581">
        <w:rPr>
          <w:rtl/>
        </w:rPr>
        <w:t xml:space="preserve"> </w:t>
      </w:r>
      <w:r w:rsidR="00896734">
        <w:rPr>
          <w:rFonts w:hint="cs"/>
          <w:rtl/>
        </w:rPr>
        <w:t xml:space="preserve">به صرف </w:t>
      </w:r>
      <w:r w:rsidR="00ED1581" w:rsidRPr="00ED1581">
        <w:rPr>
          <w:rtl/>
        </w:rPr>
        <w:t>عدم ذکر قید غلبه</w:t>
      </w:r>
      <w:r w:rsidR="00896734">
        <w:rPr>
          <w:rFonts w:hint="cs"/>
          <w:rtl/>
        </w:rPr>
        <w:t>، نمی توان</w:t>
      </w:r>
      <w:r w:rsidR="00ED1581" w:rsidRPr="00ED1581">
        <w:rPr>
          <w:rtl/>
        </w:rPr>
        <w:t xml:space="preserve"> اطلاق گیری </w:t>
      </w:r>
      <w:r w:rsidR="00896734">
        <w:rPr>
          <w:rFonts w:hint="cs"/>
          <w:rtl/>
        </w:rPr>
        <w:t>کرد</w:t>
      </w:r>
      <w:r w:rsidR="00ED1581" w:rsidRPr="00ED1581">
        <w:rPr>
          <w:rtl/>
        </w:rPr>
        <w:t xml:space="preserve">، کما این که بحث شرط بلوغ </w:t>
      </w:r>
      <w:r w:rsidR="00896734">
        <w:rPr>
          <w:rFonts w:hint="cs"/>
          <w:rtl/>
        </w:rPr>
        <w:t xml:space="preserve">در </w:t>
      </w:r>
      <w:r w:rsidR="00896734">
        <w:rPr>
          <w:rtl/>
        </w:rPr>
        <w:t xml:space="preserve">جانی و </w:t>
      </w:r>
      <w:r w:rsidR="00896734">
        <w:rPr>
          <w:rFonts w:hint="cs"/>
          <w:rtl/>
        </w:rPr>
        <w:t>دیگر شرایط</w:t>
      </w:r>
      <w:r w:rsidR="00ED1581" w:rsidRPr="00ED1581">
        <w:rPr>
          <w:rtl/>
        </w:rPr>
        <w:t xml:space="preserve"> هم نیامده است.</w:t>
      </w:r>
    </w:p>
    <w:p w:rsidR="00B17BD3" w:rsidRDefault="00ED1581" w:rsidP="00B17BD3">
      <w:pPr>
        <w:rPr>
          <w:rtl/>
        </w:rPr>
      </w:pPr>
      <w:r w:rsidRPr="00ED1581">
        <w:rPr>
          <w:rtl/>
        </w:rPr>
        <w:lastRenderedPageBreak/>
        <w:t xml:space="preserve">به نظر می رسد که چنین تعابیری در مقام بیان شرایط نیست بلکه از این حیث بحث </w:t>
      </w:r>
      <w:r w:rsidR="00896734">
        <w:rPr>
          <w:rFonts w:hint="cs"/>
          <w:rtl/>
        </w:rPr>
        <w:t>م</w:t>
      </w:r>
      <w:r w:rsidRPr="00ED1581">
        <w:rPr>
          <w:rtl/>
        </w:rPr>
        <w:t>ی کنند که جنایت بالسرایة هم مثل جنایت مستقیم مستند به جانی می شود.</w:t>
      </w:r>
      <w:r w:rsidR="00896734">
        <w:rPr>
          <w:rFonts w:hint="cs"/>
          <w:rtl/>
        </w:rPr>
        <w:t xml:space="preserve"> و </w:t>
      </w:r>
      <w:r w:rsidRPr="00ED1581">
        <w:rPr>
          <w:rtl/>
        </w:rPr>
        <w:t>در بحث استناد دو حیث از بحث وجود دارد که یکی از آن ها سبب و مباشر و دیگری همین جا یعنی مسقیم و مباشر</w:t>
      </w:r>
      <w:r w:rsidR="00896734">
        <w:rPr>
          <w:rFonts w:hint="cs"/>
          <w:rtl/>
        </w:rPr>
        <w:t xml:space="preserve"> است</w:t>
      </w:r>
      <w:r w:rsidRPr="00ED1581">
        <w:rPr>
          <w:rtl/>
        </w:rPr>
        <w:t>.</w:t>
      </w:r>
    </w:p>
    <w:p w:rsidR="00896734" w:rsidRDefault="00896734" w:rsidP="008B6395">
      <w:pPr>
        <w:rPr>
          <w:rtl/>
        </w:rPr>
      </w:pPr>
      <w:r>
        <w:rPr>
          <w:rFonts w:hint="cs"/>
          <w:rtl/>
        </w:rPr>
        <w:t xml:space="preserve">ان قلت: </w:t>
      </w:r>
      <w:r w:rsidR="00B17BD3">
        <w:rPr>
          <w:rFonts w:hint="cs"/>
          <w:rtl/>
        </w:rPr>
        <w:t>ممکن است اطلاق موجود و منسوب در مقام از باب وجود نص خاصی دال بر این حکم بوده باشد.</w:t>
      </w:r>
      <w:r>
        <w:rPr>
          <w:rFonts w:hint="cs"/>
          <w:rtl/>
        </w:rPr>
        <w:t xml:space="preserve"> </w:t>
      </w:r>
    </w:p>
    <w:p w:rsidR="00ED1581" w:rsidRPr="00ED1581" w:rsidRDefault="00B17BD3" w:rsidP="00B17BD3">
      <w:pPr>
        <w:rPr>
          <w:rtl/>
        </w:rPr>
      </w:pPr>
      <w:r>
        <w:rPr>
          <w:rFonts w:hint="cs"/>
          <w:rtl/>
        </w:rPr>
        <w:t>قلت: این احتمال هم غیر معقول است؛</w:t>
      </w:r>
      <w:r w:rsidR="00ED1581" w:rsidRPr="00ED1581">
        <w:rPr>
          <w:rtl/>
        </w:rPr>
        <w:t xml:space="preserve"> چرا که در کلام بزرگان قدامی که اصلا این مسأله مطرح نشده است </w:t>
      </w:r>
      <w:r>
        <w:rPr>
          <w:rFonts w:hint="cs"/>
          <w:rtl/>
        </w:rPr>
        <w:t xml:space="preserve">و از طرفی </w:t>
      </w:r>
      <w:r w:rsidR="00ED1581" w:rsidRPr="00ED1581">
        <w:rPr>
          <w:rtl/>
        </w:rPr>
        <w:t xml:space="preserve">احتمال ندارد که نصی </w:t>
      </w:r>
      <w:r>
        <w:rPr>
          <w:rFonts w:hint="cs"/>
          <w:rtl/>
        </w:rPr>
        <w:t xml:space="preserve">در مقام </w:t>
      </w:r>
      <w:r>
        <w:rPr>
          <w:rtl/>
        </w:rPr>
        <w:t>بوده است که قدما</w:t>
      </w:r>
      <w:r w:rsidR="00ED1581" w:rsidRPr="00ED1581">
        <w:rPr>
          <w:rtl/>
        </w:rPr>
        <w:t xml:space="preserve"> به آن نرسیده اند ولی متأخرین بر اساس آن فتوا می دهند بدون ای</w:t>
      </w:r>
      <w:r>
        <w:rPr>
          <w:rtl/>
        </w:rPr>
        <w:t>ن که به این نص اشاره کرده باشند</w:t>
      </w:r>
      <w:r>
        <w:rPr>
          <w:rFonts w:hint="cs"/>
          <w:rtl/>
        </w:rPr>
        <w:t>، لا اقل اگر این حکم بر اساس نص و روایت می بود باید اشاره ای به آن می شد.</w:t>
      </w:r>
    </w:p>
    <w:p w:rsidR="00ED1581" w:rsidRPr="00ED1581" w:rsidRDefault="00ED1581" w:rsidP="00ED1581">
      <w:pPr>
        <w:rPr>
          <w:color w:val="286564"/>
          <w:rtl/>
        </w:rPr>
      </w:pPr>
      <w:r w:rsidRPr="00ED1581">
        <w:rPr>
          <w:rFonts w:ascii="Cambria" w:hAnsi="Cambria" w:cs="Cambria" w:hint="cs"/>
          <w:color w:val="286564"/>
          <w:rtl/>
        </w:rPr>
        <w:t> </w:t>
      </w:r>
    </w:p>
    <w:p w:rsidR="001A1EA5" w:rsidRPr="006162A2" w:rsidRDefault="001A1EA5" w:rsidP="006162A2">
      <w:pPr>
        <w:rPr>
          <w:rtl/>
        </w:rPr>
      </w:pPr>
      <w:bookmarkStart w:id="3" w:name="_GoBack"/>
      <w:bookmarkEnd w:id="3"/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FBA" w:rsidRDefault="00C41FBA" w:rsidP="008B750B">
      <w:pPr>
        <w:spacing w:line="240" w:lineRule="auto"/>
      </w:pPr>
      <w:r>
        <w:separator/>
      </w:r>
    </w:p>
  </w:endnote>
  <w:endnote w:type="continuationSeparator" w:id="0">
    <w:p w:rsidR="00C41FBA" w:rsidRDefault="00C41FBA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04"/>
      <w:gridCol w:w="2202"/>
      <w:gridCol w:w="4698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67475C" w:rsidRPr="0067475C">
            <w:rPr>
              <w:noProof/>
              <w:rtl/>
              <w:lang w:val="fa-IR"/>
            </w:rPr>
            <w:t>4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CE12D8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F1mq1_13960723-013_ar1_mfeb.ir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FBA" w:rsidRDefault="00C41FBA" w:rsidP="008B750B">
      <w:pPr>
        <w:spacing w:line="240" w:lineRule="auto"/>
      </w:pPr>
      <w:r>
        <w:separator/>
      </w:r>
    </w:p>
  </w:footnote>
  <w:footnote w:type="continuationSeparator" w:id="0">
    <w:p w:rsidR="00C41FBA" w:rsidRDefault="00C41FBA" w:rsidP="008B750B">
      <w:pPr>
        <w:spacing w:line="240" w:lineRule="auto"/>
      </w:pPr>
      <w:r>
        <w:continuationSeparator/>
      </w:r>
    </w:p>
  </w:footnote>
  <w:footnote w:id="1">
    <w:p w:rsidR="003D04C8" w:rsidRPr="003D04C8" w:rsidRDefault="00BB3465" w:rsidP="003D04C8">
      <w:pPr>
        <w:pStyle w:val="a1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="003D04C8" w:rsidRPr="003D04C8">
        <w:rPr>
          <w:rFonts w:hint="cs"/>
          <w:rtl/>
        </w:rPr>
        <w:t>قواعد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الأحكام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في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معرفة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الحلال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و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الحرام،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ج‌</w:t>
      </w:r>
      <w:r w:rsidR="003D04C8" w:rsidRPr="003D04C8">
        <w:rPr>
          <w:rtl/>
        </w:rPr>
        <w:t>3</w:t>
      </w:r>
      <w:r w:rsidR="003D04C8" w:rsidRPr="003D04C8">
        <w:rPr>
          <w:rFonts w:hint="cs"/>
          <w:rtl/>
        </w:rPr>
        <w:t>،</w:t>
      </w:r>
      <w:r w:rsidR="003D04C8" w:rsidRPr="003D04C8">
        <w:rPr>
          <w:rtl/>
        </w:rPr>
        <w:t xml:space="preserve"> </w:t>
      </w:r>
      <w:r w:rsidR="003D04C8" w:rsidRPr="003D04C8">
        <w:rPr>
          <w:rFonts w:hint="cs"/>
          <w:rtl/>
        </w:rPr>
        <w:t>ص</w:t>
      </w:r>
      <w:r w:rsidR="003D04C8" w:rsidRPr="003D04C8">
        <w:rPr>
          <w:rtl/>
        </w:rPr>
        <w:t>: 585</w:t>
      </w:r>
    </w:p>
    <w:p w:rsidR="00BB3465" w:rsidRDefault="00BB3465">
      <w:pPr>
        <w:pStyle w:val="FootnoteText"/>
      </w:pPr>
    </w:p>
  </w:footnote>
  <w:footnote w:id="2">
    <w:p w:rsidR="003D04C8" w:rsidRDefault="003D04C8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>
        <w:rPr>
          <w:rFonts w:hint="cs"/>
          <w:rtl/>
        </w:rPr>
        <w:t>«</w:t>
      </w:r>
      <w:r w:rsidRPr="003D04C8">
        <w:rPr>
          <w:rFonts w:hint="cs"/>
          <w:rtl/>
        </w:rPr>
        <w:t>ظاهره عدم الفرق في إيجاب السراية القصاص- إذا كان أصل الجناية عمدا- بين كونها ممّا يوجبها غالبا أو يوجب القتل كذلك و عدمه، و لا بين أن يقصد بذلك القتل و عدمه. و بهذا المفهوم صرّح العلامة في القواعد و التحرير.</w:t>
      </w:r>
      <w:r>
        <w:rPr>
          <w:rFonts w:hint="cs"/>
          <w:rtl/>
        </w:rPr>
        <w:t>»</w:t>
      </w:r>
      <w:r w:rsidRPr="003D04C8">
        <w:rPr>
          <w:rFonts w:hint="cs"/>
          <w:rtl/>
        </w:rPr>
        <w:t xml:space="preserve"> مسالك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الأفهام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إلى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تنقيح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شرائع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الإسلام،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ج‌</w:t>
      </w:r>
      <w:r w:rsidRPr="003D04C8">
        <w:rPr>
          <w:rtl/>
        </w:rPr>
        <w:t>15</w:t>
      </w:r>
      <w:r w:rsidRPr="003D04C8">
        <w:rPr>
          <w:rFonts w:hint="cs"/>
          <w:rtl/>
        </w:rPr>
        <w:t>،</w:t>
      </w:r>
      <w:r w:rsidRPr="003D04C8">
        <w:rPr>
          <w:rtl/>
        </w:rPr>
        <w:t xml:space="preserve"> </w:t>
      </w:r>
      <w:r w:rsidRPr="003D04C8">
        <w:rPr>
          <w:rFonts w:hint="cs"/>
          <w:rtl/>
        </w:rPr>
        <w:t>ص</w:t>
      </w:r>
      <w:r w:rsidRPr="003D04C8">
        <w:rPr>
          <w:rtl/>
        </w:rPr>
        <w:t>: 74</w:t>
      </w:r>
    </w:p>
  </w:footnote>
  <w:footnote w:id="3">
    <w:p w:rsidR="00A22694" w:rsidRDefault="00A22694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A22694">
        <w:rPr>
          <w:rFonts w:hint="cs"/>
          <w:rtl/>
        </w:rPr>
        <w:t>كشف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اللثام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و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الإبهام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عن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قواعد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الأحكام،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ج‌</w:t>
      </w:r>
      <w:r w:rsidRPr="00A22694">
        <w:rPr>
          <w:rtl/>
        </w:rPr>
        <w:t>11</w:t>
      </w:r>
      <w:r w:rsidRPr="00A22694">
        <w:rPr>
          <w:rFonts w:hint="cs"/>
          <w:rtl/>
        </w:rPr>
        <w:t>،</w:t>
      </w:r>
      <w:r w:rsidRPr="00A22694">
        <w:rPr>
          <w:rtl/>
        </w:rPr>
        <w:t xml:space="preserve"> </w:t>
      </w:r>
      <w:r w:rsidRPr="00A22694">
        <w:rPr>
          <w:rFonts w:hint="cs"/>
          <w:rtl/>
        </w:rPr>
        <w:t>ص</w:t>
      </w:r>
      <w:r w:rsidRPr="00A22694">
        <w:rPr>
          <w:rtl/>
        </w:rPr>
        <w:t>: 22</w:t>
      </w:r>
    </w:p>
  </w:footnote>
  <w:footnote w:id="4">
    <w:p w:rsidR="0067475C" w:rsidRPr="0067475C" w:rsidRDefault="0067475C" w:rsidP="0067475C">
      <w:pPr>
        <w:pStyle w:val="FootnoteText"/>
        <w:rPr>
          <w:rFonts w:hint="cs"/>
        </w:rPr>
      </w:pPr>
      <w:r w:rsidRPr="0067475C">
        <w:footnoteRef/>
      </w:r>
      <w:r w:rsidRPr="0067475C">
        <w:rPr>
          <w:rtl/>
        </w:rPr>
        <w:t xml:space="preserve"> </w:t>
      </w:r>
      <w:hyperlink r:id="rId1" w:history="1">
        <w:r w:rsidRPr="0067475C">
          <w:rPr>
            <w:rStyle w:val="Hyperlink"/>
            <w:rFonts w:hint="cs"/>
            <w:rtl/>
          </w:rPr>
          <w:t>مسالک</w:t>
        </w:r>
        <w:r w:rsidRPr="0067475C">
          <w:rPr>
            <w:rStyle w:val="Hyperlink"/>
            <w:rtl/>
          </w:rPr>
          <w:t xml:space="preserve"> </w:t>
        </w:r>
        <w:r w:rsidRPr="0067475C">
          <w:rPr>
            <w:rStyle w:val="Hyperlink"/>
            <w:rFonts w:hint="cs"/>
            <w:rtl/>
          </w:rPr>
          <w:t>الافهام،</w:t>
        </w:r>
        <w:r w:rsidRPr="0067475C">
          <w:rPr>
            <w:rStyle w:val="Hyperlink"/>
            <w:rtl/>
          </w:rPr>
          <w:t xml:space="preserve"> </w:t>
        </w:r>
        <w:r w:rsidRPr="0067475C">
          <w:rPr>
            <w:rStyle w:val="Hyperlink"/>
            <w:rFonts w:hint="cs"/>
            <w:rtl/>
          </w:rPr>
          <w:t>شهید</w:t>
        </w:r>
        <w:r w:rsidRPr="0067475C">
          <w:rPr>
            <w:rStyle w:val="Hyperlink"/>
            <w:rtl/>
          </w:rPr>
          <w:t xml:space="preserve"> </w:t>
        </w:r>
        <w:r w:rsidRPr="0067475C">
          <w:rPr>
            <w:rStyle w:val="Hyperlink"/>
            <w:rFonts w:hint="cs"/>
            <w:rtl/>
          </w:rPr>
          <w:t>ثانی،</w:t>
        </w:r>
        <w:r w:rsidRPr="0067475C">
          <w:rPr>
            <w:rStyle w:val="Hyperlink"/>
            <w:rtl/>
          </w:rPr>
          <w:t xml:space="preserve"> </w:t>
        </w:r>
        <w:r w:rsidRPr="0067475C">
          <w:rPr>
            <w:rStyle w:val="Hyperlink"/>
            <w:rFonts w:hint="cs"/>
            <w:rtl/>
          </w:rPr>
          <w:t>ج</w:t>
        </w:r>
        <w:r w:rsidRPr="0067475C">
          <w:rPr>
            <w:rStyle w:val="Hyperlink"/>
            <w:rtl/>
          </w:rPr>
          <w:t>15</w:t>
        </w:r>
        <w:r w:rsidRPr="0067475C">
          <w:rPr>
            <w:rStyle w:val="Hyperlink"/>
            <w:rFonts w:hint="cs"/>
            <w:rtl/>
          </w:rPr>
          <w:t>،</w:t>
        </w:r>
        <w:r w:rsidRPr="0067475C">
          <w:rPr>
            <w:rStyle w:val="Hyperlink"/>
            <w:rtl/>
          </w:rPr>
          <w:t xml:space="preserve"> </w:t>
        </w:r>
        <w:r w:rsidRPr="0067475C">
          <w:rPr>
            <w:rStyle w:val="Hyperlink"/>
            <w:rFonts w:hint="cs"/>
            <w:rtl/>
          </w:rPr>
          <w:t>ص</w:t>
        </w:r>
        <w:r w:rsidRPr="0067475C">
          <w:rPr>
            <w:rStyle w:val="Hyperlink"/>
            <w:rtl/>
          </w:rPr>
          <w:t>75</w:t>
        </w:r>
        <w:r w:rsidRPr="0067475C">
          <w:rPr>
            <w:rStyle w:val="Hyperlink"/>
          </w:rPr>
          <w:t>.</w:t>
        </w:r>
      </w:hyperlink>
    </w:p>
  </w:footnote>
  <w:footnote w:id="5">
    <w:p w:rsidR="009342A6" w:rsidRDefault="009342A6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9342A6">
        <w:rPr>
          <w:rFonts w:hint="cs"/>
          <w:rtl/>
        </w:rPr>
        <w:t>تكملة</w:t>
      </w:r>
      <w:r w:rsidRPr="009342A6">
        <w:rPr>
          <w:rtl/>
        </w:rPr>
        <w:t xml:space="preserve"> </w:t>
      </w:r>
      <w:r w:rsidRPr="009342A6">
        <w:rPr>
          <w:rFonts w:hint="cs"/>
          <w:rtl/>
        </w:rPr>
        <w:t>المنهاج،</w:t>
      </w:r>
      <w:r w:rsidRPr="009342A6">
        <w:rPr>
          <w:rtl/>
        </w:rPr>
        <w:t xml:space="preserve"> </w:t>
      </w:r>
      <w:r w:rsidRPr="009342A6">
        <w:rPr>
          <w:rFonts w:hint="cs"/>
          <w:rtl/>
        </w:rPr>
        <w:t>ص</w:t>
      </w:r>
      <w:r w:rsidRPr="009342A6">
        <w:rPr>
          <w:rtl/>
        </w:rPr>
        <w:t>: 59</w:t>
      </w:r>
    </w:p>
  </w:footnote>
  <w:footnote w:id="6">
    <w:p w:rsidR="008B6395" w:rsidRDefault="008B639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8B6395">
        <w:rPr>
          <w:rFonts w:hint="cs"/>
          <w:rtl/>
        </w:rPr>
        <w:t>قواعد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الأحكام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في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معرفة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الحلال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و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الحرام،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ج‌</w:t>
      </w:r>
      <w:r w:rsidRPr="008B6395">
        <w:rPr>
          <w:rtl/>
        </w:rPr>
        <w:t>3</w:t>
      </w:r>
      <w:r w:rsidRPr="008B6395">
        <w:rPr>
          <w:rFonts w:hint="cs"/>
          <w:rtl/>
        </w:rPr>
        <w:t>،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ص</w:t>
      </w:r>
      <w:r w:rsidRPr="008B6395">
        <w:rPr>
          <w:rtl/>
        </w:rPr>
        <w:t>: 585</w:t>
      </w:r>
    </w:p>
  </w:footnote>
  <w:footnote w:id="7">
    <w:p w:rsidR="008B6395" w:rsidRDefault="008B6395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8B6395">
        <w:rPr>
          <w:rFonts w:hint="cs"/>
          <w:rtl/>
        </w:rPr>
        <w:t>المختصر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النافع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في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فقه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الإمامية،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ج‌</w:t>
      </w:r>
      <w:r w:rsidRPr="008B6395">
        <w:rPr>
          <w:rtl/>
        </w:rPr>
        <w:t>2</w:t>
      </w:r>
      <w:r w:rsidRPr="008B6395">
        <w:rPr>
          <w:rFonts w:hint="cs"/>
          <w:rtl/>
        </w:rPr>
        <w:t>،</w:t>
      </w:r>
      <w:r w:rsidRPr="008B6395">
        <w:rPr>
          <w:rtl/>
        </w:rPr>
        <w:t xml:space="preserve"> </w:t>
      </w:r>
      <w:r w:rsidRPr="008B6395">
        <w:rPr>
          <w:rFonts w:hint="cs"/>
          <w:rtl/>
        </w:rPr>
        <w:t>ص</w:t>
      </w:r>
      <w:r w:rsidRPr="008B6395">
        <w:rPr>
          <w:rtl/>
        </w:rPr>
        <w:t>: 293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CE12D8">
      <w:rPr>
        <w:b/>
        <w:bCs/>
        <w:sz w:val="20"/>
        <w:szCs w:val="24"/>
        <w:rtl/>
      </w:rPr>
      <w:t>013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CE12D8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CE12D8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CE12D8">
      <w:rPr>
        <w:sz w:val="24"/>
        <w:szCs w:val="24"/>
        <w:rtl/>
      </w:rPr>
      <w:t>23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CE12D8">
      <w:rPr>
        <w:rFonts w:hint="cs"/>
        <w:sz w:val="24"/>
        <w:szCs w:val="24"/>
        <w:rtl/>
      </w:rPr>
      <w:t>موجبات</w:t>
    </w:r>
    <w:r w:rsidR="00CE12D8">
      <w:rPr>
        <w:sz w:val="24"/>
        <w:szCs w:val="24"/>
        <w:rtl/>
      </w:rPr>
      <w:t xml:space="preserve"> </w:t>
    </w:r>
    <w:r w:rsidR="00CE12D8">
      <w:rPr>
        <w:rFonts w:hint="cs"/>
        <w:sz w:val="24"/>
        <w:szCs w:val="24"/>
        <w:rtl/>
      </w:rPr>
      <w:t>قصاص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CE12D8">
      <w:rPr>
        <w:rFonts w:hint="cs"/>
        <w:sz w:val="24"/>
        <w:szCs w:val="24"/>
        <w:rtl/>
      </w:rPr>
      <w:t>سيدعلي</w:t>
    </w:r>
    <w:r w:rsidR="00CE12D8">
      <w:rPr>
        <w:sz w:val="24"/>
        <w:szCs w:val="24"/>
        <w:rtl/>
      </w:rPr>
      <w:t xml:space="preserve"> </w:t>
    </w:r>
    <w:r w:rsidR="00CE12D8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CE12D8">
      <w:rPr>
        <w:rFonts w:hint="cs"/>
        <w:sz w:val="24"/>
        <w:szCs w:val="24"/>
        <w:rtl/>
      </w:rPr>
      <w:t>استناد</w:t>
    </w:r>
    <w:r w:rsidR="00CE12D8">
      <w:rPr>
        <w:sz w:val="24"/>
        <w:szCs w:val="24"/>
        <w:rtl/>
      </w:rPr>
      <w:t xml:space="preserve"> </w:t>
    </w:r>
    <w:r w:rsidR="00CE12D8">
      <w:rPr>
        <w:rFonts w:hint="cs"/>
        <w:sz w:val="24"/>
        <w:szCs w:val="24"/>
        <w:rtl/>
      </w:rPr>
      <w:t>قتل</w:t>
    </w:r>
    <w:r w:rsidR="00CE12D8">
      <w:rPr>
        <w:sz w:val="24"/>
        <w:szCs w:val="24"/>
        <w:rtl/>
      </w:rPr>
      <w:t xml:space="preserve"> </w:t>
    </w:r>
    <w:r w:rsidR="00CE12D8">
      <w:rPr>
        <w:rFonts w:hint="cs"/>
        <w:sz w:val="24"/>
        <w:szCs w:val="24"/>
        <w:rtl/>
      </w:rPr>
      <w:t>به</w:t>
    </w:r>
    <w:r w:rsidR="00CE12D8">
      <w:rPr>
        <w:sz w:val="24"/>
        <w:szCs w:val="24"/>
        <w:rtl/>
      </w:rPr>
      <w:t xml:space="preserve"> </w:t>
    </w:r>
    <w:r w:rsidR="00CE12D8">
      <w:rPr>
        <w:rFonts w:hint="cs"/>
        <w:sz w:val="24"/>
        <w:szCs w:val="24"/>
        <w:rtl/>
      </w:rPr>
      <w:t>جانی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proofState w:spelling="clean" w:grammar="clean"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D04C8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5F6C87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7475C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96734"/>
    <w:rsid w:val="008A510E"/>
    <w:rsid w:val="008A522A"/>
    <w:rsid w:val="008B4464"/>
    <w:rsid w:val="008B6395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42A6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22694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17BD3"/>
    <w:rsid w:val="00B2292F"/>
    <w:rsid w:val="00B43169"/>
    <w:rsid w:val="00B55AE4"/>
    <w:rsid w:val="00B70B46"/>
    <w:rsid w:val="00B739B0"/>
    <w:rsid w:val="00B814A3"/>
    <w:rsid w:val="00B96F38"/>
    <w:rsid w:val="00BB3465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1FBA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12D8"/>
    <w:rsid w:val="00CE3841"/>
    <w:rsid w:val="00CE7481"/>
    <w:rsid w:val="00CF0A8F"/>
    <w:rsid w:val="00D048CE"/>
    <w:rsid w:val="00D10998"/>
    <w:rsid w:val="00D15CBD"/>
    <w:rsid w:val="00D2226E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1581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23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0151/15/75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87DCA-EAC8-4F31-BB16-89E887F51F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4</TotalTime>
  <Pages>4</Pages>
  <Words>666</Words>
  <Characters>3797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4455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ali</cp:lastModifiedBy>
  <cp:revision>3</cp:revision>
  <dcterms:created xsi:type="dcterms:W3CDTF">2017-10-16T18:52:00Z</dcterms:created>
  <dcterms:modified xsi:type="dcterms:W3CDTF">2017-12-03T07:56:00Z</dcterms:modified>
  <cp:contentStatus>ویرایش 2.3</cp:contentStatus>
  <cp:version>2.3</cp:version>
</cp:coreProperties>
</file>