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D21165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514591">
        <w:rPr>
          <w:rFonts w:ascii="Traditional Arabic" w:hAnsi="Traditional Arabic" w:cs="Traditional Arabic" w:hint="cs"/>
          <w:sz w:val="28"/>
          <w:szCs w:val="28"/>
          <w:rtl/>
        </w:rPr>
        <w:t>حقیقت و حدود خاتمیت</w:t>
      </w:r>
      <w:r w:rsidR="0062593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D778A8" w:rsidRPr="00D778A8" w:rsidRDefault="00D778A8" w:rsidP="00D778A8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D778A8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حد و مرز خا</w:t>
      </w: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ت</w:t>
      </w:r>
      <w:r w:rsidRPr="00D778A8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میت</w:t>
      </w:r>
    </w:p>
    <w:p w:rsidR="00D95F30" w:rsidRPr="00D95F30" w:rsidRDefault="00D95F30" w:rsidP="00DE512E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D95F30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اتمام حجت</w:t>
      </w:r>
    </w:p>
    <w:p w:rsidR="003651E2" w:rsidRDefault="003651E2" w:rsidP="00DE512E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یکی اهداف بعثت پیامبران الهی اتمام حجت بر بشر بوده است. قرآن کریم در این باره می فرماید: «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رُسُلاً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مُبَشِّرينَ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وَ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مُنْذِرينَ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لِئَلاَّ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يَكُونَ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لِلنَّاسِ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عَلَى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اللَّهِ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حُجَّةٌ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بَعْدَ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الرُّسُلِ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وَ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كانَ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عَزيزاً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حَكيما</w:t>
      </w:r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پيامبرانى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كه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مژده‏رسان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بيم‏دهنده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بودند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مردم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[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دنيا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آخرت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برابر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خدا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]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پس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فرستادن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پيامبران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عذر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بهانه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حجتى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نباشد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؛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خدا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همواره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تواناى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شكست‏ناپذير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حكيم</w:t>
      </w:r>
      <w:r w:rsidRPr="003651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651E2">
        <w:rPr>
          <w:rFonts w:ascii="Tahoma" w:hAnsi="Tahoma" w:cs="B Mitra" w:hint="cs"/>
          <w:sz w:val="28"/>
          <w:szCs w:val="28"/>
          <w:rtl/>
          <w:lang w:bidi="fa-IR"/>
        </w:rPr>
        <w:t>است‏</w:t>
      </w:r>
      <w:r>
        <w:rPr>
          <w:rFonts w:ascii="Tahoma" w:hAnsi="Tahoma" w:cs="B Mitra" w:hint="cs"/>
          <w:sz w:val="28"/>
          <w:szCs w:val="28"/>
          <w:rtl/>
          <w:lang w:bidi="fa-IR"/>
        </w:rPr>
        <w:t>.</w:t>
      </w:r>
    </w:p>
    <w:p w:rsidR="003651E2" w:rsidRDefault="003651E2" w:rsidP="00DE512E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این آیه بیان می کند که از اهداف ارسال پیامبران این بوده که حجت بر مردم تمام شود و کسی نتواند عذر بیاورد که من راه هدایت را نمی دانستم. در این باره چند نکته قابل توجه است:</w:t>
      </w:r>
    </w:p>
    <w:p w:rsidR="003651E2" w:rsidRDefault="003651E2" w:rsidP="00D95F30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1. اتمام حجت توسط رسولان الهی به اهداف دیگر بعثت مانند دعوت به توحید، داوری در اختلافات و برپایی قسط بر می گردد</w:t>
      </w:r>
      <w:r w:rsidR="00D95F30">
        <w:rPr>
          <w:rFonts w:ascii="Tahoma" w:hAnsi="Tahoma" w:cs="B Mitra" w:hint="cs"/>
          <w:sz w:val="28"/>
          <w:szCs w:val="28"/>
          <w:rtl/>
          <w:lang w:bidi="fa-IR"/>
        </w:rPr>
        <w:t xml:space="preserve">، به این معنا که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نتیجه آن اهداف این است که حجت تمام می شود. </w:t>
      </w:r>
    </w:p>
    <w:p w:rsidR="00B3011A" w:rsidRDefault="003651E2" w:rsidP="00D95F3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2. بعضی مانند اشاعره ب</w:t>
      </w:r>
      <w:r w:rsidR="00D95F30">
        <w:rPr>
          <w:rFonts w:ascii="Tahoma" w:hAnsi="Tahoma" w:cs="B Mitra" w:hint="cs"/>
          <w:sz w:val="28"/>
          <w:szCs w:val="28"/>
          <w:rtl/>
          <w:lang w:bidi="fa-IR"/>
        </w:rPr>
        <w:t xml:space="preserve">ه </w:t>
      </w:r>
      <w:r>
        <w:rPr>
          <w:rFonts w:ascii="Tahoma" w:hAnsi="Tahoma" w:cs="B Mitra" w:hint="cs"/>
          <w:sz w:val="28"/>
          <w:szCs w:val="28"/>
          <w:rtl/>
          <w:lang w:bidi="fa-IR"/>
        </w:rPr>
        <w:t>این آیه استشهاد کرده و گفته اند</w:t>
      </w:r>
      <w:r w:rsidR="00D95F30">
        <w:rPr>
          <w:rFonts w:ascii="Tahoma" w:hAnsi="Tahoma" w:cs="B Mitra" w:hint="cs"/>
          <w:sz w:val="28"/>
          <w:szCs w:val="28"/>
          <w:rtl/>
          <w:lang w:bidi="fa-IR"/>
        </w:rPr>
        <w:t>: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تنها نقل حجت الهی است نه عقل</w:t>
      </w:r>
      <w:r w:rsidR="00D95F30">
        <w:rPr>
          <w:rFonts w:ascii="Tahoma" w:hAnsi="Tahoma" w:cs="B Mitra" w:hint="cs"/>
          <w:sz w:val="28"/>
          <w:szCs w:val="28"/>
          <w:rtl/>
          <w:lang w:bidi="fa-IR"/>
        </w:rPr>
        <w:t>.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D95F30">
        <w:rPr>
          <w:rFonts w:ascii="Tahoma" w:hAnsi="Tahoma" w:cs="B Mitra" w:hint="cs"/>
          <w:sz w:val="28"/>
          <w:szCs w:val="28"/>
          <w:rtl/>
          <w:lang w:bidi="fa-IR"/>
        </w:rPr>
        <w:t xml:space="preserve">این </w:t>
      </w:r>
      <w:r>
        <w:rPr>
          <w:rFonts w:ascii="Tahoma" w:hAnsi="Tahoma" w:cs="B Mitra" w:hint="cs"/>
          <w:sz w:val="28"/>
          <w:szCs w:val="28"/>
          <w:rtl/>
          <w:lang w:bidi="fa-IR"/>
        </w:rPr>
        <w:t>در حالی که هم در روایات بیان شده و هم خود عقل بیان می کند که اگر حجیت عقل را نپذیریم</w:t>
      </w:r>
      <w:r w:rsidR="00D95F30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اساسا نوبت به حجیت وحی و نقل نمی رسد. نبوت یعنی برگزیدن الهی، و لازمه </w:t>
      </w:r>
      <w:r w:rsidR="00D95F30">
        <w:rPr>
          <w:rFonts w:ascii="Tahoma" w:hAnsi="Tahoma" w:cs="B Mitra" w:hint="cs"/>
          <w:sz w:val="28"/>
          <w:szCs w:val="28"/>
          <w:rtl/>
          <w:lang w:bidi="fa-IR"/>
        </w:rPr>
        <w:t xml:space="preserve">آن این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است که وجود و علم و قدرت الهی </w:t>
      </w:r>
      <w:r w:rsidR="00D95F30">
        <w:rPr>
          <w:rFonts w:ascii="Tahoma" w:hAnsi="Tahoma" w:cs="B Mitra" w:hint="cs"/>
          <w:sz w:val="28"/>
          <w:szCs w:val="28"/>
          <w:rtl/>
          <w:lang w:bidi="fa-IR"/>
        </w:rPr>
        <w:t xml:space="preserve">از قبل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پذیرفته شده باشد. </w:t>
      </w:r>
    </w:p>
    <w:p w:rsidR="00D95F30" w:rsidRDefault="00B3011A" w:rsidP="00B3011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بعد از اثبات نبوت و باز شدن جایگاه نقل و وحی، باز کار عقل پایان پیدا نمی کند، بلکه در جاهایی که در توانش است، کما کان عقل حجت است. حجیت عقل محدود است و ظنونی مانند قیاس و استحسان که مفید یقین نیستند حجت نیستند. </w:t>
      </w:r>
    </w:p>
    <w:p w:rsidR="003651E2" w:rsidRDefault="00B3011A" w:rsidP="00D95F3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حاصل اینکه از این آیه نمی توان بر انکار عقل استفاده کرد زیرا همان طور که بیان شد، انکار عقل باعث می شود سمع نیز دیگر حجت </w:t>
      </w:r>
      <w:r w:rsidR="00D95F30">
        <w:rPr>
          <w:rFonts w:ascii="Tahoma" w:hAnsi="Tahoma" w:cs="B Mitra" w:hint="cs"/>
          <w:sz w:val="28"/>
          <w:szCs w:val="28"/>
          <w:rtl/>
          <w:lang w:bidi="fa-IR"/>
        </w:rPr>
        <w:t>نباشد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مرحوم خواجه در </w:t>
      </w:r>
      <w:r w:rsidR="00D95F30">
        <w:rPr>
          <w:rFonts w:ascii="Tahoma" w:hAnsi="Tahoma" w:cs="B Mitra" w:hint="cs"/>
          <w:sz w:val="28"/>
          <w:szCs w:val="28"/>
          <w:rtl/>
          <w:lang w:bidi="fa-IR"/>
        </w:rPr>
        <w:t>«</w:t>
      </w:r>
      <w:r>
        <w:rPr>
          <w:rFonts w:ascii="Tahoma" w:hAnsi="Tahoma" w:cs="B Mitra" w:hint="cs"/>
          <w:sz w:val="28"/>
          <w:szCs w:val="28"/>
          <w:rtl/>
          <w:lang w:bidi="fa-IR"/>
        </w:rPr>
        <w:t>تجرید الاعتقاد</w:t>
      </w:r>
      <w:r w:rsidR="00D95F30"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می گوید: «</w:t>
      </w:r>
      <w:r w:rsidRPr="00B3011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3011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3011A">
        <w:rPr>
          <w:rFonts w:ascii="Tahoma" w:hAnsi="Tahoma" w:cs="B Mitra" w:hint="cs"/>
          <w:sz w:val="28"/>
          <w:szCs w:val="28"/>
          <w:rtl/>
          <w:lang w:bidi="fa-IR"/>
        </w:rPr>
        <w:t>لانتفائهما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B3011A">
        <w:rPr>
          <w:rFonts w:ascii="Tahoma" w:hAnsi="Tahoma" w:cs="B Mitra" w:hint="cs"/>
          <w:sz w:val="28"/>
          <w:szCs w:val="28"/>
          <w:rtl/>
          <w:lang w:bidi="fa-IR"/>
        </w:rPr>
        <w:t>مطلقا،</w:t>
      </w:r>
      <w:r w:rsidRPr="00B3011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3011A">
        <w:rPr>
          <w:rFonts w:ascii="Tahoma" w:hAnsi="Tahoma" w:cs="B Mitra" w:hint="cs"/>
          <w:sz w:val="28"/>
          <w:szCs w:val="28"/>
          <w:rtl/>
          <w:lang w:bidi="fa-IR"/>
        </w:rPr>
        <w:t>لو</w:t>
      </w:r>
      <w:r w:rsidRPr="00B3011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3011A">
        <w:rPr>
          <w:rFonts w:ascii="Tahoma" w:hAnsi="Tahoma" w:cs="B Mitra" w:hint="cs"/>
          <w:sz w:val="28"/>
          <w:szCs w:val="28"/>
          <w:rtl/>
          <w:lang w:bidi="fa-IR"/>
        </w:rPr>
        <w:t>ثبتا</w:t>
      </w:r>
      <w:r w:rsidRPr="00B3011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3011A">
        <w:rPr>
          <w:rFonts w:ascii="Tahoma" w:hAnsi="Tahoma" w:cs="B Mitra" w:hint="cs"/>
          <w:sz w:val="28"/>
          <w:szCs w:val="28"/>
          <w:rtl/>
          <w:lang w:bidi="fa-IR"/>
        </w:rPr>
        <w:t>شرعا</w:t>
      </w:r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2"/>
      </w:r>
      <w:r>
        <w:rPr>
          <w:rFonts w:ascii="Tahoma" w:hAnsi="Tahoma" w:cs="B Mitra" w:hint="cs"/>
          <w:sz w:val="28"/>
          <w:szCs w:val="28"/>
          <w:rtl/>
          <w:lang w:bidi="fa-IR"/>
        </w:rPr>
        <w:t>: اگر حسن و قبح را منحصر در حسن و قبح شرعی بدانیم، نه حسن و قبح شرعی قابل اثبات است و نه حسن و قبح عقلی</w:t>
      </w:r>
      <w:r w:rsidR="00D95F30">
        <w:rPr>
          <w:rFonts w:ascii="Tahoma" w:hAnsi="Tahoma" w:cs="B Mitra" w:hint="cs"/>
          <w:sz w:val="28"/>
          <w:szCs w:val="28"/>
          <w:rtl/>
          <w:lang w:bidi="fa-IR"/>
        </w:rPr>
        <w:t xml:space="preserve">، یعنی </w:t>
      </w:r>
      <w:r>
        <w:rPr>
          <w:rFonts w:ascii="Tahoma" w:hAnsi="Tahoma" w:cs="B Mitra" w:hint="cs"/>
          <w:sz w:val="28"/>
          <w:szCs w:val="28"/>
          <w:rtl/>
          <w:lang w:bidi="fa-IR"/>
        </w:rPr>
        <w:t>هر دو را انکار کرده ایم، زیرا حسن و قبح شرعی را یا از اخبار شارع می فهمیم یا از امر و نهی او. اخبار شارع آن گاه معتبر است که احتمال کذب در آن نباشد. امر و نهی نیز همین گونه است، وقتی امر و نهی قابل فهم است که از روی عبث و هزل نباشد. اکنون از کجا می توان فهمید که در این امر و نهی هزل و عبث نیست</w:t>
      </w:r>
      <w:r w:rsidR="00D95F30">
        <w:rPr>
          <w:rFonts w:ascii="Tahoma" w:hAnsi="Tahoma" w:cs="B Mitra" w:hint="cs"/>
          <w:sz w:val="28"/>
          <w:szCs w:val="28"/>
          <w:rtl/>
          <w:lang w:bidi="fa-IR"/>
        </w:rPr>
        <w:t xml:space="preserve">؟ روشن است که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از خود سخن آنان که نمی توان فهمید زیرا دور است و باطل، پس تنها راه اثبات آن عقل است. </w:t>
      </w:r>
    </w:p>
    <w:p w:rsidR="00A033C3" w:rsidRDefault="00A033C3" w:rsidP="00A033C3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ممکن است گفته شود چرا در آیه شریفه کلمه عقل نیامده است؟ پاسخ این است که مساله در اینجا اتمام حجت است نه اصل حجت</w:t>
      </w:r>
      <w:r w:rsidR="00D95F30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زیرا درک عقل در بایدها و نبایدها محدود است و اکثر این بایدها و نبایدها خصوصا در مسائل عبادی و حقوق اجتماعی خارج از توان عقل است.</w:t>
      </w:r>
    </w:p>
    <w:p w:rsidR="00D95F30" w:rsidRPr="00D95F30" w:rsidRDefault="00D95F30" w:rsidP="006A6483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D95F30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تفسیر دیگری از خاتمیت: پایان یافتن زمان حجت شرعی</w:t>
      </w:r>
    </w:p>
    <w:p w:rsidR="00A033C3" w:rsidRDefault="00A033C3" w:rsidP="006A648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3. نکته دیگر اینکه آیا اتمام حجت بر بشر از اختصاصات انبیاء است به گونه ای که با ختم نبوت، این حجیت نیز پایان یافته است</w:t>
      </w:r>
      <w:r w:rsidR="006A6483">
        <w:rPr>
          <w:rFonts w:ascii="Tahoma" w:hAnsi="Tahoma" w:cs="B Mitra" w:hint="cs"/>
          <w:sz w:val="28"/>
          <w:szCs w:val="28"/>
          <w:rtl/>
          <w:lang w:bidi="fa-IR"/>
        </w:rPr>
        <w:t>؟ نظریه و تفسیری در باب خاتمیت از سوی برخی ارائه شده که بیان گر همین مطلب است. اینان می گویند خاتمیت به معنا</w:t>
      </w:r>
      <w:r w:rsidR="00D95F30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6A6483">
        <w:rPr>
          <w:rFonts w:ascii="Tahoma" w:hAnsi="Tahoma" w:cs="B Mitra" w:hint="cs"/>
          <w:sz w:val="28"/>
          <w:szCs w:val="28"/>
          <w:rtl/>
          <w:lang w:bidi="fa-IR"/>
        </w:rPr>
        <w:t xml:space="preserve"> آن است که زمان حجیت شرعی پایان یافته و دیگر شخصیتی که معیار باشد و بقیه ملزم باشند مطابق او عمل کنند پایان یافته است. این تفسیر را عبدالکریم سروش در کتاب </w:t>
      </w:r>
      <w:r w:rsidR="00D95F30">
        <w:rPr>
          <w:rFonts w:ascii="Tahoma" w:hAnsi="Tahoma" w:cs="B Mitra" w:hint="cs"/>
          <w:sz w:val="28"/>
          <w:szCs w:val="28"/>
          <w:rtl/>
          <w:lang w:bidi="fa-IR"/>
        </w:rPr>
        <w:t>«</w:t>
      </w:r>
      <w:r w:rsidR="006A6483">
        <w:rPr>
          <w:rFonts w:ascii="Tahoma" w:hAnsi="Tahoma" w:cs="B Mitra" w:hint="cs"/>
          <w:sz w:val="28"/>
          <w:szCs w:val="28"/>
          <w:rtl/>
          <w:lang w:bidi="fa-IR"/>
        </w:rPr>
        <w:t>بسط تجربه نبوی</w:t>
      </w:r>
      <w:r w:rsidR="00D95F30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DD6A2A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3"/>
      </w:r>
      <w:r w:rsidR="006A6483">
        <w:rPr>
          <w:rFonts w:ascii="Tahoma" w:hAnsi="Tahoma" w:cs="B Mitra" w:hint="cs"/>
          <w:sz w:val="28"/>
          <w:szCs w:val="28"/>
          <w:rtl/>
          <w:lang w:bidi="fa-IR"/>
        </w:rPr>
        <w:t xml:space="preserve"> از خاتمیت ارائه کرده است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</w:p>
    <w:p w:rsidR="006A6483" w:rsidRDefault="006A6483" w:rsidP="006A6483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نکات اصلی نظریه وی</w:t>
      </w:r>
      <w:r w:rsidR="008B67D3">
        <w:rPr>
          <w:rFonts w:ascii="Tahoma" w:hAnsi="Tahoma" w:cs="B Mitra" w:hint="cs"/>
          <w:sz w:val="28"/>
          <w:szCs w:val="28"/>
          <w:rtl/>
          <w:lang w:bidi="fa-IR"/>
        </w:rPr>
        <w:t xml:space="preserve"> از این قرار 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:</w:t>
      </w:r>
    </w:p>
    <w:p w:rsidR="006A6483" w:rsidRDefault="008B67D3" w:rsidP="008B67D3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1</w:t>
      </w:r>
      <w:r w:rsidR="006A6483">
        <w:rPr>
          <w:rFonts w:ascii="Tahoma" w:hAnsi="Tahoma" w:cs="B Mitra" w:hint="cs"/>
          <w:sz w:val="28"/>
          <w:szCs w:val="28"/>
          <w:rtl/>
          <w:lang w:bidi="fa-IR"/>
        </w:rPr>
        <w:t>) خاتمیت متعلق به شخصیت حقوقی پیامبر اکرم (ص) است و نه حقیقی. از میان ویژگی های شخصیت حقوقی پیامبران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6A6483">
        <w:rPr>
          <w:rFonts w:ascii="Tahoma" w:hAnsi="Tahoma" w:cs="B Mitra" w:hint="cs"/>
          <w:sz w:val="28"/>
          <w:szCs w:val="28"/>
          <w:rtl/>
          <w:lang w:bidi="fa-IR"/>
        </w:rPr>
        <w:t xml:space="preserve"> آمرانه بودن زبان آنها و غالبا بدون استدلال سخن گفتن است. گواه آن اینکه در قرآن کریم و دیگر کتاب های آسمانی به ندرت بر مسائل استدلال شده 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6A6483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DD6A2A">
        <w:rPr>
          <w:rFonts w:ascii="Tahoma" w:hAnsi="Tahoma" w:cs="B Mitra" w:hint="cs"/>
          <w:sz w:val="28"/>
          <w:szCs w:val="28"/>
          <w:rtl/>
          <w:lang w:bidi="fa-IR"/>
        </w:rPr>
        <w:t>و آنجا که از مخالفان درخواست برهان شده، منتظر برهان آوردن آنها نشده و از قبل آن را باطل دانسته ا</w:t>
      </w:r>
      <w:r>
        <w:rPr>
          <w:rFonts w:ascii="Tahoma" w:hAnsi="Tahoma" w:cs="B Mitra" w:hint="cs"/>
          <w:sz w:val="28"/>
          <w:szCs w:val="28"/>
          <w:rtl/>
          <w:lang w:bidi="fa-IR"/>
        </w:rPr>
        <w:t>ست:</w:t>
      </w:r>
      <w:r w:rsidR="00DD6A2A">
        <w:rPr>
          <w:rFonts w:ascii="Tahoma" w:hAnsi="Tahoma" w:cs="B Mitra" w:hint="cs"/>
          <w:sz w:val="28"/>
          <w:szCs w:val="28"/>
          <w:rtl/>
          <w:lang w:bidi="fa-IR"/>
        </w:rPr>
        <w:t xml:space="preserve"> «</w:t>
      </w:r>
      <w:r w:rsidR="00DD6A2A" w:rsidRPr="00DD6A2A">
        <w:rPr>
          <w:rFonts w:ascii="Tahoma" w:hAnsi="Tahoma" w:cs="B Mitra" w:hint="cs"/>
          <w:sz w:val="28"/>
          <w:szCs w:val="28"/>
          <w:rtl/>
          <w:lang w:bidi="fa-IR"/>
        </w:rPr>
        <w:t>حُجَّتُهُمْ</w:t>
      </w:r>
      <w:r w:rsidR="00DD6A2A" w:rsidRPr="00DD6A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D6A2A" w:rsidRPr="00DD6A2A">
        <w:rPr>
          <w:rFonts w:ascii="Tahoma" w:hAnsi="Tahoma" w:cs="B Mitra" w:hint="cs"/>
          <w:sz w:val="28"/>
          <w:szCs w:val="28"/>
          <w:rtl/>
          <w:lang w:bidi="fa-IR"/>
        </w:rPr>
        <w:t>داحِضَةٌ</w:t>
      </w:r>
      <w:r w:rsidR="00DD6A2A" w:rsidRPr="00DD6A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D6A2A" w:rsidRPr="00DD6A2A">
        <w:rPr>
          <w:rFonts w:ascii="Tahoma" w:hAnsi="Tahoma" w:cs="B Mitra" w:hint="cs"/>
          <w:sz w:val="28"/>
          <w:szCs w:val="28"/>
          <w:rtl/>
          <w:lang w:bidi="fa-IR"/>
        </w:rPr>
        <w:t>عِنْدَ</w:t>
      </w:r>
      <w:r w:rsidR="00DD6A2A" w:rsidRPr="00DD6A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D6A2A" w:rsidRPr="00DD6A2A">
        <w:rPr>
          <w:rFonts w:ascii="Tahoma" w:hAnsi="Tahoma" w:cs="B Mitra" w:hint="cs"/>
          <w:sz w:val="28"/>
          <w:szCs w:val="28"/>
          <w:rtl/>
          <w:lang w:bidi="fa-IR"/>
        </w:rPr>
        <w:t>رَبِّهِم‏</w:t>
      </w:r>
      <w:r w:rsidR="00DD6A2A">
        <w:rPr>
          <w:rFonts w:ascii="Tahoma" w:hAnsi="Tahoma" w:cs="B Mitra" w:hint="cs"/>
          <w:sz w:val="28"/>
          <w:szCs w:val="28"/>
          <w:rtl/>
          <w:lang w:bidi="fa-IR"/>
        </w:rPr>
        <w:t>».</w:t>
      </w:r>
      <w:r w:rsidR="00DD6A2A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4"/>
      </w:r>
    </w:p>
    <w:p w:rsidR="00DD6A2A" w:rsidRDefault="008B67D3" w:rsidP="008B67D3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2</w:t>
      </w:r>
      <w:r w:rsidR="00DD6A2A">
        <w:rPr>
          <w:rFonts w:ascii="Tahoma" w:hAnsi="Tahoma" w:cs="B Mitra" w:hint="cs"/>
          <w:sz w:val="28"/>
          <w:szCs w:val="28"/>
          <w:rtl/>
          <w:lang w:bidi="fa-IR"/>
        </w:rPr>
        <w:t>) ویژگی یاد شده ریشه در ولایت تشریعی پیامبر (ص) دارد. این ولایت به این معنا است که شخصیت او حجت سخن و فرمان اوست و با این پشتوانه در جان و مال و عقیده مردم تصرف می کند و این گوهر پیامبری است و پیامبری به این معنا ختم شده است. پس از پیامبر هیچ کس ظهور نخواهد کرد که شخصیت او بلحاظ دینی، ضامن صحت سخن و حسن رفتارش باشد و برای دیگران تکلیف دینی بیاورد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بلکه او نیز </w:t>
      </w:r>
      <w:r w:rsidR="00DD6A2A">
        <w:rPr>
          <w:rFonts w:ascii="Tahoma" w:hAnsi="Tahoma" w:cs="B Mitra" w:hint="cs"/>
          <w:sz w:val="28"/>
          <w:szCs w:val="28"/>
          <w:rtl/>
          <w:lang w:bidi="fa-IR"/>
        </w:rPr>
        <w:t xml:space="preserve">باید حکم خود را به دلیلی عقلی یا قانونی کلی یا قرینه ای علمی و امثال آن مستند کند. </w:t>
      </w:r>
    </w:p>
    <w:p w:rsidR="002D1EA2" w:rsidRDefault="00DD6A2A" w:rsidP="002D1EA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سوال: پس دیدگاه شیعه که معتقد هستند امامان معصوم، حجج الهی بر بشر بوده و هستند چگونه است؟ </w:t>
      </w:r>
    </w:p>
    <w:p w:rsidR="00DD6A2A" w:rsidRDefault="002D1EA2" w:rsidP="002D1EA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سروش </w:t>
      </w:r>
      <w:r w:rsidR="00DD6A2A">
        <w:rPr>
          <w:rFonts w:ascii="Tahoma" w:hAnsi="Tahoma" w:cs="B Mitra" w:hint="cs"/>
          <w:sz w:val="28"/>
          <w:szCs w:val="28"/>
          <w:rtl/>
          <w:lang w:bidi="fa-IR"/>
        </w:rPr>
        <w:t xml:space="preserve">در پاسخ می گوید امامت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را </w:t>
      </w:r>
      <w:r w:rsidR="00DD6A2A">
        <w:rPr>
          <w:rFonts w:ascii="Tahoma" w:hAnsi="Tahoma" w:cs="B Mitra" w:hint="cs"/>
          <w:sz w:val="28"/>
          <w:szCs w:val="28"/>
          <w:rtl/>
          <w:lang w:bidi="fa-IR"/>
        </w:rPr>
        <w:t>باید به گونه ای تفسیر کرد که با تفسیر گفته شده درباره خاتمیت منافات نداشته باشد. استاد مطهری نیز این سوال را مطرح کرده و پاسخ داده 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. وی می گوید</w:t>
      </w:r>
      <w:r w:rsidR="00DD6A2A">
        <w:rPr>
          <w:rFonts w:ascii="Tahoma" w:hAnsi="Tahoma" w:cs="B Mitra" w:hint="cs"/>
          <w:sz w:val="28"/>
          <w:szCs w:val="28"/>
          <w:rtl/>
          <w:lang w:bidi="fa-IR"/>
        </w:rPr>
        <w:t>: اگر در دوره شریعت ختمیه احتیاج به نبی، یعنی کسی که از طرف خداوند ملهم و موید من عندالله نیست و این کار را فقها و حکمای امت می توانند انجام دهند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D6A2A">
        <w:rPr>
          <w:rFonts w:ascii="Tahoma" w:hAnsi="Tahoma" w:cs="B Mitra" w:hint="cs"/>
          <w:sz w:val="28"/>
          <w:szCs w:val="28"/>
          <w:rtl/>
          <w:lang w:bidi="fa-IR"/>
        </w:rPr>
        <w:t xml:space="preserve"> پس چه احتیاجی به وجود امام است و از نظ</w:t>
      </w:r>
      <w:r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="00DD6A2A">
        <w:rPr>
          <w:rFonts w:ascii="Tahoma" w:hAnsi="Tahoma" w:cs="B Mitra" w:hint="cs"/>
          <w:sz w:val="28"/>
          <w:szCs w:val="28"/>
          <w:rtl/>
          <w:lang w:bidi="fa-IR"/>
        </w:rPr>
        <w:t xml:space="preserve"> منطق شیعه این مطلب چگونه توجیه می شود</w:t>
      </w:r>
      <w:r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="00DD6A2A">
        <w:rPr>
          <w:rFonts w:ascii="Tahoma" w:hAnsi="Tahoma" w:cs="B Mitra" w:hint="cs"/>
          <w:sz w:val="28"/>
          <w:szCs w:val="28"/>
          <w:rtl/>
          <w:lang w:bidi="fa-IR"/>
        </w:rPr>
        <w:t xml:space="preserve"> شهید مطهری در پاسخ می فرماید: این سخن بجایی است. فرق پیامبر و امام تنها در ناحیه اقتباس علوم از غیب نیست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D6A2A">
        <w:rPr>
          <w:rFonts w:ascii="Tahoma" w:hAnsi="Tahoma" w:cs="B Mitra" w:hint="cs"/>
          <w:sz w:val="28"/>
          <w:szCs w:val="28"/>
          <w:rtl/>
          <w:lang w:bidi="fa-IR"/>
        </w:rPr>
        <w:t xml:space="preserve"> بلکه از لحاظ وظیفه هم اختلاف دارند و عمده تفاوت آنان این است که امام نه آوردنده شریعت و قانون است و نه به عنوان امام وظیفه دارد که به سراغ مردم برود و آنها را تبلیغ و دعوت کند. </w:t>
      </w:r>
      <w:r w:rsidR="00D95F30">
        <w:rPr>
          <w:rFonts w:ascii="Tahoma" w:hAnsi="Tahoma" w:cs="B Mitra" w:hint="cs"/>
          <w:sz w:val="28"/>
          <w:szCs w:val="28"/>
          <w:rtl/>
          <w:lang w:bidi="fa-IR"/>
        </w:rPr>
        <w:t xml:space="preserve">امام </w:t>
      </w:r>
      <w:r w:rsidR="00D95F30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مرجعی است برای حل اختلافتی که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علت آن نیز در میان </w:t>
      </w:r>
      <w:r w:rsidR="00D95F30">
        <w:rPr>
          <w:rFonts w:ascii="Tahoma" w:hAnsi="Tahoma" w:cs="B Mitra" w:hint="cs"/>
          <w:sz w:val="28"/>
          <w:szCs w:val="28"/>
          <w:rtl/>
          <w:lang w:bidi="fa-IR"/>
        </w:rPr>
        <w:t xml:space="preserve">خود علما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است. </w:t>
      </w:r>
      <w:r w:rsidR="00D95F30">
        <w:rPr>
          <w:rFonts w:ascii="Tahoma" w:hAnsi="Tahoma" w:cs="B Mitra" w:hint="cs"/>
          <w:sz w:val="28"/>
          <w:szCs w:val="28"/>
          <w:rtl/>
          <w:lang w:bidi="fa-IR"/>
        </w:rPr>
        <w:t xml:space="preserve">مطالعه در روش ائمه نیز نشان می دهد آنها از این جهت که دارای وظیفه امامت بودند جز این حرف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را </w:t>
      </w:r>
      <w:r w:rsidR="00D95F30">
        <w:rPr>
          <w:rFonts w:ascii="Tahoma" w:hAnsi="Tahoma" w:cs="B Mitra" w:hint="cs"/>
          <w:sz w:val="28"/>
          <w:szCs w:val="28"/>
          <w:rtl/>
          <w:lang w:bidi="fa-IR"/>
        </w:rPr>
        <w:t xml:space="preserve">نمی زدند و می گفتند که ما امام هستیم و شما وظیفه دارید که مشکلات خود را از ما بپرسید. علمای امت می توانند در کار دعوت و تبلیغ و ترویج، جانشین پیامبران باشند اما نمی توانند مرجع حل اختلافات باشند. </w:t>
      </w:r>
      <w:r w:rsidR="00D95F30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5"/>
      </w:r>
      <w:r w:rsidR="00D95F30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</w:p>
    <w:p w:rsidR="00D95F30" w:rsidRDefault="00D95F30" w:rsidP="00D95F3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سروش در</w:t>
      </w:r>
      <w:bookmarkStart w:id="0" w:name="_GoBack"/>
      <w:bookmarkEnd w:id="0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ادامه به کلام علامه طباطبایی نیز استشهاد می کند که انشاءالله در جلسه آینده بیان می شود. </w:t>
      </w:r>
    </w:p>
    <w:p w:rsidR="0011156A" w:rsidRDefault="0011156A" w:rsidP="00D74376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762F9E" w:rsidRDefault="00762F9E" w:rsidP="00D21165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D3D" w:rsidRDefault="00AF0D3D" w:rsidP="00BC6EBB">
      <w:pPr>
        <w:spacing w:after="0" w:line="240" w:lineRule="auto"/>
      </w:pPr>
      <w:r>
        <w:separator/>
      </w:r>
    </w:p>
  </w:endnote>
  <w:endnote w:type="continuationSeparator" w:id="0">
    <w:p w:rsidR="00AF0D3D" w:rsidRDefault="00AF0D3D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D3D" w:rsidRDefault="00AF0D3D" w:rsidP="00BC6EBB">
      <w:pPr>
        <w:spacing w:after="0" w:line="240" w:lineRule="auto"/>
      </w:pPr>
      <w:r>
        <w:separator/>
      </w:r>
    </w:p>
  </w:footnote>
  <w:footnote w:type="continuationSeparator" w:id="0">
    <w:p w:rsidR="00AF0D3D" w:rsidRDefault="00AF0D3D" w:rsidP="00BC6EBB">
      <w:pPr>
        <w:spacing w:after="0" w:line="240" w:lineRule="auto"/>
      </w:pPr>
      <w:r>
        <w:continuationSeparator/>
      </w:r>
    </w:p>
  </w:footnote>
  <w:footnote w:id="1">
    <w:p w:rsidR="003651E2" w:rsidRDefault="003651E2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نسا، آیه 165</w:t>
      </w:r>
    </w:p>
  </w:footnote>
  <w:footnote w:id="2">
    <w:p w:rsidR="00B3011A" w:rsidRDefault="00B3011A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کشف المراد، صه 303</w:t>
      </w:r>
    </w:p>
  </w:footnote>
  <w:footnote w:id="3">
    <w:p w:rsidR="00DD6A2A" w:rsidRDefault="00DD6A2A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بسط تجربه نبوی، ص 131- 141</w:t>
      </w:r>
    </w:p>
  </w:footnote>
  <w:footnote w:id="4">
    <w:p w:rsidR="00DD6A2A" w:rsidRDefault="00DD6A2A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شوری، آیه 16</w:t>
      </w:r>
    </w:p>
  </w:footnote>
  <w:footnote w:id="5">
    <w:p w:rsidR="00D95F30" w:rsidRDefault="00D95F30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خاتمیت، ص 50- 53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B1131C" w:rsidRDefault="00FA7A35" w:rsidP="00DE512E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B15A33">
      <w:rPr>
        <w:rFonts w:ascii="Tahoma" w:hAnsi="Tahoma" w:cs="Traditional Arabic" w:hint="cs"/>
        <w:b/>
        <w:bCs/>
        <w:sz w:val="28"/>
        <w:szCs w:val="28"/>
        <w:rtl/>
        <w:lang w:bidi="fa-IR"/>
      </w:rPr>
      <w:t>مبانی اجتهاد در علم کلام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ربانی گلپايگانی، </w:t>
    </w:r>
    <w:r w:rsidR="00DE512E">
      <w:rPr>
        <w:rFonts w:ascii="Tahoma" w:hAnsi="Tahoma" w:cs="Traditional Arabic" w:hint="cs"/>
        <w:sz w:val="28"/>
        <w:szCs w:val="28"/>
        <w:rtl/>
        <w:lang w:bidi="fa-IR"/>
      </w:rPr>
      <w:t xml:space="preserve">سه 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984360">
      <w:rPr>
        <w:rFonts w:ascii="Tahoma" w:hAnsi="Tahoma" w:cs="Traditional Arabic" w:hint="cs"/>
        <w:sz w:val="28"/>
        <w:szCs w:val="28"/>
        <w:rtl/>
        <w:lang w:bidi="fa-IR"/>
      </w:rPr>
      <w:t>2</w:t>
    </w:r>
    <w:r w:rsidR="00DE512E">
      <w:rPr>
        <w:rFonts w:ascii="Tahoma" w:hAnsi="Tahoma" w:cs="Traditional Arabic" w:hint="cs"/>
        <w:sz w:val="28"/>
        <w:szCs w:val="28"/>
        <w:rtl/>
        <w:lang w:bidi="fa-IR"/>
      </w:rPr>
      <w:t>7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02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401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B5182"/>
    <w:multiLevelType w:val="hybridMultilevel"/>
    <w:tmpl w:val="509CF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61779"/>
    <w:multiLevelType w:val="hybridMultilevel"/>
    <w:tmpl w:val="D27A4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6"/>
  </w:num>
  <w:num w:numId="4">
    <w:abstractNumId w:val="3"/>
  </w:num>
  <w:num w:numId="5">
    <w:abstractNumId w:val="13"/>
  </w:num>
  <w:num w:numId="6">
    <w:abstractNumId w:val="0"/>
  </w:num>
  <w:num w:numId="7">
    <w:abstractNumId w:val="12"/>
  </w:num>
  <w:num w:numId="8">
    <w:abstractNumId w:val="5"/>
  </w:num>
  <w:num w:numId="9">
    <w:abstractNumId w:val="2"/>
  </w:num>
  <w:num w:numId="10">
    <w:abstractNumId w:val="11"/>
  </w:num>
  <w:num w:numId="11">
    <w:abstractNumId w:val="1"/>
  </w:num>
  <w:num w:numId="12">
    <w:abstractNumId w:val="7"/>
  </w:num>
  <w:num w:numId="13">
    <w:abstractNumId w:val="9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07E23"/>
    <w:rsid w:val="00012868"/>
    <w:rsid w:val="00012FBF"/>
    <w:rsid w:val="0001572F"/>
    <w:rsid w:val="0001606B"/>
    <w:rsid w:val="000163DD"/>
    <w:rsid w:val="00016B31"/>
    <w:rsid w:val="00022F9C"/>
    <w:rsid w:val="0002474E"/>
    <w:rsid w:val="000247CE"/>
    <w:rsid w:val="0002545B"/>
    <w:rsid w:val="000307B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174C"/>
    <w:rsid w:val="0006483E"/>
    <w:rsid w:val="00065EFA"/>
    <w:rsid w:val="000709E7"/>
    <w:rsid w:val="00072DA3"/>
    <w:rsid w:val="00073D9E"/>
    <w:rsid w:val="00076A69"/>
    <w:rsid w:val="00077FB2"/>
    <w:rsid w:val="00080480"/>
    <w:rsid w:val="00084925"/>
    <w:rsid w:val="00086557"/>
    <w:rsid w:val="00091B01"/>
    <w:rsid w:val="00092A91"/>
    <w:rsid w:val="000940C9"/>
    <w:rsid w:val="00095A0D"/>
    <w:rsid w:val="00097322"/>
    <w:rsid w:val="000A0FFC"/>
    <w:rsid w:val="000A1FEF"/>
    <w:rsid w:val="000A2482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38A5"/>
    <w:rsid w:val="000D4C91"/>
    <w:rsid w:val="000D4E92"/>
    <w:rsid w:val="000E00B8"/>
    <w:rsid w:val="000E13D2"/>
    <w:rsid w:val="000E1643"/>
    <w:rsid w:val="000E1F32"/>
    <w:rsid w:val="000E4F0C"/>
    <w:rsid w:val="000E5BF7"/>
    <w:rsid w:val="000F3548"/>
    <w:rsid w:val="000F4C30"/>
    <w:rsid w:val="000F6297"/>
    <w:rsid w:val="000F794A"/>
    <w:rsid w:val="00101FF2"/>
    <w:rsid w:val="00103A0F"/>
    <w:rsid w:val="00107E2A"/>
    <w:rsid w:val="00110038"/>
    <w:rsid w:val="00110C35"/>
    <w:rsid w:val="0011156A"/>
    <w:rsid w:val="00111B3C"/>
    <w:rsid w:val="001149A2"/>
    <w:rsid w:val="00122CA0"/>
    <w:rsid w:val="00125670"/>
    <w:rsid w:val="00130F99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672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08AF"/>
    <w:rsid w:val="001D1AC1"/>
    <w:rsid w:val="001D7D5B"/>
    <w:rsid w:val="001D7EAF"/>
    <w:rsid w:val="001E09FC"/>
    <w:rsid w:val="001E3C1C"/>
    <w:rsid w:val="001E641F"/>
    <w:rsid w:val="001F02A2"/>
    <w:rsid w:val="001F1887"/>
    <w:rsid w:val="001F2643"/>
    <w:rsid w:val="001F2BEB"/>
    <w:rsid w:val="001F45BD"/>
    <w:rsid w:val="001F474B"/>
    <w:rsid w:val="001F7890"/>
    <w:rsid w:val="0020009A"/>
    <w:rsid w:val="00202D03"/>
    <w:rsid w:val="00204445"/>
    <w:rsid w:val="0020615E"/>
    <w:rsid w:val="00206F96"/>
    <w:rsid w:val="002104BA"/>
    <w:rsid w:val="00213E18"/>
    <w:rsid w:val="002152B2"/>
    <w:rsid w:val="00217A73"/>
    <w:rsid w:val="00226FCD"/>
    <w:rsid w:val="0022770F"/>
    <w:rsid w:val="00227DEF"/>
    <w:rsid w:val="00230D8D"/>
    <w:rsid w:val="00233413"/>
    <w:rsid w:val="00233E3E"/>
    <w:rsid w:val="00235089"/>
    <w:rsid w:val="00235B8C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5637F"/>
    <w:rsid w:val="00261FC1"/>
    <w:rsid w:val="002629CF"/>
    <w:rsid w:val="002637C8"/>
    <w:rsid w:val="002639D3"/>
    <w:rsid w:val="002716F0"/>
    <w:rsid w:val="002718C3"/>
    <w:rsid w:val="00275E85"/>
    <w:rsid w:val="002812D2"/>
    <w:rsid w:val="00284B5D"/>
    <w:rsid w:val="00285CD8"/>
    <w:rsid w:val="00285F7B"/>
    <w:rsid w:val="00287268"/>
    <w:rsid w:val="00290118"/>
    <w:rsid w:val="00292488"/>
    <w:rsid w:val="002960DF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EA2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1FFC"/>
    <w:rsid w:val="002E37F1"/>
    <w:rsid w:val="002E49A4"/>
    <w:rsid w:val="002E4AF8"/>
    <w:rsid w:val="002E660A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6FDF"/>
    <w:rsid w:val="00307A6D"/>
    <w:rsid w:val="0031120E"/>
    <w:rsid w:val="00313F85"/>
    <w:rsid w:val="00315A21"/>
    <w:rsid w:val="00315BE8"/>
    <w:rsid w:val="003163E8"/>
    <w:rsid w:val="00323075"/>
    <w:rsid w:val="00323BE2"/>
    <w:rsid w:val="00323F6F"/>
    <w:rsid w:val="003308CB"/>
    <w:rsid w:val="003313D9"/>
    <w:rsid w:val="00333044"/>
    <w:rsid w:val="00333539"/>
    <w:rsid w:val="003336AD"/>
    <w:rsid w:val="00336CA1"/>
    <w:rsid w:val="00336DAB"/>
    <w:rsid w:val="0034059B"/>
    <w:rsid w:val="003409CA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4A2"/>
    <w:rsid w:val="00357FCE"/>
    <w:rsid w:val="00360E85"/>
    <w:rsid w:val="00362096"/>
    <w:rsid w:val="00362336"/>
    <w:rsid w:val="003651E2"/>
    <w:rsid w:val="0036605F"/>
    <w:rsid w:val="00366A88"/>
    <w:rsid w:val="00371F19"/>
    <w:rsid w:val="003723AD"/>
    <w:rsid w:val="00372A3D"/>
    <w:rsid w:val="00375719"/>
    <w:rsid w:val="003773B5"/>
    <w:rsid w:val="00382FF2"/>
    <w:rsid w:val="003848EB"/>
    <w:rsid w:val="00385E69"/>
    <w:rsid w:val="00386830"/>
    <w:rsid w:val="00386B1E"/>
    <w:rsid w:val="0039098D"/>
    <w:rsid w:val="00391B23"/>
    <w:rsid w:val="003932F3"/>
    <w:rsid w:val="00393BD0"/>
    <w:rsid w:val="0039580F"/>
    <w:rsid w:val="00395EEB"/>
    <w:rsid w:val="003A0270"/>
    <w:rsid w:val="003A0A63"/>
    <w:rsid w:val="003A6146"/>
    <w:rsid w:val="003A64A8"/>
    <w:rsid w:val="003A719B"/>
    <w:rsid w:val="003B1431"/>
    <w:rsid w:val="003B327B"/>
    <w:rsid w:val="003B3BA3"/>
    <w:rsid w:val="003B4B83"/>
    <w:rsid w:val="003B4F5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04A"/>
    <w:rsid w:val="003E0384"/>
    <w:rsid w:val="003E3D3A"/>
    <w:rsid w:val="003F150A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2BBB"/>
    <w:rsid w:val="004444B5"/>
    <w:rsid w:val="00447D89"/>
    <w:rsid w:val="00453C04"/>
    <w:rsid w:val="00453FAA"/>
    <w:rsid w:val="00454533"/>
    <w:rsid w:val="00457B33"/>
    <w:rsid w:val="00462202"/>
    <w:rsid w:val="00462D1E"/>
    <w:rsid w:val="00464EA2"/>
    <w:rsid w:val="00465559"/>
    <w:rsid w:val="00465656"/>
    <w:rsid w:val="0046603E"/>
    <w:rsid w:val="00472549"/>
    <w:rsid w:val="004726AC"/>
    <w:rsid w:val="004741DE"/>
    <w:rsid w:val="004754C7"/>
    <w:rsid w:val="00475C58"/>
    <w:rsid w:val="004763DD"/>
    <w:rsid w:val="00476F46"/>
    <w:rsid w:val="004802FA"/>
    <w:rsid w:val="00481659"/>
    <w:rsid w:val="00484C51"/>
    <w:rsid w:val="00485A0D"/>
    <w:rsid w:val="00487360"/>
    <w:rsid w:val="00491511"/>
    <w:rsid w:val="004954DE"/>
    <w:rsid w:val="0049774B"/>
    <w:rsid w:val="004A4121"/>
    <w:rsid w:val="004A4660"/>
    <w:rsid w:val="004A5661"/>
    <w:rsid w:val="004A762C"/>
    <w:rsid w:val="004B3470"/>
    <w:rsid w:val="004B6EEB"/>
    <w:rsid w:val="004C1F9D"/>
    <w:rsid w:val="004C40D0"/>
    <w:rsid w:val="004C42D5"/>
    <w:rsid w:val="004C4FBC"/>
    <w:rsid w:val="004C5648"/>
    <w:rsid w:val="004C73E5"/>
    <w:rsid w:val="004C7875"/>
    <w:rsid w:val="004D003F"/>
    <w:rsid w:val="004D1CC3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591"/>
    <w:rsid w:val="00514677"/>
    <w:rsid w:val="00521020"/>
    <w:rsid w:val="00524183"/>
    <w:rsid w:val="0052566C"/>
    <w:rsid w:val="00527EF5"/>
    <w:rsid w:val="005328A5"/>
    <w:rsid w:val="00533C2F"/>
    <w:rsid w:val="00533E43"/>
    <w:rsid w:val="0053674E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5848"/>
    <w:rsid w:val="005766FE"/>
    <w:rsid w:val="00576E1F"/>
    <w:rsid w:val="005817AE"/>
    <w:rsid w:val="00581BA1"/>
    <w:rsid w:val="005902CE"/>
    <w:rsid w:val="00591007"/>
    <w:rsid w:val="005912F4"/>
    <w:rsid w:val="005920FC"/>
    <w:rsid w:val="005A04F4"/>
    <w:rsid w:val="005A213A"/>
    <w:rsid w:val="005A266E"/>
    <w:rsid w:val="005A32DE"/>
    <w:rsid w:val="005A5013"/>
    <w:rsid w:val="005A742D"/>
    <w:rsid w:val="005A754E"/>
    <w:rsid w:val="005B3B71"/>
    <w:rsid w:val="005B6816"/>
    <w:rsid w:val="005B6A7A"/>
    <w:rsid w:val="005B780B"/>
    <w:rsid w:val="005C2A30"/>
    <w:rsid w:val="005C3722"/>
    <w:rsid w:val="005C4619"/>
    <w:rsid w:val="005D0519"/>
    <w:rsid w:val="005D14C4"/>
    <w:rsid w:val="005D2C65"/>
    <w:rsid w:val="005D3E17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299"/>
    <w:rsid w:val="00604E6F"/>
    <w:rsid w:val="006059A7"/>
    <w:rsid w:val="00606DD6"/>
    <w:rsid w:val="00616C54"/>
    <w:rsid w:val="00616FA1"/>
    <w:rsid w:val="00617A01"/>
    <w:rsid w:val="006201D0"/>
    <w:rsid w:val="0062087C"/>
    <w:rsid w:val="0062257C"/>
    <w:rsid w:val="00624BF9"/>
    <w:rsid w:val="00625937"/>
    <w:rsid w:val="00625E48"/>
    <w:rsid w:val="00626FF2"/>
    <w:rsid w:val="00631631"/>
    <w:rsid w:val="00632988"/>
    <w:rsid w:val="00637E49"/>
    <w:rsid w:val="006424FF"/>
    <w:rsid w:val="00643D8C"/>
    <w:rsid w:val="00644ED5"/>
    <w:rsid w:val="00645DC1"/>
    <w:rsid w:val="00647CE3"/>
    <w:rsid w:val="0065086D"/>
    <w:rsid w:val="00651B34"/>
    <w:rsid w:val="00652AD6"/>
    <w:rsid w:val="006538C2"/>
    <w:rsid w:val="0065579C"/>
    <w:rsid w:val="00661DB3"/>
    <w:rsid w:val="00665CAB"/>
    <w:rsid w:val="00666F0D"/>
    <w:rsid w:val="00667600"/>
    <w:rsid w:val="00667AAA"/>
    <w:rsid w:val="006705F8"/>
    <w:rsid w:val="0067130D"/>
    <w:rsid w:val="006734DB"/>
    <w:rsid w:val="00674441"/>
    <w:rsid w:val="00676919"/>
    <w:rsid w:val="0068025E"/>
    <w:rsid w:val="006828FC"/>
    <w:rsid w:val="006848DD"/>
    <w:rsid w:val="006868B5"/>
    <w:rsid w:val="00687D27"/>
    <w:rsid w:val="00690386"/>
    <w:rsid w:val="00695AEF"/>
    <w:rsid w:val="006961D4"/>
    <w:rsid w:val="0069703E"/>
    <w:rsid w:val="006971A2"/>
    <w:rsid w:val="006A13FE"/>
    <w:rsid w:val="006A2CE6"/>
    <w:rsid w:val="006A32FB"/>
    <w:rsid w:val="006A4C6C"/>
    <w:rsid w:val="006A6483"/>
    <w:rsid w:val="006A746B"/>
    <w:rsid w:val="006B037C"/>
    <w:rsid w:val="006B0EEC"/>
    <w:rsid w:val="006B4578"/>
    <w:rsid w:val="006B512F"/>
    <w:rsid w:val="006C0183"/>
    <w:rsid w:val="006C0753"/>
    <w:rsid w:val="006C42EF"/>
    <w:rsid w:val="006C67E5"/>
    <w:rsid w:val="006C6DFB"/>
    <w:rsid w:val="006C6EAF"/>
    <w:rsid w:val="006D0652"/>
    <w:rsid w:val="006D07E6"/>
    <w:rsid w:val="006D533A"/>
    <w:rsid w:val="006D7957"/>
    <w:rsid w:val="006E28AB"/>
    <w:rsid w:val="006E2EB4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65E7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3F31"/>
    <w:rsid w:val="00786636"/>
    <w:rsid w:val="0078709C"/>
    <w:rsid w:val="00787DAA"/>
    <w:rsid w:val="00790C14"/>
    <w:rsid w:val="00790F2D"/>
    <w:rsid w:val="007923F3"/>
    <w:rsid w:val="007931F1"/>
    <w:rsid w:val="00795F07"/>
    <w:rsid w:val="00797433"/>
    <w:rsid w:val="007976EA"/>
    <w:rsid w:val="007A00EE"/>
    <w:rsid w:val="007A2AA6"/>
    <w:rsid w:val="007A3490"/>
    <w:rsid w:val="007A4E73"/>
    <w:rsid w:val="007A6C0A"/>
    <w:rsid w:val="007A7C21"/>
    <w:rsid w:val="007B02F5"/>
    <w:rsid w:val="007B127C"/>
    <w:rsid w:val="007B1A2D"/>
    <w:rsid w:val="007B1D1D"/>
    <w:rsid w:val="007B1E18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D5A81"/>
    <w:rsid w:val="007E058E"/>
    <w:rsid w:val="007E0B35"/>
    <w:rsid w:val="007E1717"/>
    <w:rsid w:val="007E45AF"/>
    <w:rsid w:val="007F172D"/>
    <w:rsid w:val="007F2514"/>
    <w:rsid w:val="007F3F50"/>
    <w:rsid w:val="007F46A5"/>
    <w:rsid w:val="007F4AB5"/>
    <w:rsid w:val="007F6020"/>
    <w:rsid w:val="007F6E47"/>
    <w:rsid w:val="008005F7"/>
    <w:rsid w:val="008038F1"/>
    <w:rsid w:val="00806946"/>
    <w:rsid w:val="00806CB5"/>
    <w:rsid w:val="00813F6F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3FAC"/>
    <w:rsid w:val="0085500F"/>
    <w:rsid w:val="00863026"/>
    <w:rsid w:val="00866415"/>
    <w:rsid w:val="008734DA"/>
    <w:rsid w:val="00874AF3"/>
    <w:rsid w:val="00874B14"/>
    <w:rsid w:val="00875020"/>
    <w:rsid w:val="00875509"/>
    <w:rsid w:val="00876745"/>
    <w:rsid w:val="00876D3A"/>
    <w:rsid w:val="008801A2"/>
    <w:rsid w:val="008829B8"/>
    <w:rsid w:val="00882F8D"/>
    <w:rsid w:val="00883EBD"/>
    <w:rsid w:val="00885141"/>
    <w:rsid w:val="00885ECD"/>
    <w:rsid w:val="008875FD"/>
    <w:rsid w:val="00891CB9"/>
    <w:rsid w:val="00891D90"/>
    <w:rsid w:val="00894892"/>
    <w:rsid w:val="0089576C"/>
    <w:rsid w:val="00895A00"/>
    <w:rsid w:val="008A1693"/>
    <w:rsid w:val="008A2D69"/>
    <w:rsid w:val="008A3013"/>
    <w:rsid w:val="008A3C5A"/>
    <w:rsid w:val="008A468F"/>
    <w:rsid w:val="008A4A18"/>
    <w:rsid w:val="008A644D"/>
    <w:rsid w:val="008A6521"/>
    <w:rsid w:val="008B03D3"/>
    <w:rsid w:val="008B08D7"/>
    <w:rsid w:val="008B0BD6"/>
    <w:rsid w:val="008B1E77"/>
    <w:rsid w:val="008B4265"/>
    <w:rsid w:val="008B5051"/>
    <w:rsid w:val="008B5C3E"/>
    <w:rsid w:val="008B67D3"/>
    <w:rsid w:val="008B6CB4"/>
    <w:rsid w:val="008C0F31"/>
    <w:rsid w:val="008C353D"/>
    <w:rsid w:val="008C47A1"/>
    <w:rsid w:val="008D19FA"/>
    <w:rsid w:val="008D3010"/>
    <w:rsid w:val="008D3A03"/>
    <w:rsid w:val="008D5E14"/>
    <w:rsid w:val="008D7456"/>
    <w:rsid w:val="008E1683"/>
    <w:rsid w:val="008E1D9D"/>
    <w:rsid w:val="008E20E3"/>
    <w:rsid w:val="008E2FD8"/>
    <w:rsid w:val="008E507C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3F3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5B26"/>
    <w:rsid w:val="00926A7D"/>
    <w:rsid w:val="00926EF3"/>
    <w:rsid w:val="00932906"/>
    <w:rsid w:val="009354EC"/>
    <w:rsid w:val="00935A44"/>
    <w:rsid w:val="00936422"/>
    <w:rsid w:val="00936D31"/>
    <w:rsid w:val="00940B6F"/>
    <w:rsid w:val="00940F9D"/>
    <w:rsid w:val="00943CCA"/>
    <w:rsid w:val="00944854"/>
    <w:rsid w:val="00944B44"/>
    <w:rsid w:val="009470EB"/>
    <w:rsid w:val="0095018E"/>
    <w:rsid w:val="00950DA2"/>
    <w:rsid w:val="00955D90"/>
    <w:rsid w:val="00956E8D"/>
    <w:rsid w:val="009575A3"/>
    <w:rsid w:val="0096094F"/>
    <w:rsid w:val="0096110A"/>
    <w:rsid w:val="009636AA"/>
    <w:rsid w:val="009656B7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4360"/>
    <w:rsid w:val="00986283"/>
    <w:rsid w:val="00987B06"/>
    <w:rsid w:val="009907C6"/>
    <w:rsid w:val="00991413"/>
    <w:rsid w:val="009915F3"/>
    <w:rsid w:val="00993D52"/>
    <w:rsid w:val="009951F2"/>
    <w:rsid w:val="009966D5"/>
    <w:rsid w:val="009966D8"/>
    <w:rsid w:val="009A00AB"/>
    <w:rsid w:val="009A1BA9"/>
    <w:rsid w:val="009A1BC1"/>
    <w:rsid w:val="009A200D"/>
    <w:rsid w:val="009A3346"/>
    <w:rsid w:val="009A3BD2"/>
    <w:rsid w:val="009A6E20"/>
    <w:rsid w:val="009B08EB"/>
    <w:rsid w:val="009B0ADF"/>
    <w:rsid w:val="009B3515"/>
    <w:rsid w:val="009B49D2"/>
    <w:rsid w:val="009B5E38"/>
    <w:rsid w:val="009B6066"/>
    <w:rsid w:val="009B6E5B"/>
    <w:rsid w:val="009C2D39"/>
    <w:rsid w:val="009C4915"/>
    <w:rsid w:val="009C79E9"/>
    <w:rsid w:val="009D27E3"/>
    <w:rsid w:val="009D6923"/>
    <w:rsid w:val="009E1D8E"/>
    <w:rsid w:val="009E1E66"/>
    <w:rsid w:val="009E216B"/>
    <w:rsid w:val="009E32A8"/>
    <w:rsid w:val="009E33C4"/>
    <w:rsid w:val="009E3A90"/>
    <w:rsid w:val="009E5230"/>
    <w:rsid w:val="009E5235"/>
    <w:rsid w:val="009F2455"/>
    <w:rsid w:val="009F3750"/>
    <w:rsid w:val="009F5C9D"/>
    <w:rsid w:val="009F6EDA"/>
    <w:rsid w:val="009F72F8"/>
    <w:rsid w:val="00A00296"/>
    <w:rsid w:val="00A0314D"/>
    <w:rsid w:val="00A033C3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27C46"/>
    <w:rsid w:val="00A309FB"/>
    <w:rsid w:val="00A310F2"/>
    <w:rsid w:val="00A31CB9"/>
    <w:rsid w:val="00A33979"/>
    <w:rsid w:val="00A34B07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3901"/>
    <w:rsid w:val="00A44606"/>
    <w:rsid w:val="00A4753F"/>
    <w:rsid w:val="00A50C58"/>
    <w:rsid w:val="00A50E2A"/>
    <w:rsid w:val="00A5168A"/>
    <w:rsid w:val="00A51EFB"/>
    <w:rsid w:val="00A531E8"/>
    <w:rsid w:val="00A54C09"/>
    <w:rsid w:val="00A56256"/>
    <w:rsid w:val="00A625CE"/>
    <w:rsid w:val="00A62BCE"/>
    <w:rsid w:val="00A632E1"/>
    <w:rsid w:val="00A635A2"/>
    <w:rsid w:val="00A63B18"/>
    <w:rsid w:val="00A6491F"/>
    <w:rsid w:val="00A72415"/>
    <w:rsid w:val="00A72EA0"/>
    <w:rsid w:val="00A74F83"/>
    <w:rsid w:val="00A755FD"/>
    <w:rsid w:val="00A76BCB"/>
    <w:rsid w:val="00A80E56"/>
    <w:rsid w:val="00A81673"/>
    <w:rsid w:val="00A828C2"/>
    <w:rsid w:val="00A834DB"/>
    <w:rsid w:val="00A83F23"/>
    <w:rsid w:val="00A8640D"/>
    <w:rsid w:val="00A87B4A"/>
    <w:rsid w:val="00A93640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9EB"/>
    <w:rsid w:val="00AB4B3C"/>
    <w:rsid w:val="00AB4CE0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D654A"/>
    <w:rsid w:val="00AE0297"/>
    <w:rsid w:val="00AE3B1C"/>
    <w:rsid w:val="00AE4CA9"/>
    <w:rsid w:val="00AE5CA6"/>
    <w:rsid w:val="00AE60E3"/>
    <w:rsid w:val="00AF0601"/>
    <w:rsid w:val="00AF0D3D"/>
    <w:rsid w:val="00AF375B"/>
    <w:rsid w:val="00B03A32"/>
    <w:rsid w:val="00B04AD7"/>
    <w:rsid w:val="00B04E37"/>
    <w:rsid w:val="00B06473"/>
    <w:rsid w:val="00B06D6B"/>
    <w:rsid w:val="00B07D44"/>
    <w:rsid w:val="00B10C12"/>
    <w:rsid w:val="00B1131C"/>
    <w:rsid w:val="00B1367F"/>
    <w:rsid w:val="00B1376F"/>
    <w:rsid w:val="00B14926"/>
    <w:rsid w:val="00B15A33"/>
    <w:rsid w:val="00B15D53"/>
    <w:rsid w:val="00B3011A"/>
    <w:rsid w:val="00B326A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4FF"/>
    <w:rsid w:val="00B54FDC"/>
    <w:rsid w:val="00B55684"/>
    <w:rsid w:val="00B556E3"/>
    <w:rsid w:val="00B57C9A"/>
    <w:rsid w:val="00B60F89"/>
    <w:rsid w:val="00B622A2"/>
    <w:rsid w:val="00B642BF"/>
    <w:rsid w:val="00B64524"/>
    <w:rsid w:val="00B65902"/>
    <w:rsid w:val="00B65FAF"/>
    <w:rsid w:val="00B6680F"/>
    <w:rsid w:val="00B66FED"/>
    <w:rsid w:val="00B74E3B"/>
    <w:rsid w:val="00B811DA"/>
    <w:rsid w:val="00B81E1A"/>
    <w:rsid w:val="00B857D6"/>
    <w:rsid w:val="00B85C24"/>
    <w:rsid w:val="00B863E8"/>
    <w:rsid w:val="00B8708F"/>
    <w:rsid w:val="00B94D1D"/>
    <w:rsid w:val="00B9673D"/>
    <w:rsid w:val="00B97514"/>
    <w:rsid w:val="00BA100D"/>
    <w:rsid w:val="00BA4318"/>
    <w:rsid w:val="00BA4DD6"/>
    <w:rsid w:val="00BA5A9C"/>
    <w:rsid w:val="00BA5BF7"/>
    <w:rsid w:val="00BB34AA"/>
    <w:rsid w:val="00BB652C"/>
    <w:rsid w:val="00BB703E"/>
    <w:rsid w:val="00BB791F"/>
    <w:rsid w:val="00BC3C8F"/>
    <w:rsid w:val="00BC3FE0"/>
    <w:rsid w:val="00BC50AB"/>
    <w:rsid w:val="00BC6EBB"/>
    <w:rsid w:val="00BD01FB"/>
    <w:rsid w:val="00BD3E03"/>
    <w:rsid w:val="00BD57D4"/>
    <w:rsid w:val="00BE0145"/>
    <w:rsid w:val="00BE1B13"/>
    <w:rsid w:val="00BE4257"/>
    <w:rsid w:val="00BE4B35"/>
    <w:rsid w:val="00BE63DB"/>
    <w:rsid w:val="00BE6CFC"/>
    <w:rsid w:val="00BF1A71"/>
    <w:rsid w:val="00BF1F73"/>
    <w:rsid w:val="00BF3182"/>
    <w:rsid w:val="00BF338C"/>
    <w:rsid w:val="00BF3C3F"/>
    <w:rsid w:val="00BF53F4"/>
    <w:rsid w:val="00BF680A"/>
    <w:rsid w:val="00BF7087"/>
    <w:rsid w:val="00C006BF"/>
    <w:rsid w:val="00C05405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17F4"/>
    <w:rsid w:val="00C32D27"/>
    <w:rsid w:val="00C3459D"/>
    <w:rsid w:val="00C3517C"/>
    <w:rsid w:val="00C36180"/>
    <w:rsid w:val="00C365CA"/>
    <w:rsid w:val="00C3793E"/>
    <w:rsid w:val="00C4062E"/>
    <w:rsid w:val="00C41A4D"/>
    <w:rsid w:val="00C41B83"/>
    <w:rsid w:val="00C428D1"/>
    <w:rsid w:val="00C4371D"/>
    <w:rsid w:val="00C46707"/>
    <w:rsid w:val="00C53460"/>
    <w:rsid w:val="00C547D0"/>
    <w:rsid w:val="00C614A9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4B6C"/>
    <w:rsid w:val="00CF536B"/>
    <w:rsid w:val="00D003C7"/>
    <w:rsid w:val="00D05BD7"/>
    <w:rsid w:val="00D13829"/>
    <w:rsid w:val="00D14865"/>
    <w:rsid w:val="00D155D0"/>
    <w:rsid w:val="00D15913"/>
    <w:rsid w:val="00D15FF3"/>
    <w:rsid w:val="00D21165"/>
    <w:rsid w:val="00D26BDC"/>
    <w:rsid w:val="00D2752C"/>
    <w:rsid w:val="00D27ACE"/>
    <w:rsid w:val="00D3060F"/>
    <w:rsid w:val="00D31DEE"/>
    <w:rsid w:val="00D32841"/>
    <w:rsid w:val="00D3284E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417A"/>
    <w:rsid w:val="00D669A6"/>
    <w:rsid w:val="00D66B24"/>
    <w:rsid w:val="00D74376"/>
    <w:rsid w:val="00D75283"/>
    <w:rsid w:val="00D778A8"/>
    <w:rsid w:val="00D8527F"/>
    <w:rsid w:val="00D8567C"/>
    <w:rsid w:val="00D85CEC"/>
    <w:rsid w:val="00D87ECA"/>
    <w:rsid w:val="00D912E2"/>
    <w:rsid w:val="00D95F30"/>
    <w:rsid w:val="00D96151"/>
    <w:rsid w:val="00DA3D45"/>
    <w:rsid w:val="00DA5F16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6A2A"/>
    <w:rsid w:val="00DD7A8F"/>
    <w:rsid w:val="00DE2A3C"/>
    <w:rsid w:val="00DE512E"/>
    <w:rsid w:val="00DE594B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17500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4813"/>
    <w:rsid w:val="00E3594B"/>
    <w:rsid w:val="00E35B7B"/>
    <w:rsid w:val="00E36482"/>
    <w:rsid w:val="00E401F0"/>
    <w:rsid w:val="00E42881"/>
    <w:rsid w:val="00E437C0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3266"/>
    <w:rsid w:val="00E65E93"/>
    <w:rsid w:val="00E71411"/>
    <w:rsid w:val="00E72091"/>
    <w:rsid w:val="00E73A9D"/>
    <w:rsid w:val="00E73B97"/>
    <w:rsid w:val="00E742A7"/>
    <w:rsid w:val="00E747B5"/>
    <w:rsid w:val="00E74E76"/>
    <w:rsid w:val="00E75EA0"/>
    <w:rsid w:val="00E77347"/>
    <w:rsid w:val="00E806F2"/>
    <w:rsid w:val="00E82945"/>
    <w:rsid w:val="00E84260"/>
    <w:rsid w:val="00E844D8"/>
    <w:rsid w:val="00E852E4"/>
    <w:rsid w:val="00E860FD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9E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33C7A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1E7D"/>
    <w:rsid w:val="00F6283B"/>
    <w:rsid w:val="00F63812"/>
    <w:rsid w:val="00F63C71"/>
    <w:rsid w:val="00F7131D"/>
    <w:rsid w:val="00F714A7"/>
    <w:rsid w:val="00F72BE8"/>
    <w:rsid w:val="00F739B3"/>
    <w:rsid w:val="00F760AA"/>
    <w:rsid w:val="00F76618"/>
    <w:rsid w:val="00F77D94"/>
    <w:rsid w:val="00F81261"/>
    <w:rsid w:val="00F868C7"/>
    <w:rsid w:val="00F87D96"/>
    <w:rsid w:val="00F9594A"/>
    <w:rsid w:val="00F95D95"/>
    <w:rsid w:val="00FA27B4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592F"/>
    <w:rsid w:val="00FB5DCE"/>
    <w:rsid w:val="00FB78D4"/>
    <w:rsid w:val="00FC02B7"/>
    <w:rsid w:val="00FC0834"/>
    <w:rsid w:val="00FC1298"/>
    <w:rsid w:val="00FC6BEB"/>
    <w:rsid w:val="00FC7365"/>
    <w:rsid w:val="00FD2702"/>
    <w:rsid w:val="00FD6025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E261054-6018-4B49-A18E-D2F1D5199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4</cp:revision>
  <dcterms:created xsi:type="dcterms:W3CDTF">2022-05-17T11:40:00Z</dcterms:created>
  <dcterms:modified xsi:type="dcterms:W3CDTF">2022-05-17T12:44:00Z</dcterms:modified>
</cp:coreProperties>
</file>