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80" w:rsidRPr="00BF0EE0" w:rsidRDefault="00916180" w:rsidP="00916180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BF0EE0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BF0EE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BF0EE0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فی ما یتعلق بصیغه الامر</w:t>
      </w:r>
      <w:r w:rsidRPr="00BF0EE0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/اوامر</w:t>
      </w:r>
    </w:p>
    <w:p w:rsidR="00AA72A1" w:rsidRPr="00916180" w:rsidRDefault="00FD56DE" w:rsidP="003B1467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</w:rPr>
      </w:pP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ظهور صیغه امر در وجوب</w:t>
      </w:r>
    </w:p>
    <w:p w:rsidR="001344C8" w:rsidRPr="00916180" w:rsidRDefault="00B143EE" w:rsidP="00B143EE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مرحوم آخوند </w:t>
      </w:r>
      <w:r w:rsidR="00FD56D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در کفایه فرمود: «</w:t>
      </w:r>
      <w:r w:rsidR="00FD56DE" w:rsidRPr="00916180">
        <w:rPr>
          <w:rStyle w:val="rfdbold2"/>
          <w:rFonts w:ascii="Traditional Arabic" w:hAnsi="Traditional Arabic" w:cs="Traditional Arabic"/>
          <w:color w:val="000080"/>
          <w:sz w:val="28"/>
          <w:szCs w:val="28"/>
          <w:rtl/>
        </w:rPr>
        <w:t>المبحث الثّاني</w:t>
      </w:r>
      <w:r w:rsidR="00FD56DE" w:rsidRPr="00916180">
        <w:rPr>
          <w:rStyle w:val="rfdbold2"/>
          <w:rFonts w:ascii="Traditional Arabic" w:hAnsi="Traditional Arabic" w:cs="Traditional Arabic"/>
          <w:color w:val="000080"/>
          <w:sz w:val="28"/>
          <w:szCs w:val="28"/>
        </w:rPr>
        <w:t xml:space="preserve"> :</w:t>
      </w:r>
      <w:r w:rsidR="00FD56DE" w:rsidRPr="00916180">
        <w:rPr>
          <w:rFonts w:ascii="Traditional Arabic" w:hAnsi="Traditional Arabic" w:cs="Traditional Arabic"/>
          <w:color w:val="000080"/>
          <w:sz w:val="28"/>
          <w:szCs w:val="28"/>
        </w:rPr>
        <w:t xml:space="preserve"> </w:t>
      </w:r>
      <w:r w:rsidR="00FD56DE" w:rsidRPr="00916180">
        <w:rPr>
          <w:rFonts w:ascii="Traditional Arabic" w:hAnsi="Traditional Arabic" w:cs="Traditional Arabic"/>
          <w:color w:val="000080"/>
          <w:sz w:val="28"/>
          <w:szCs w:val="28"/>
          <w:rtl/>
        </w:rPr>
        <w:t>في أن الصيغة حقيقة في الوجوب ، أو في الندب ، أو فيهما ، أو في المشترك بينهما ، وجوه بل أقوال</w:t>
      </w:r>
      <w:r w:rsidR="00FD56DE" w:rsidRPr="0091618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 xml:space="preserve">، لا </w:t>
      </w:r>
      <w:r w:rsidR="00FD56DE" w:rsidRPr="00916180">
        <w:rPr>
          <w:rFonts w:ascii="Traditional Arabic" w:hAnsi="Traditional Arabic" w:cs="Traditional Arabic"/>
          <w:color w:val="000080"/>
          <w:sz w:val="28"/>
          <w:szCs w:val="28"/>
          <w:rtl/>
        </w:rPr>
        <w:t>يبعد تبادر الوجوب عند استعمالها بلا قرينة</w:t>
      </w:r>
      <w:r w:rsidR="00FD56D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»</w:t>
      </w:r>
      <w:r w:rsidR="003468E5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FD56D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لذا </w:t>
      </w: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بنابر نظر ایشان امر</w:t>
      </w:r>
      <w:r w:rsidR="00FD56D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حقیقت در وجوب است.</w:t>
      </w:r>
    </w:p>
    <w:p w:rsidR="00FD56DE" w:rsidRPr="00916180" w:rsidRDefault="00FD56DE" w:rsidP="00B143E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«</w:t>
      </w:r>
      <w:r w:rsidRPr="00916180">
        <w:rPr>
          <w:rFonts w:ascii="Traditional Arabic" w:hAnsi="Traditional Arabic" w:cs="Traditional Arabic"/>
          <w:color w:val="000080"/>
          <w:sz w:val="28"/>
          <w:szCs w:val="28"/>
          <w:rtl/>
        </w:rPr>
        <w:t>ويؤيده عدم صحة الاعتذار عن المخالفة باحتمال إرادة الندب ، مع الاعتراف بعدم دلالته عليه بحال أو مقال</w:t>
      </w: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» </w:t>
      </w:r>
      <w:r w:rsidR="00B143E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در فرضی که </w:t>
      </w: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قرینه ای</w:t>
      </w:r>
      <w:r w:rsidR="00B143E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در امر</w:t>
      </w: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بر ندب </w:t>
      </w:r>
      <w:r w:rsidR="00B143E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نباشد و</w:t>
      </w: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عبد </w:t>
      </w:r>
      <w:r w:rsidR="00B143EE"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اتیان مامور به ننماید و بگوید:</w:t>
      </w:r>
      <w:r w:rsidRPr="0091618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من احتمال استحباب می دادم، آیا عند العرف عذرش پذیرفته می شود؟ خیر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 این کشف می کند که متبادر از امر عند عدم القرینه همان وجوب است.</w:t>
      </w:r>
      <w:r w:rsidRPr="00916180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1"/>
      </w:r>
    </w:p>
    <w:p w:rsidR="00FD56DE" w:rsidRPr="00916180" w:rsidRDefault="00244AFB" w:rsidP="00FD56DE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اشکال صاحب معالم و جواب صاحب کفایه به ایشان</w:t>
      </w:r>
    </w:p>
    <w:p w:rsidR="00FD56DE" w:rsidRPr="00916180" w:rsidRDefault="00FD56DE" w:rsidP="00B143E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صاحب معالم ضمن اینکه </w:t>
      </w:r>
      <w:r w:rsidR="00B143EE"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می پذیرد که امر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B143EE"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به طور کلی قبول و بلا قرینه ظهور در وجوب دارد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، لکن قائل است که اوامر وارده در کتاب و سنّت با اوامر عرفیه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متفاوتند.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چرا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که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استعمال در ندب بسیار زیاد است و این کثرت استعمال مانع از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انصراف امر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به وجوب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خواهد بود. این نکته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در غیر اوامر شرعیه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به یان شکل نمی باشد؛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لکن در خصوص اوامر شرعیه این مشکل وجود دارد.</w:t>
      </w:r>
    </w:p>
    <w:p w:rsidR="00FD56DE" w:rsidRPr="00916180" w:rsidRDefault="00FD56DE" w:rsidP="00B143E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لهذا اگر امری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را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در کتاب و سنت ببینیم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نمی توانیم بگوییم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: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ظهور در وجوب دارد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بنابراین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یا باید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گفت: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وضع شده برای جامع، یا اینکه توقف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کرده و قائل به اجمال اوامر شرعیه شویم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</w:p>
    <w:p w:rsidR="00FD56DE" w:rsidRPr="00916180" w:rsidRDefault="00FD56DE" w:rsidP="00B143E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صاحب کفایه این مطلب را از ایشان نپسندیده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و </w:t>
      </w:r>
      <w:r w:rsidR="00B143EE"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می فرماید:</w:t>
      </w:r>
      <w:r w:rsidR="00F1793D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اولا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ً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همانطور که در اوامر شرعیه استعمال در ندب زیاد اس</w:t>
      </w:r>
      <w:r w:rsidR="00F1793D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ت، استعمال در وجوب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نیز</w:t>
      </w:r>
      <w:r w:rsidR="00F1793D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بسیار است و اینها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با یکدیگر </w:t>
      </w:r>
      <w:r w:rsidR="00F1793D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برابری می کنند.</w:t>
      </w:r>
    </w:p>
    <w:p w:rsidR="00F1793D" w:rsidRPr="00916180" w:rsidRDefault="00F1793D" w:rsidP="00364628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ثانیا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ً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استعمال در ندب هر 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چند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که زیاد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باشد،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لکن </w:t>
      </w:r>
      <w:r w:rsidR="00244AF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مع ال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قرینه 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بوده و استعمال مع القرینه ضرری به تبادر نمی رساند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 در نتیجه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کثرت استعمال در ندب </w:t>
      </w:r>
      <w:r w:rsidR="00B143E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نمی تواند موجب رجحان یا انصراف در ندب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شود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مثلا اگر 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استعمال «اسد» در رجل شجاع زیاد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شود موجب انصراف «اسد» از حیوان مفترس 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ن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می شود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زیرا همیشه مع القرینه در رجل شجاع به کار می رود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مادامی که استعمال «اسد»در رجل شجاع مع القرینه باشد ضرری </w:t>
      </w:r>
      <w:r w:rsidR="0036462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به ظهورش در حیوان مفترس نمی رساند؛ هر چند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استعمال مجازی بیش از حقیقی باشد.</w:t>
      </w:r>
      <w:r w:rsidRPr="00916180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2"/>
      </w:r>
    </w:p>
    <w:p w:rsidR="00F1793D" w:rsidRPr="00916180" w:rsidRDefault="00244AFB" w:rsidP="00F1793D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مبنای محقق نائینی</w:t>
      </w:r>
    </w:p>
    <w:p w:rsidR="00436913" w:rsidRPr="00916180" w:rsidRDefault="00643AD1" w:rsidP="00542DA1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lastRenderedPageBreak/>
        <w:t>قول دیگر قولِ محقق نائینی است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که قبلا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به آن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اشاره </w:t>
      </w:r>
      <w:r w:rsidR="00542DA1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کردیم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 گفتیم: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مستعمل فیه امر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 خودِ طلب است.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لکن وجوب (به معنای استحقاق عقاب علی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ال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ترک) و استحباب از حریم معنی خارج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بوده و با حکم عقل ثابت می شود.</w:t>
      </w:r>
    </w:p>
    <w:p w:rsidR="00643AD1" w:rsidRPr="00916180" w:rsidRDefault="00643AD1" w:rsidP="00436913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امر دلالت بر طلب می کند اما اینکه آیا در ترکِ آن عقاب می شویم یا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خیر، این را عقل تشخیص می دهد.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عقل می گوید چون آمر مولای حقیقی و ما هم عبدِ حقیقی هستیم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باید مطلوب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را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قضائا لحق المولویّه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اتیان نماییم، در غیر این صورت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عقاب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خواهیم بود و تنها در جایی که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خودِ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ترخیصِ در ترک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دهد ار عذاب مصونیم.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بنابراین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اگر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هم طلب نمود و هم ترخیص در ترک داد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این نشانه استحباب است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اگر طلب نمود ولی ترخیص در ترک نداد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به حکم عقد امتثال امر واجب و در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صورت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ترک، مامور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مستحق عقاب 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خواهد بود.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این معنای وجوب از نظر محقق نائینی</w:t>
      </w:r>
      <w:r w:rsidR="00436913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="00244AFB" w:rsidRPr="00916180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  <w:footnoteReference w:id="3"/>
      </w:r>
    </w:p>
    <w:p w:rsidR="00244AFB" w:rsidRPr="00916180" w:rsidRDefault="00244AFB" w:rsidP="00244AF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مبنای محقق خوئی</w:t>
      </w:r>
    </w:p>
    <w:p w:rsidR="0061000E" w:rsidRPr="00916180" w:rsidRDefault="00B74AEB" w:rsidP="0061000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محقق خوئی نیز </w:t>
      </w:r>
      <w:r w:rsidR="00542DA1"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مبنای محقق نائینی</w:t>
      </w: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را اختیار نموده است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542DA1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لکن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در ا</w:t>
      </w:r>
      <w:r w:rsidR="006230D6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صل معنای امر با ایشان مخالف است.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محقق نائینی معنای امر را «انشاء الطلب» می داند</w:t>
      </w:r>
      <w:r w:rsidR="00542DA1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ولی محقق خوئی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چون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در انشاء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قائل به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«ابراز اعتبار نفسی»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شد،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امر را به «وضع الفعل علی رقبه العبد»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معنی می کند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 حال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مطابق مبنای ایشان بعد از آنکه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فعل را بر رقبه عبد اعتبار کرد و آن را نیز ابراز نمود،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حاکم را در وجوبی و ندبی بودن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این اعتبار عقل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می داند.</w:t>
      </w:r>
    </w:p>
    <w:p w:rsidR="0061000E" w:rsidRPr="00916180" w:rsidRDefault="0061000E" w:rsidP="0061000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ایشان می گوید: </w:t>
      </w:r>
      <w:r w:rsidR="00B74AE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ع</w:t>
      </w:r>
      <w:r w:rsidR="00171A6C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قل است که حکم می کند که از باب ر</w:t>
      </w:r>
      <w:r w:rsidR="00B74AE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عایت حق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="00B74AE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عبد مُلزم به اجرای مطلوب مولاست و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در صورت تخلف از امر،</w:t>
      </w:r>
      <w:r w:rsidR="00B74AE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مستحقّ عذاب است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="00B74AE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ر در صورتی که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خود ترخیص در ترک دهد.</w:t>
      </w:r>
    </w:p>
    <w:p w:rsidR="00044CA9" w:rsidRPr="00916180" w:rsidRDefault="0061000E" w:rsidP="0061000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در نتیجه </w:t>
      </w:r>
      <w:r w:rsidR="00B74AE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ایشان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نیز </w:t>
      </w:r>
      <w:r w:rsidR="00B74AE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مرجع در حیثیّت استحقاق عقاب و عدم استحقاق عقاب –که فصلِ وجوب و استحباب می باشند- را عقل می داند.</w:t>
      </w:r>
      <w:r w:rsidR="00244AFB" w:rsidRPr="00916180">
        <w:rPr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t xml:space="preserve"> </w:t>
      </w:r>
      <w:r w:rsidR="00244AFB" w:rsidRPr="00916180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footnoteReference w:id="4"/>
      </w:r>
    </w:p>
    <w:p w:rsidR="00B74AEB" w:rsidRPr="00916180" w:rsidRDefault="00244AFB" w:rsidP="00B74AE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916180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مبنای محقق عراقی</w:t>
      </w:r>
    </w:p>
    <w:p w:rsidR="00DE5E70" w:rsidRPr="00916180" w:rsidRDefault="00DE5E70" w:rsidP="0061000E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محقق عراقی در این رابطه فرموده اند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: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وجوب از بابتِ اطلاقِ صیغه فهمیده می شود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همین که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امری را صادر نموده و قیدی به آن اضافه نکرد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 دلالت بر وجوب می کند.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کاَنّه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استحباب محتاج یک قید عدمی است که اگر آن قید نبود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امر دلالت بر وجوب می کند.</w:t>
      </w:r>
    </w:p>
    <w:p w:rsidR="00DE5E70" w:rsidRPr="00916180" w:rsidRDefault="00DE5E70" w:rsidP="00655815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دلیل </w:t>
      </w:r>
      <w:r w:rsidR="00DF534B"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ای</w:t>
      </w: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شان بر این مطلب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دو مقدمه دارد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اول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: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اینکه ایشان می فرماید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: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روح طلب اراده است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اراده یعنی «خاستن» یعنی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می خواهد و شوق موکد دار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د بر اینکه این فعل از عبد صادر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شود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چرا روح طلب ارا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ه است؟ زیرا اگر طلب همراه با اراده نباشد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 صوری می شود. مانند اوامر امتحانیه، بنابراین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اگر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چیزی را اراده کرد حتی اگر به ل</w:t>
      </w:r>
      <w:r w:rsidR="00DF534B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فظ هم نیاورد باز هم بر عبد لازم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 آن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lastRenderedPageBreak/>
        <w:t xml:space="preserve">را انجام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دهد، </w:t>
      </w:r>
      <w:r w:rsidR="0061000E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چرا که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بعث و انب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عاث دایر مدار اراده است نه لفظ و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اراده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 که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علت تامه برای انبعاث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می باشد.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پس روح طلب همان اراده و خواست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است.</w:t>
      </w:r>
    </w:p>
    <w:p w:rsidR="00DE5E70" w:rsidRPr="00916180" w:rsidRDefault="00DE5E70" w:rsidP="00655815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بعد می فرماید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حالا که فهمیدیم روحِ طلب اراده است این را اضافه می کنیم که اراده ها به حسب مصالح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 مفاسد افعال شدّت و ضعف دارند.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اگر آن مصلحت مصلحتِ شدیده باشد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اراده هم شدیده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می شود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 اگر آن مصلحت ضعیفه باشد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اراده بر آن هم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ضعیفه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خواهد بود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</w:p>
    <w:p w:rsidR="00DE5E70" w:rsidRPr="00916180" w:rsidRDefault="00DE5E70" w:rsidP="00655815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مراتب شدت و ضعف در چیزهایی مانن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دِ نور خارج از ماهیت نور نیستند.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شدت و ضعف در نور چیزی خارج از ماهیّت نور نیست، اما شدت و ضعف در اراده قدری تفاوت دارند، اراده شدیده مانند نور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 یعنی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شدت اراده چیزی خارج از 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ماهیّت اراده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نیست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بخلاف اراده ضعیفه، اراد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ه ضعیفه نیازمند یه حدّ عدمی است.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کانّه ایشان می فرمایند: 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اراده بطبیعت خودش و بذات خودش اقتضا دارد تمام ماهیّتش موجود باشد و ما چیزی جز ا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ر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اده شدیده نداریم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. 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پس اراده ضعیفه محتاج یک حد عدمی است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زیرا مقتضای ذات اراده این است که تا آخر خط برود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 لکن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یک حدّ عدمی و یک قیدِ عدمی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می آید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 این اقتضاء را قطع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می کند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نمی گذارد تا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این اراده بتمامه و کماله موجود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گردد.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به عبارت دیگر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اراده شدیده کلّ الاراده و تمام الاراده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است.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ولی اراده ضعیفه اراده ای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ست</w:t>
      </w:r>
      <w:r w:rsidR="000C4F0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همراه با یک قیدِ عدمی.</w:t>
      </w:r>
    </w:p>
    <w:p w:rsidR="000C4F00" w:rsidRPr="00916180" w:rsidRDefault="000C4F00" w:rsidP="00F14C78">
      <w:pPr>
        <w:bidi/>
        <w:spacing w:after="0" w:line="276" w:lineRule="auto"/>
        <w:ind w:firstLine="288"/>
        <w:jc w:val="both"/>
        <w:rPr>
          <w:rFonts w:ascii="Traditional Arabic" w:hAnsi="Traditional Arabic" w:cs="Traditional Arabic"/>
          <w:sz w:val="24"/>
          <w:szCs w:val="24"/>
          <w:rtl/>
          <w:lang w:bidi="fa-IR"/>
        </w:rPr>
      </w:pPr>
      <w:r w:rsidRPr="00916180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نتیجه فرمایش ایشان این می شود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که اگر </w:t>
      </w:r>
      <w:r w:rsidR="00BF7DE0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به واسطه طلبی که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دارد،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بیان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کند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فلان حکم را ارا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ده کردم و قیدی هم نیاورد، اطلاق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چنین اقتضا می کند که اراده بتمامه و کماله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باشد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و اگر اراده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اراده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ای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ضعیفه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باشد، لازم است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آن قیدِ عدمی را نیز بیان نم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در نتیجه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اگر این قید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ی عدمی بیان شود، یعنی مولا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بگوید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: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مکلّف رخصت در ترک دارد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این کاشف از اراده ضعیفه است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اما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اگر قیدِ عدمی را بیان نکرد</w:t>
      </w:r>
      <w:r w:rsidR="00655815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F14C7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بنا بر اطلاق کلام مولا،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اراده </w:t>
      </w:r>
      <w:r w:rsidR="00F14C7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او 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اراده </w:t>
      </w:r>
      <w:r w:rsidR="00F14C7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کامله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F14C7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یعنی</w:t>
      </w:r>
      <w:r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 </w:t>
      </w:r>
      <w:r w:rsidR="0002395D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 xml:space="preserve">همان وجوب </w:t>
      </w:r>
      <w:r w:rsidR="00F14C78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خواهد بود</w:t>
      </w:r>
      <w:r w:rsidR="0002395D" w:rsidRPr="00916180">
        <w:rPr>
          <w:rFonts w:ascii="Traditional Arabic" w:hAnsi="Traditional Arabic" w:cs="Traditional Arabic" w:hint="cs"/>
          <w:color w:val="333333"/>
          <w:sz w:val="28"/>
          <w:szCs w:val="28"/>
          <w:rtl/>
          <w:lang w:bidi="fa-IR"/>
        </w:rPr>
        <w:t>.</w:t>
      </w:r>
      <w:r w:rsidR="009478AE" w:rsidRPr="00916180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footnoteReference w:id="5"/>
      </w:r>
      <w:r w:rsidR="009478AE" w:rsidRPr="00916180">
        <w:rPr>
          <w:rFonts w:ascii="Traditional Arabic" w:hAnsi="Traditional Arabic" w:cs="Traditional Arabic"/>
          <w:sz w:val="24"/>
          <w:szCs w:val="24"/>
          <w:rtl/>
          <w:lang w:bidi="fa-IR"/>
        </w:rPr>
        <w:t xml:space="preserve"> </w:t>
      </w:r>
    </w:p>
    <w:sectPr w:rsidR="000C4F00" w:rsidRPr="00916180" w:rsidSect="000E37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9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8D" w:rsidRDefault="0010458D" w:rsidP="00821F94">
      <w:pPr>
        <w:spacing w:after="0" w:line="240" w:lineRule="auto"/>
      </w:pPr>
      <w:r>
        <w:separator/>
      </w:r>
    </w:p>
  </w:endnote>
  <w:endnote w:type="continuationSeparator" w:id="0">
    <w:p w:rsidR="0010458D" w:rsidRDefault="0010458D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3468E5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8D" w:rsidRDefault="0010458D" w:rsidP="00821F94">
      <w:pPr>
        <w:spacing w:after="0" w:line="240" w:lineRule="auto"/>
      </w:pPr>
      <w:r>
        <w:separator/>
      </w:r>
    </w:p>
  </w:footnote>
  <w:footnote w:type="continuationSeparator" w:id="0">
    <w:p w:rsidR="0010458D" w:rsidRDefault="0010458D" w:rsidP="00821F94">
      <w:pPr>
        <w:spacing w:after="0" w:line="240" w:lineRule="auto"/>
      </w:pPr>
      <w:r>
        <w:continuationSeparator/>
      </w:r>
    </w:p>
  </w:footnote>
  <w:footnote w:id="1">
    <w:p w:rsidR="00FD56DE" w:rsidRPr="00916180" w:rsidRDefault="00FD56DE" w:rsidP="00FD56D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bookmarkStart w:id="0" w:name="_GoBack"/>
      <w:r w:rsidRPr="00916180">
        <w:rPr>
          <w:rStyle w:val="FootnoteReference"/>
          <w:rFonts w:ascii="Traditional Arabic" w:hAnsi="Traditional Arabic" w:cs="Traditional Arabic"/>
        </w:rPr>
        <w:footnoteRef/>
      </w:r>
      <w:r w:rsidRPr="00916180">
        <w:rPr>
          <w:rFonts w:ascii="Traditional Arabic" w:hAnsi="Traditional Arabic" w:cs="Traditional Arabic"/>
        </w:rPr>
        <w:t xml:space="preserve"> </w:t>
      </w:r>
      <w:r w:rsidRPr="00916180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916180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ص70.</w:t>
        </w:r>
      </w:hyperlink>
    </w:p>
  </w:footnote>
  <w:footnote w:id="2">
    <w:p w:rsidR="00F1793D" w:rsidRPr="00916180" w:rsidRDefault="00F1793D" w:rsidP="00F1793D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916180">
        <w:rPr>
          <w:rStyle w:val="FootnoteReference"/>
          <w:rFonts w:ascii="Traditional Arabic" w:hAnsi="Traditional Arabic" w:cs="Traditional Arabic"/>
        </w:rPr>
        <w:footnoteRef/>
      </w:r>
      <w:r w:rsidRPr="00916180">
        <w:rPr>
          <w:rFonts w:ascii="Traditional Arabic" w:hAnsi="Traditional Arabic" w:cs="Traditional Arabic"/>
        </w:rPr>
        <w:t xml:space="preserve"> </w:t>
      </w:r>
      <w:r w:rsidRPr="00916180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916180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ص70.</w:t>
        </w:r>
      </w:hyperlink>
    </w:p>
  </w:footnote>
  <w:footnote w:id="3">
    <w:p w:rsidR="00244AFB" w:rsidRPr="00916180" w:rsidRDefault="00244AFB" w:rsidP="00244AFB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916180">
        <w:rPr>
          <w:rStyle w:val="FootnoteReference"/>
          <w:rFonts w:ascii="Traditional Arabic" w:hAnsi="Traditional Arabic" w:cs="Traditional Arabic"/>
        </w:rPr>
        <w:footnoteRef/>
      </w:r>
      <w:r w:rsidRPr="00916180">
        <w:rPr>
          <w:rFonts w:ascii="Traditional Arabic" w:hAnsi="Traditional Arabic" w:cs="Traditional Arabic"/>
        </w:rPr>
        <w:t xml:space="preserve"> </w:t>
      </w:r>
      <w:r w:rsidRPr="00916180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3" w:history="1">
        <w:r w:rsidRPr="00916180">
          <w:rPr>
            <w:rStyle w:val="Hyperlink"/>
            <w:rFonts w:ascii="Traditional Arabic" w:hAnsi="Traditional Arabic" w:cs="Traditional Arabic" w:hint="cs"/>
            <w:rtl/>
            <w:lang w:bidi="fa-IR"/>
          </w:rPr>
          <w:t>فوائد الاصول، محمد حسین غروی، ج1، ص130.</w:t>
        </w:r>
      </w:hyperlink>
    </w:p>
  </w:footnote>
  <w:footnote w:id="4">
    <w:p w:rsidR="00244AFB" w:rsidRPr="00916180" w:rsidRDefault="00244AFB" w:rsidP="00244AFB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916180">
        <w:rPr>
          <w:rStyle w:val="FootnoteReference"/>
          <w:rFonts w:ascii="Traditional Arabic" w:hAnsi="Traditional Arabic" w:cs="Traditional Arabic"/>
        </w:rPr>
        <w:footnoteRef/>
      </w:r>
      <w:r w:rsidRPr="00916180">
        <w:rPr>
          <w:rFonts w:ascii="Traditional Arabic" w:hAnsi="Traditional Arabic" w:cs="Traditional Arabic"/>
        </w:rPr>
        <w:t xml:space="preserve"> </w:t>
      </w:r>
      <w:r w:rsidRPr="00916180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4" w:history="1">
        <w:r w:rsidRPr="00916180">
          <w:rPr>
            <w:rStyle w:val="Hyperlink"/>
            <w:rFonts w:ascii="Traditional Arabic" w:hAnsi="Traditional Arabic" w:cs="Traditional Arabic" w:hint="cs"/>
            <w:rtl/>
            <w:lang w:bidi="fa-IR"/>
          </w:rPr>
          <w:t>محاضرات فی الاصول، سید ابوالقاسم خوئی، ج2، ص130.</w:t>
        </w:r>
      </w:hyperlink>
    </w:p>
  </w:footnote>
  <w:footnote w:id="5">
    <w:p w:rsidR="009478AE" w:rsidRPr="00916180" w:rsidRDefault="009478AE" w:rsidP="009478AE">
      <w:pPr>
        <w:pStyle w:val="FootnoteText"/>
        <w:bidi/>
        <w:rPr>
          <w:rFonts w:ascii="Traditional Arabic" w:hAnsi="Traditional Arabic" w:cs="Traditional Arabic"/>
          <w:lang w:bidi="fa-IR"/>
        </w:rPr>
      </w:pPr>
      <w:r w:rsidRPr="00916180">
        <w:rPr>
          <w:rStyle w:val="FootnoteReference"/>
          <w:rFonts w:ascii="Traditional Arabic" w:hAnsi="Traditional Arabic" w:cs="Traditional Arabic"/>
        </w:rPr>
        <w:footnoteRef/>
      </w:r>
      <w:r w:rsidRPr="00916180">
        <w:rPr>
          <w:rFonts w:ascii="Traditional Arabic" w:hAnsi="Traditional Arabic" w:cs="Traditional Arabic"/>
        </w:rPr>
        <w:t xml:space="preserve"> </w:t>
      </w:r>
      <w:r w:rsidRPr="00916180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5" w:history="1">
        <w:r w:rsidRPr="00916180">
          <w:rPr>
            <w:rStyle w:val="Hyperlink"/>
            <w:rFonts w:ascii="Traditional Arabic" w:hAnsi="Traditional Arabic" w:cs="Traditional Arabic" w:hint="cs"/>
            <w:rtl/>
            <w:lang w:bidi="fa-IR"/>
          </w:rPr>
          <w:t>محاضرات فی الاصول، سید ابوالقاسم خوئی، ج2، ص126.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80" w:rsidRPr="00BD1DD7" w:rsidRDefault="00916180" w:rsidP="00916180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12</w:t>
    </w:r>
    <w:r>
      <w:rPr>
        <w:rFonts w:ascii="Traditional Arabic" w:hAnsi="Traditional Arabic" w:cs="Traditional Arabic"/>
        <w:rtl/>
        <w:lang w:bidi="fa-IR"/>
      </w:rPr>
      <w:t>/09/1394</w:t>
    </w:r>
  </w:p>
  <w:p w:rsidR="00916180" w:rsidRDefault="00916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2395D"/>
    <w:rsid w:val="00044CA9"/>
    <w:rsid w:val="000459D7"/>
    <w:rsid w:val="00084E31"/>
    <w:rsid w:val="000B4A8C"/>
    <w:rsid w:val="000C4F00"/>
    <w:rsid w:val="000E3770"/>
    <w:rsid w:val="000E7069"/>
    <w:rsid w:val="0010458D"/>
    <w:rsid w:val="001344C8"/>
    <w:rsid w:val="00152670"/>
    <w:rsid w:val="00171A6C"/>
    <w:rsid w:val="001A338C"/>
    <w:rsid w:val="001C2A75"/>
    <w:rsid w:val="001E1D6B"/>
    <w:rsid w:val="00244AFB"/>
    <w:rsid w:val="00257540"/>
    <w:rsid w:val="002A2800"/>
    <w:rsid w:val="002B6492"/>
    <w:rsid w:val="002F6041"/>
    <w:rsid w:val="00315268"/>
    <w:rsid w:val="00320827"/>
    <w:rsid w:val="003468E5"/>
    <w:rsid w:val="003528B7"/>
    <w:rsid w:val="00364628"/>
    <w:rsid w:val="003731A0"/>
    <w:rsid w:val="0038599A"/>
    <w:rsid w:val="003B0882"/>
    <w:rsid w:val="003B1467"/>
    <w:rsid w:val="003B4C05"/>
    <w:rsid w:val="00423527"/>
    <w:rsid w:val="00436913"/>
    <w:rsid w:val="00466BD4"/>
    <w:rsid w:val="0048674E"/>
    <w:rsid w:val="004E0809"/>
    <w:rsid w:val="00523158"/>
    <w:rsid w:val="00542886"/>
    <w:rsid w:val="00542DA1"/>
    <w:rsid w:val="0057368C"/>
    <w:rsid w:val="005E1BCE"/>
    <w:rsid w:val="005F4DA1"/>
    <w:rsid w:val="0061000E"/>
    <w:rsid w:val="006230D6"/>
    <w:rsid w:val="00643AD1"/>
    <w:rsid w:val="00643E05"/>
    <w:rsid w:val="00655815"/>
    <w:rsid w:val="00676C15"/>
    <w:rsid w:val="006A6060"/>
    <w:rsid w:val="007054F4"/>
    <w:rsid w:val="00712127"/>
    <w:rsid w:val="0074568F"/>
    <w:rsid w:val="007660E3"/>
    <w:rsid w:val="00790A55"/>
    <w:rsid w:val="00807BE3"/>
    <w:rsid w:val="00815428"/>
    <w:rsid w:val="00821F94"/>
    <w:rsid w:val="00827816"/>
    <w:rsid w:val="00835EC3"/>
    <w:rsid w:val="008847F7"/>
    <w:rsid w:val="008C1868"/>
    <w:rsid w:val="008D22EF"/>
    <w:rsid w:val="00916180"/>
    <w:rsid w:val="00924546"/>
    <w:rsid w:val="00943E60"/>
    <w:rsid w:val="009478AE"/>
    <w:rsid w:val="009673E7"/>
    <w:rsid w:val="0099537E"/>
    <w:rsid w:val="009A027F"/>
    <w:rsid w:val="009C40BC"/>
    <w:rsid w:val="00A04D2C"/>
    <w:rsid w:val="00A33BB5"/>
    <w:rsid w:val="00A37827"/>
    <w:rsid w:val="00A531F6"/>
    <w:rsid w:val="00A94E9E"/>
    <w:rsid w:val="00AA72A1"/>
    <w:rsid w:val="00AD4B60"/>
    <w:rsid w:val="00AF3834"/>
    <w:rsid w:val="00B143EE"/>
    <w:rsid w:val="00B324E4"/>
    <w:rsid w:val="00B46B28"/>
    <w:rsid w:val="00B74AEB"/>
    <w:rsid w:val="00BC7280"/>
    <w:rsid w:val="00BF7DE0"/>
    <w:rsid w:val="00C065A6"/>
    <w:rsid w:val="00C51B33"/>
    <w:rsid w:val="00C70D3A"/>
    <w:rsid w:val="00CE2CEE"/>
    <w:rsid w:val="00CE7622"/>
    <w:rsid w:val="00CF476D"/>
    <w:rsid w:val="00D12C93"/>
    <w:rsid w:val="00D91972"/>
    <w:rsid w:val="00D9662E"/>
    <w:rsid w:val="00DA2174"/>
    <w:rsid w:val="00DB5733"/>
    <w:rsid w:val="00DB6BFE"/>
    <w:rsid w:val="00DC37E5"/>
    <w:rsid w:val="00DE5E70"/>
    <w:rsid w:val="00DF534B"/>
    <w:rsid w:val="00E86813"/>
    <w:rsid w:val="00EC33CD"/>
    <w:rsid w:val="00EE08B7"/>
    <w:rsid w:val="00F10CFD"/>
    <w:rsid w:val="00F14C78"/>
    <w:rsid w:val="00F1793D"/>
    <w:rsid w:val="00F17D08"/>
    <w:rsid w:val="00FA3955"/>
    <w:rsid w:val="00FD56DE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F99C9D"/>
  <w15:docId w15:val="{BC10A29E-9A5D-4EC7-B2A7-AA28FEC0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102/1/130/&#1601;&#1578;&#1581;&#1589;&#1617;&#1604;" TargetMode="External"/><Relationship Id="rId2" Type="http://schemas.openxmlformats.org/officeDocument/2006/relationships/hyperlink" Target="http://lib.eshia.ir/27004/1/70/&#1608;&#1603;&#1579;&#1585;&#1577;" TargetMode="External"/><Relationship Id="rId1" Type="http://schemas.openxmlformats.org/officeDocument/2006/relationships/hyperlink" Target="http://lib.eshia.ir/27004/1/70/&#1575;&#1604;&#1605;&#1576;&#1581;&#1579;" TargetMode="External"/><Relationship Id="rId5" Type="http://schemas.openxmlformats.org/officeDocument/2006/relationships/hyperlink" Target="http://lib.eshia.ir/13106/2/126/&#1575;&#1604;&#1571;&#1593;&#1575;&#1592;&#1605;" TargetMode="External"/><Relationship Id="rId4" Type="http://schemas.openxmlformats.org/officeDocument/2006/relationships/hyperlink" Target="http://lib.eshia.ir/13106/2/130/&#1601;&#1575;&#1604;&#1606;&#1578;&#1610;&#1580;&#15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DB02-91B7-4998-864E-BCCE1C2D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64</cp:revision>
  <cp:lastPrinted>2016-01-02T10:59:00Z</cp:lastPrinted>
  <dcterms:created xsi:type="dcterms:W3CDTF">2015-12-21T10:10:00Z</dcterms:created>
  <dcterms:modified xsi:type="dcterms:W3CDTF">2016-01-20T11:02:00Z</dcterms:modified>
</cp:coreProperties>
</file>