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42F2" w:rsidRDefault="000D42F2" w:rsidP="000D42F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372993" w:history="1">
        <w:r w:rsidRPr="00B53DE2">
          <w:rPr>
            <w:rStyle w:val="Hyperlink"/>
            <w:noProof/>
            <w:rtl/>
          </w:rPr>
          <w:t>تعارض ادله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Toc529372993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0D42F2" w:rsidRDefault="003D3C60" w:rsidP="000D42F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372994" w:history="1">
        <w:r w:rsidR="000D42F2" w:rsidRPr="00B53DE2">
          <w:rPr>
            <w:rStyle w:val="Hyperlink"/>
            <w:noProof/>
            <w:rtl/>
          </w:rPr>
          <w:t>تعر</w:t>
        </w:r>
        <w:r w:rsidR="000D42F2" w:rsidRPr="00B53DE2">
          <w:rPr>
            <w:rStyle w:val="Hyperlink"/>
            <w:rFonts w:hint="cs"/>
            <w:noProof/>
            <w:rtl/>
          </w:rPr>
          <w:t>ی</w:t>
        </w:r>
        <w:r w:rsidR="000D42F2" w:rsidRPr="00B53DE2">
          <w:rPr>
            <w:rStyle w:val="Hyperlink"/>
            <w:rFonts w:hint="eastAsia"/>
            <w:noProof/>
            <w:rtl/>
          </w:rPr>
          <w:t>ف</w:t>
        </w:r>
        <w:r w:rsidR="000D42F2" w:rsidRPr="00B53DE2">
          <w:rPr>
            <w:rStyle w:val="Hyperlink"/>
            <w:noProof/>
            <w:rtl/>
          </w:rPr>
          <w:t xml:space="preserve"> تعارض در کفا</w:t>
        </w:r>
        <w:r w:rsidR="000D42F2" w:rsidRPr="00B53DE2">
          <w:rPr>
            <w:rStyle w:val="Hyperlink"/>
            <w:rFonts w:hint="cs"/>
            <w:noProof/>
            <w:rtl/>
          </w:rPr>
          <w:t>ی</w:t>
        </w:r>
        <w:r w:rsidR="000D42F2" w:rsidRPr="00B53DE2">
          <w:rPr>
            <w:rStyle w:val="Hyperlink"/>
            <w:rFonts w:hint="eastAsia"/>
            <w:noProof/>
            <w:rtl/>
          </w:rPr>
          <w:t>ه</w:t>
        </w:r>
        <w:r w:rsidR="000D42F2">
          <w:rPr>
            <w:noProof/>
            <w:webHidden/>
            <w:rtl/>
          </w:rPr>
          <w:tab/>
        </w:r>
        <w:r w:rsidR="000D42F2">
          <w:rPr>
            <w:rStyle w:val="Hyperlink"/>
            <w:noProof/>
            <w:rtl/>
          </w:rPr>
          <w:fldChar w:fldCharType="begin"/>
        </w:r>
        <w:r w:rsidR="000D42F2">
          <w:rPr>
            <w:noProof/>
            <w:webHidden/>
            <w:rtl/>
          </w:rPr>
          <w:instrText xml:space="preserve"> </w:instrText>
        </w:r>
        <w:r w:rsidR="000D42F2">
          <w:rPr>
            <w:noProof/>
            <w:webHidden/>
          </w:rPr>
          <w:instrText>PAGEREF</w:instrText>
        </w:r>
        <w:r w:rsidR="000D42F2">
          <w:rPr>
            <w:noProof/>
            <w:webHidden/>
            <w:rtl/>
          </w:rPr>
          <w:instrText xml:space="preserve"> _</w:instrText>
        </w:r>
        <w:r w:rsidR="000D42F2">
          <w:rPr>
            <w:noProof/>
            <w:webHidden/>
          </w:rPr>
          <w:instrText>Toc529372994 \h</w:instrText>
        </w:r>
        <w:r w:rsidR="000D42F2">
          <w:rPr>
            <w:noProof/>
            <w:webHidden/>
            <w:rtl/>
          </w:rPr>
          <w:instrText xml:space="preserve"> </w:instrText>
        </w:r>
        <w:r w:rsidR="000D42F2">
          <w:rPr>
            <w:rStyle w:val="Hyperlink"/>
            <w:noProof/>
            <w:rtl/>
          </w:rPr>
        </w:r>
        <w:r w:rsidR="000D42F2">
          <w:rPr>
            <w:rStyle w:val="Hyperlink"/>
            <w:noProof/>
            <w:rtl/>
          </w:rPr>
          <w:fldChar w:fldCharType="separate"/>
        </w:r>
        <w:r w:rsidR="000D42F2">
          <w:rPr>
            <w:noProof/>
            <w:webHidden/>
            <w:rtl/>
          </w:rPr>
          <w:t>1</w:t>
        </w:r>
        <w:r w:rsidR="000D42F2">
          <w:rPr>
            <w:rStyle w:val="Hyperlink"/>
            <w:noProof/>
            <w:rtl/>
          </w:rPr>
          <w:fldChar w:fldCharType="end"/>
        </w:r>
      </w:hyperlink>
    </w:p>
    <w:p w:rsidR="000D42F2" w:rsidRDefault="003D3C60" w:rsidP="000D42F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372995" w:history="1">
        <w:r w:rsidR="000D42F2" w:rsidRPr="00B53DE2">
          <w:rPr>
            <w:rStyle w:val="Hyperlink"/>
            <w:noProof/>
            <w:rtl/>
          </w:rPr>
          <w:t>حکومت</w:t>
        </w:r>
        <w:r w:rsidR="000D42F2">
          <w:rPr>
            <w:noProof/>
            <w:webHidden/>
            <w:rtl/>
          </w:rPr>
          <w:tab/>
        </w:r>
        <w:r w:rsidR="000D42F2">
          <w:rPr>
            <w:rStyle w:val="Hyperlink"/>
            <w:noProof/>
            <w:rtl/>
          </w:rPr>
          <w:fldChar w:fldCharType="begin"/>
        </w:r>
        <w:r w:rsidR="000D42F2">
          <w:rPr>
            <w:noProof/>
            <w:webHidden/>
            <w:rtl/>
          </w:rPr>
          <w:instrText xml:space="preserve"> </w:instrText>
        </w:r>
        <w:r w:rsidR="000D42F2">
          <w:rPr>
            <w:noProof/>
            <w:webHidden/>
          </w:rPr>
          <w:instrText>PAGEREF</w:instrText>
        </w:r>
        <w:r w:rsidR="000D42F2">
          <w:rPr>
            <w:noProof/>
            <w:webHidden/>
            <w:rtl/>
          </w:rPr>
          <w:instrText xml:space="preserve"> _</w:instrText>
        </w:r>
        <w:r w:rsidR="000D42F2">
          <w:rPr>
            <w:noProof/>
            <w:webHidden/>
          </w:rPr>
          <w:instrText>Toc529372995 \h</w:instrText>
        </w:r>
        <w:r w:rsidR="000D42F2">
          <w:rPr>
            <w:noProof/>
            <w:webHidden/>
            <w:rtl/>
          </w:rPr>
          <w:instrText xml:space="preserve"> </w:instrText>
        </w:r>
        <w:r w:rsidR="000D42F2">
          <w:rPr>
            <w:rStyle w:val="Hyperlink"/>
            <w:noProof/>
            <w:rtl/>
          </w:rPr>
        </w:r>
        <w:r w:rsidR="000D42F2">
          <w:rPr>
            <w:rStyle w:val="Hyperlink"/>
            <w:noProof/>
            <w:rtl/>
          </w:rPr>
          <w:fldChar w:fldCharType="separate"/>
        </w:r>
        <w:r w:rsidR="000D42F2">
          <w:rPr>
            <w:noProof/>
            <w:webHidden/>
            <w:rtl/>
          </w:rPr>
          <w:t>2</w:t>
        </w:r>
        <w:r w:rsidR="000D42F2">
          <w:rPr>
            <w:rStyle w:val="Hyperlink"/>
            <w:noProof/>
            <w:rtl/>
          </w:rPr>
          <w:fldChar w:fldCharType="end"/>
        </w:r>
      </w:hyperlink>
    </w:p>
    <w:p w:rsidR="000D42F2" w:rsidRDefault="003D3C60" w:rsidP="000D42F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372996" w:history="1">
        <w:r w:rsidR="000D42F2" w:rsidRPr="00B53DE2">
          <w:rPr>
            <w:rStyle w:val="Hyperlink"/>
            <w:noProof/>
            <w:rtl/>
          </w:rPr>
          <w:t>عدم مدخل</w:t>
        </w:r>
        <w:r w:rsidR="000D42F2" w:rsidRPr="00B53DE2">
          <w:rPr>
            <w:rStyle w:val="Hyperlink"/>
            <w:rFonts w:hint="cs"/>
            <w:noProof/>
            <w:rtl/>
          </w:rPr>
          <w:t>یّ</w:t>
        </w:r>
        <w:r w:rsidR="000D42F2" w:rsidRPr="00B53DE2">
          <w:rPr>
            <w:rStyle w:val="Hyperlink"/>
            <w:rFonts w:hint="eastAsia"/>
            <w:noProof/>
            <w:rtl/>
          </w:rPr>
          <w:t>ت</w:t>
        </w:r>
        <w:r w:rsidR="000D42F2" w:rsidRPr="00B53DE2">
          <w:rPr>
            <w:rStyle w:val="Hyperlink"/>
            <w:noProof/>
            <w:rtl/>
          </w:rPr>
          <w:t xml:space="preserve"> تقد</w:t>
        </w:r>
        <w:r w:rsidR="000D42F2" w:rsidRPr="00B53DE2">
          <w:rPr>
            <w:rStyle w:val="Hyperlink"/>
            <w:rFonts w:hint="cs"/>
            <w:noProof/>
            <w:rtl/>
          </w:rPr>
          <w:t>ی</w:t>
        </w:r>
        <w:r w:rsidR="000D42F2" w:rsidRPr="00B53DE2">
          <w:rPr>
            <w:rStyle w:val="Hyperlink"/>
            <w:rFonts w:hint="eastAsia"/>
            <w:noProof/>
            <w:rtl/>
          </w:rPr>
          <w:t>م</w:t>
        </w:r>
        <w:r w:rsidR="000D42F2" w:rsidRPr="00B53DE2">
          <w:rPr>
            <w:rStyle w:val="Hyperlink"/>
            <w:noProof/>
            <w:rtl/>
          </w:rPr>
          <w:t xml:space="preserve"> محکوم</w:t>
        </w:r>
        <w:r w:rsidR="000D42F2">
          <w:rPr>
            <w:noProof/>
            <w:webHidden/>
            <w:rtl/>
          </w:rPr>
          <w:tab/>
        </w:r>
        <w:r w:rsidR="000D42F2">
          <w:rPr>
            <w:rStyle w:val="Hyperlink"/>
            <w:noProof/>
            <w:rtl/>
          </w:rPr>
          <w:fldChar w:fldCharType="begin"/>
        </w:r>
        <w:r w:rsidR="000D42F2">
          <w:rPr>
            <w:noProof/>
            <w:webHidden/>
            <w:rtl/>
          </w:rPr>
          <w:instrText xml:space="preserve"> </w:instrText>
        </w:r>
        <w:r w:rsidR="000D42F2">
          <w:rPr>
            <w:noProof/>
            <w:webHidden/>
          </w:rPr>
          <w:instrText>PAGEREF</w:instrText>
        </w:r>
        <w:r w:rsidR="000D42F2">
          <w:rPr>
            <w:noProof/>
            <w:webHidden/>
            <w:rtl/>
          </w:rPr>
          <w:instrText xml:space="preserve"> _</w:instrText>
        </w:r>
        <w:r w:rsidR="000D42F2">
          <w:rPr>
            <w:noProof/>
            <w:webHidden/>
          </w:rPr>
          <w:instrText>Toc529372996 \h</w:instrText>
        </w:r>
        <w:r w:rsidR="000D42F2">
          <w:rPr>
            <w:noProof/>
            <w:webHidden/>
            <w:rtl/>
          </w:rPr>
          <w:instrText xml:space="preserve"> </w:instrText>
        </w:r>
        <w:r w:rsidR="000D42F2">
          <w:rPr>
            <w:rStyle w:val="Hyperlink"/>
            <w:noProof/>
            <w:rtl/>
          </w:rPr>
        </w:r>
        <w:r w:rsidR="000D42F2">
          <w:rPr>
            <w:rStyle w:val="Hyperlink"/>
            <w:noProof/>
            <w:rtl/>
          </w:rPr>
          <w:fldChar w:fldCharType="separate"/>
        </w:r>
        <w:r w:rsidR="000D42F2">
          <w:rPr>
            <w:noProof/>
            <w:webHidden/>
            <w:rtl/>
          </w:rPr>
          <w:t>2</w:t>
        </w:r>
        <w:r w:rsidR="000D42F2">
          <w:rPr>
            <w:rStyle w:val="Hyperlink"/>
            <w:noProof/>
            <w:rtl/>
          </w:rPr>
          <w:fldChar w:fldCharType="end"/>
        </w:r>
      </w:hyperlink>
    </w:p>
    <w:p w:rsidR="000D42F2" w:rsidRDefault="003D3C60" w:rsidP="000D42F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372997" w:history="1">
        <w:r w:rsidR="000D42F2" w:rsidRPr="00B53DE2">
          <w:rPr>
            <w:rStyle w:val="Hyperlink"/>
            <w:noProof/>
            <w:rtl/>
          </w:rPr>
          <w:t>عدم مدخل</w:t>
        </w:r>
        <w:r w:rsidR="000D42F2" w:rsidRPr="00B53DE2">
          <w:rPr>
            <w:rStyle w:val="Hyperlink"/>
            <w:rFonts w:hint="cs"/>
            <w:noProof/>
            <w:rtl/>
          </w:rPr>
          <w:t>ی</w:t>
        </w:r>
        <w:r w:rsidR="000D42F2" w:rsidRPr="00B53DE2">
          <w:rPr>
            <w:rStyle w:val="Hyperlink"/>
            <w:rFonts w:hint="eastAsia"/>
            <w:noProof/>
            <w:rtl/>
          </w:rPr>
          <w:t>ت</w:t>
        </w:r>
        <w:r w:rsidR="000D42F2" w:rsidRPr="00B53DE2">
          <w:rPr>
            <w:rStyle w:val="Hyperlink"/>
            <w:noProof/>
            <w:rtl/>
          </w:rPr>
          <w:t xml:space="preserve"> صدور مستقلّ محکوم</w:t>
        </w:r>
        <w:r w:rsidR="000D42F2">
          <w:rPr>
            <w:noProof/>
            <w:webHidden/>
            <w:rtl/>
          </w:rPr>
          <w:tab/>
        </w:r>
        <w:r w:rsidR="000D42F2">
          <w:rPr>
            <w:rStyle w:val="Hyperlink"/>
            <w:noProof/>
            <w:rtl/>
          </w:rPr>
          <w:fldChar w:fldCharType="begin"/>
        </w:r>
        <w:r w:rsidR="000D42F2">
          <w:rPr>
            <w:noProof/>
            <w:webHidden/>
            <w:rtl/>
          </w:rPr>
          <w:instrText xml:space="preserve"> </w:instrText>
        </w:r>
        <w:r w:rsidR="000D42F2">
          <w:rPr>
            <w:noProof/>
            <w:webHidden/>
          </w:rPr>
          <w:instrText>PAGEREF</w:instrText>
        </w:r>
        <w:r w:rsidR="000D42F2">
          <w:rPr>
            <w:noProof/>
            <w:webHidden/>
            <w:rtl/>
          </w:rPr>
          <w:instrText xml:space="preserve"> _</w:instrText>
        </w:r>
        <w:r w:rsidR="000D42F2">
          <w:rPr>
            <w:noProof/>
            <w:webHidden/>
          </w:rPr>
          <w:instrText>Toc529372997 \h</w:instrText>
        </w:r>
        <w:r w:rsidR="000D42F2">
          <w:rPr>
            <w:noProof/>
            <w:webHidden/>
            <w:rtl/>
          </w:rPr>
          <w:instrText xml:space="preserve"> </w:instrText>
        </w:r>
        <w:r w:rsidR="000D42F2">
          <w:rPr>
            <w:rStyle w:val="Hyperlink"/>
            <w:noProof/>
            <w:rtl/>
          </w:rPr>
        </w:r>
        <w:r w:rsidR="000D42F2">
          <w:rPr>
            <w:rStyle w:val="Hyperlink"/>
            <w:noProof/>
            <w:rtl/>
          </w:rPr>
          <w:fldChar w:fldCharType="separate"/>
        </w:r>
        <w:r w:rsidR="000D42F2">
          <w:rPr>
            <w:noProof/>
            <w:webHidden/>
            <w:rtl/>
          </w:rPr>
          <w:t>3</w:t>
        </w:r>
        <w:r w:rsidR="000D42F2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0D42F2" w:rsidP="00473C58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7B29C5">
        <w:rPr>
          <w:rtl/>
        </w:rPr>
        <w:t>تعر</w:t>
      </w:r>
      <w:r w:rsidR="007B29C5">
        <w:rPr>
          <w:rFonts w:hint="cs"/>
          <w:rtl/>
        </w:rPr>
        <w:t>ی</w:t>
      </w:r>
      <w:r w:rsidR="007B29C5">
        <w:rPr>
          <w:rFonts w:hint="eastAsia"/>
          <w:rtl/>
        </w:rPr>
        <w:t>ف</w:t>
      </w:r>
      <w:r w:rsidR="007B29C5">
        <w:rPr>
          <w:rtl/>
        </w:rPr>
        <w:t xml:space="preserve"> تعارض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7B29C5">
        <w:rPr>
          <w:rtl/>
        </w:rPr>
        <w:t>تعارض ادله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7B29C5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EB65A3" w:rsidRDefault="008F5B4D" w:rsidP="00EB65A3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EB65A3" w:rsidRPr="00EB65A3" w:rsidRDefault="00EB65A3" w:rsidP="00EB65A3">
      <w:pPr>
        <w:jc w:val="both"/>
        <w:rPr>
          <w:rFonts w:cs="B Titr"/>
          <w:b/>
          <w:i/>
          <w:color w:val="0101FF"/>
          <w:rtl/>
        </w:rPr>
      </w:pPr>
      <w:r>
        <w:rPr>
          <w:rFonts w:hint="cs"/>
          <w:rtl/>
        </w:rPr>
        <w:t xml:space="preserve">    بحث در اصول عملیه به پایان رسید و وارد مبحث تعادل و تراجیح شدیم . آن چه در رابطه ی میان استصحاب و سایر اصول باقی ماند را هم ذ</w:t>
      </w:r>
      <w:r w:rsidR="008C1AF0">
        <w:rPr>
          <w:rFonts w:hint="cs"/>
          <w:rtl/>
        </w:rPr>
        <w:t xml:space="preserve">یل همین بحث تعارض مطرح می کنیم </w:t>
      </w:r>
      <w:r w:rsidR="00C43083">
        <w:rPr>
          <w:rFonts w:hint="cs"/>
          <w:rtl/>
        </w:rPr>
        <w:t>؛ زیرا</w:t>
      </w:r>
      <w:r w:rsidR="008C1AF0">
        <w:rPr>
          <w:rFonts w:hint="cs"/>
          <w:rtl/>
        </w:rPr>
        <w:t xml:space="preserve"> همانگونه که در کلام بعضی بزرگان ذکر شده است ، </w:t>
      </w:r>
      <w:r w:rsidR="00C43083">
        <w:rPr>
          <w:rFonts w:hint="cs"/>
          <w:rtl/>
        </w:rPr>
        <w:t xml:space="preserve">تعارض </w:t>
      </w:r>
      <w:r w:rsidR="008C1AF0">
        <w:rPr>
          <w:rFonts w:hint="cs"/>
          <w:rtl/>
        </w:rPr>
        <w:t>چنان گستر</w:t>
      </w:r>
      <w:r w:rsidR="00C43083">
        <w:rPr>
          <w:rFonts w:hint="cs"/>
          <w:rtl/>
        </w:rPr>
        <w:t>ه</w:t>
      </w:r>
      <w:r w:rsidR="008C1AF0">
        <w:rPr>
          <w:rFonts w:hint="cs"/>
          <w:rtl/>
        </w:rPr>
        <w:t xml:space="preserve"> وسیعی دارد که مصادیق یاد شده </w:t>
      </w:r>
      <w:r w:rsidR="00490CB3">
        <w:rPr>
          <w:rFonts w:hint="cs"/>
          <w:rtl/>
        </w:rPr>
        <w:t>را هم داخل شامل می شود</w:t>
      </w:r>
      <w:r w:rsidR="008C1AF0">
        <w:rPr>
          <w:rFonts w:hint="cs"/>
          <w:rtl/>
        </w:rPr>
        <w:t xml:space="preserve"> 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9A6F35" w:rsidRDefault="009A6F35" w:rsidP="00234CE0">
      <w:pPr>
        <w:pStyle w:val="Heading1"/>
        <w:rPr>
          <w:rtl/>
        </w:rPr>
      </w:pPr>
      <w:bookmarkStart w:id="3" w:name="_Toc529366496"/>
      <w:bookmarkStart w:id="4" w:name="_Toc529368774"/>
      <w:bookmarkStart w:id="5" w:name="_Toc529371121"/>
      <w:bookmarkStart w:id="6" w:name="_Toc529372375"/>
      <w:bookmarkStart w:id="7" w:name="_Toc529372993"/>
      <w:r>
        <w:rPr>
          <w:rFonts w:hint="cs"/>
          <w:rtl/>
        </w:rPr>
        <w:t>تعارض ادله</w:t>
      </w:r>
      <w:bookmarkEnd w:id="3"/>
      <w:bookmarkEnd w:id="4"/>
      <w:bookmarkEnd w:id="5"/>
      <w:bookmarkEnd w:id="6"/>
      <w:bookmarkEnd w:id="7"/>
    </w:p>
    <w:p w:rsidR="00EB65A3" w:rsidRDefault="00EB65A3" w:rsidP="00EB65A3">
      <w:pPr>
        <w:jc w:val="both"/>
        <w:rPr>
          <w:rtl/>
        </w:rPr>
      </w:pPr>
      <w:r>
        <w:rPr>
          <w:rFonts w:hint="cs"/>
          <w:rtl/>
        </w:rPr>
        <w:t>موض</w:t>
      </w:r>
      <w:r w:rsidR="009A6F35">
        <w:rPr>
          <w:rFonts w:hint="cs"/>
          <w:rtl/>
        </w:rPr>
        <w:t>و</w:t>
      </w:r>
      <w:r>
        <w:rPr>
          <w:rFonts w:hint="cs"/>
          <w:rtl/>
        </w:rPr>
        <w:t xml:space="preserve">ع </w:t>
      </w:r>
      <w:r w:rsidR="008C1AF0">
        <w:rPr>
          <w:rFonts w:hint="cs"/>
          <w:rtl/>
        </w:rPr>
        <w:t xml:space="preserve">بحث </w:t>
      </w:r>
      <w:r>
        <w:rPr>
          <w:rFonts w:hint="cs"/>
          <w:rtl/>
        </w:rPr>
        <w:t>در باب « تعادل و تراجیح » ، « تعارض ادله » است</w:t>
      </w:r>
      <w:r w:rsidR="00E632B4">
        <w:rPr>
          <w:rFonts w:hint="cs"/>
          <w:rtl/>
        </w:rPr>
        <w:t xml:space="preserve"> به نظاقی وسیع اما آن چه در کلمات بزرگان تحریر شده است عمدتا تعارض امارات و به صورت خاص تعارض اخبار می باشد .</w:t>
      </w:r>
      <w:r w:rsidR="008C1AF0">
        <w:rPr>
          <w:rFonts w:hint="cs"/>
          <w:rtl/>
        </w:rPr>
        <w:t xml:space="preserve"> </w:t>
      </w:r>
    </w:p>
    <w:p w:rsidR="00E632B4" w:rsidRDefault="00E632B4" w:rsidP="00172008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D4465E">
        <w:rPr>
          <w:rFonts w:hint="cs"/>
          <w:rtl/>
        </w:rPr>
        <w:t xml:space="preserve">مرحوم آخوند در کفایه تعارض را به گونه ای تعریف کرده اند که پر واضح است </w:t>
      </w:r>
      <w:r w:rsidR="00BF3B33">
        <w:rPr>
          <w:rFonts w:hint="cs"/>
          <w:rtl/>
        </w:rPr>
        <w:t>تفاوت لفظی مختصری با تعریف مرحوم شیخ در رسائل دارد اما آیا تفاوت مفهومی و حقیقی هم دارد ؟ برخی از بزرگان چنین ادعاء کرده اند .</w:t>
      </w:r>
      <w:r w:rsidR="00660449">
        <w:rPr>
          <w:rStyle w:val="FootnoteReference"/>
          <w:rtl/>
        </w:rPr>
        <w:footnoteReference w:id="1"/>
      </w:r>
      <w:r w:rsidR="00BF3B33">
        <w:rPr>
          <w:rFonts w:hint="cs"/>
          <w:rtl/>
        </w:rPr>
        <w:t xml:space="preserve"> از آن جهت که بررسی این نکته متوقّف بر تحلیل مف</w:t>
      </w:r>
      <w:r w:rsidR="00C65E15">
        <w:rPr>
          <w:rFonts w:hint="cs"/>
          <w:rtl/>
        </w:rPr>
        <w:t xml:space="preserve">هومی هر دو تعریف است ، </w:t>
      </w:r>
      <w:r w:rsidR="0067380F">
        <w:rPr>
          <w:rFonts w:hint="cs"/>
          <w:rtl/>
        </w:rPr>
        <w:t>بحث را پیرامون آن دو</w:t>
      </w:r>
      <w:r w:rsidR="00C65E15">
        <w:rPr>
          <w:rFonts w:hint="cs"/>
          <w:rtl/>
        </w:rPr>
        <w:t xml:space="preserve"> شکل می دهیم .</w:t>
      </w:r>
    </w:p>
    <w:p w:rsidR="0067380F" w:rsidRDefault="0067380F" w:rsidP="00234CE0">
      <w:pPr>
        <w:pStyle w:val="Heading1"/>
        <w:rPr>
          <w:rtl/>
        </w:rPr>
      </w:pPr>
      <w:bookmarkStart w:id="8" w:name="_Toc529366497"/>
      <w:bookmarkStart w:id="9" w:name="_Toc529368775"/>
      <w:bookmarkStart w:id="10" w:name="_Toc529371122"/>
      <w:bookmarkStart w:id="11" w:name="_Toc529372376"/>
      <w:bookmarkStart w:id="12" w:name="_Toc529372994"/>
      <w:r>
        <w:rPr>
          <w:rFonts w:hint="cs"/>
          <w:rtl/>
        </w:rPr>
        <w:t>تعریف تعارض در کفایه</w:t>
      </w:r>
      <w:bookmarkEnd w:id="8"/>
      <w:bookmarkEnd w:id="9"/>
      <w:bookmarkEnd w:id="10"/>
      <w:bookmarkEnd w:id="11"/>
      <w:bookmarkEnd w:id="12"/>
      <w:r>
        <w:rPr>
          <w:rFonts w:hint="cs"/>
          <w:rtl/>
        </w:rPr>
        <w:t xml:space="preserve"> </w:t>
      </w:r>
    </w:p>
    <w:p w:rsidR="0067380F" w:rsidRDefault="00172008" w:rsidP="00957932">
      <w:pPr>
        <w:jc w:val="both"/>
        <w:rPr>
          <w:rtl/>
        </w:rPr>
      </w:pPr>
      <w:r>
        <w:rPr>
          <w:rFonts w:hint="cs"/>
          <w:rtl/>
        </w:rPr>
        <w:t xml:space="preserve">   مرحوم آخوند فرموده اند </w:t>
      </w:r>
      <w:r w:rsidR="00F547F1">
        <w:rPr>
          <w:rFonts w:hint="cs"/>
          <w:rtl/>
        </w:rPr>
        <w:t xml:space="preserve">: « </w:t>
      </w:r>
      <w:r>
        <w:rPr>
          <w:rFonts w:hint="cs"/>
          <w:rtl/>
        </w:rPr>
        <w:t xml:space="preserve">تعارض عبارت </w:t>
      </w:r>
      <w:r w:rsidR="00F547F1">
        <w:rPr>
          <w:rFonts w:hint="cs"/>
          <w:rtl/>
        </w:rPr>
        <w:t>از</w:t>
      </w:r>
      <w:r>
        <w:rPr>
          <w:rFonts w:hint="cs"/>
          <w:rtl/>
        </w:rPr>
        <w:t xml:space="preserve"> تنافی دلیلین یا ادله به حسب دلالت و مقام اثبات است ؛ حال تنافی به تناقض باشد و یا به تضاد</w:t>
      </w:r>
      <w:r w:rsidR="00CF6F31">
        <w:rPr>
          <w:rFonts w:hint="cs"/>
          <w:rtl/>
        </w:rPr>
        <w:t xml:space="preserve"> </w:t>
      </w:r>
      <w:r w:rsidR="00CF6F31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</w:t>
      </w:r>
      <w:r w:rsidR="003A4374">
        <w:rPr>
          <w:rFonts w:hint="cs"/>
          <w:rtl/>
        </w:rPr>
        <w:t xml:space="preserve">، </w:t>
      </w:r>
      <w:r>
        <w:rPr>
          <w:rFonts w:hint="cs"/>
          <w:rtl/>
        </w:rPr>
        <w:t>و همچنین</w:t>
      </w:r>
      <w:r w:rsidR="00AF7E57">
        <w:rPr>
          <w:rFonts w:hint="cs"/>
          <w:rtl/>
        </w:rPr>
        <w:t xml:space="preserve"> بالذات</w:t>
      </w:r>
      <w:r>
        <w:rPr>
          <w:rFonts w:hint="cs"/>
          <w:rtl/>
        </w:rPr>
        <w:t xml:space="preserve"> باشد یا بالعرض 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. » </w:t>
      </w:r>
      <w:r>
        <w:rPr>
          <w:rStyle w:val="FootnoteReference"/>
          <w:rtl/>
        </w:rPr>
        <w:footnoteReference w:id="4"/>
      </w:r>
      <w:r w:rsidR="000A3589">
        <w:rPr>
          <w:rFonts w:hint="cs"/>
          <w:rtl/>
        </w:rPr>
        <w:t xml:space="preserve"> </w:t>
      </w:r>
    </w:p>
    <w:p w:rsidR="008D1836" w:rsidRDefault="000A3589" w:rsidP="0067380F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</w:t>
      </w:r>
      <w:r w:rsidR="00BA2C04">
        <w:rPr>
          <w:rFonts w:hint="cs"/>
          <w:rtl/>
        </w:rPr>
        <w:t xml:space="preserve">چهار قید پایانی </w:t>
      </w:r>
      <w:r w:rsidR="00BA2C04">
        <w:rPr>
          <w:rFonts w:ascii="Times New Roman" w:hAnsi="Times New Roman" w:cs="Times New Roman" w:hint="cs"/>
          <w:rtl/>
        </w:rPr>
        <w:t>–</w:t>
      </w:r>
      <w:r w:rsidR="00BA2C04">
        <w:rPr>
          <w:rFonts w:hint="cs"/>
          <w:rtl/>
        </w:rPr>
        <w:t xml:space="preserve"> یعنی « تناقض ، تضاد ، بالذات و بالعرض » - </w:t>
      </w:r>
      <w:r w:rsidR="00967282">
        <w:rPr>
          <w:rFonts w:hint="cs"/>
          <w:rtl/>
        </w:rPr>
        <w:t>اقسام تعارض را بیان می کنند و نکته فنّی جدیدی</w:t>
      </w:r>
      <w:r w:rsidR="00480131">
        <w:rPr>
          <w:rFonts w:hint="cs"/>
          <w:rtl/>
        </w:rPr>
        <w:t xml:space="preserve"> ندارند ؛ آن چه مورد اهتمام مرحوم آخوند </w:t>
      </w:r>
      <w:r w:rsidR="00061D1C">
        <w:rPr>
          <w:rFonts w:hint="cs"/>
          <w:rtl/>
        </w:rPr>
        <w:t>بوده و محلّ جدایی تعریف ایشان از</w:t>
      </w:r>
      <w:r w:rsidR="00480131">
        <w:rPr>
          <w:rFonts w:hint="cs"/>
          <w:rtl/>
        </w:rPr>
        <w:t xml:space="preserve"> تعریف مرحوم شیخ است ، صدر عبارت کفایه است . </w:t>
      </w:r>
      <w:r>
        <w:rPr>
          <w:rFonts w:hint="cs"/>
          <w:rtl/>
        </w:rPr>
        <w:t xml:space="preserve">قید « مقام اثبات » ، « تنافی مدلولین در غیر مقام اثبات و </w:t>
      </w:r>
      <w:r w:rsidR="008D1836">
        <w:rPr>
          <w:rFonts w:hint="cs"/>
          <w:rtl/>
        </w:rPr>
        <w:t xml:space="preserve">حجیت » را از تعریف خارج می کند که سه مطلب در کفایه بر آن مترتّب شده است : </w:t>
      </w:r>
    </w:p>
    <w:p w:rsidR="000A3589" w:rsidRDefault="008D1836" w:rsidP="0067380F">
      <w:pPr>
        <w:jc w:val="both"/>
        <w:rPr>
          <w:rtl/>
        </w:rPr>
      </w:pPr>
      <w:r>
        <w:rPr>
          <w:rFonts w:hint="cs"/>
          <w:rtl/>
        </w:rPr>
        <w:t>1. تعارض بر موارد حکومت صدق نمی کند .</w:t>
      </w:r>
    </w:p>
    <w:p w:rsidR="008D1836" w:rsidRDefault="008D1836" w:rsidP="008D1836">
      <w:pPr>
        <w:jc w:val="both"/>
        <w:rPr>
          <w:rtl/>
        </w:rPr>
      </w:pPr>
      <w:r>
        <w:rPr>
          <w:rFonts w:hint="cs"/>
          <w:rtl/>
        </w:rPr>
        <w:t>2. تعارض بر موارد توفیق عرفی</w:t>
      </w:r>
      <w:r w:rsidR="001D5232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صدق نمی کند .</w:t>
      </w:r>
    </w:p>
    <w:p w:rsidR="008D1836" w:rsidRDefault="008D1836" w:rsidP="008D1836">
      <w:pPr>
        <w:jc w:val="both"/>
        <w:rPr>
          <w:rtl/>
        </w:rPr>
      </w:pPr>
      <w:r>
        <w:rPr>
          <w:rFonts w:hint="cs"/>
          <w:rtl/>
        </w:rPr>
        <w:t>3. تعارض بر موارد جمع عرفی صدق نمی کند .</w:t>
      </w:r>
    </w:p>
    <w:p w:rsidR="0046270F" w:rsidRDefault="0046270F" w:rsidP="008D1836">
      <w:pPr>
        <w:jc w:val="both"/>
        <w:rPr>
          <w:rtl/>
        </w:rPr>
      </w:pPr>
      <w:r>
        <w:rPr>
          <w:rFonts w:hint="cs"/>
          <w:rtl/>
        </w:rPr>
        <w:t xml:space="preserve">سپس ایشان وارد </w:t>
      </w:r>
      <w:r w:rsidR="00510592">
        <w:rPr>
          <w:rFonts w:hint="cs"/>
          <w:rtl/>
        </w:rPr>
        <w:t xml:space="preserve">بحث </w:t>
      </w:r>
      <w:r>
        <w:rPr>
          <w:rFonts w:hint="cs"/>
          <w:rtl/>
        </w:rPr>
        <w:t>در هر یک از این سه مورد شده اند .</w:t>
      </w:r>
      <w:r w:rsidR="003F19A8">
        <w:rPr>
          <w:rStyle w:val="FootnoteReference"/>
          <w:rtl/>
        </w:rPr>
        <w:footnoteReference w:id="6"/>
      </w:r>
    </w:p>
    <w:p w:rsidR="0046270F" w:rsidRDefault="0046270F" w:rsidP="00234CE0">
      <w:pPr>
        <w:pStyle w:val="Heading1"/>
        <w:rPr>
          <w:rtl/>
        </w:rPr>
      </w:pPr>
      <w:bookmarkStart w:id="13" w:name="_Toc529368776"/>
      <w:bookmarkStart w:id="14" w:name="_Toc529371123"/>
      <w:bookmarkStart w:id="15" w:name="_Toc529372377"/>
      <w:bookmarkStart w:id="16" w:name="_Toc529372995"/>
      <w:r>
        <w:rPr>
          <w:rFonts w:hint="cs"/>
          <w:rtl/>
        </w:rPr>
        <w:t>حکومت</w:t>
      </w:r>
      <w:bookmarkEnd w:id="13"/>
      <w:bookmarkEnd w:id="14"/>
      <w:bookmarkEnd w:id="15"/>
      <w:bookmarkEnd w:id="16"/>
    </w:p>
    <w:p w:rsidR="008D1836" w:rsidRDefault="00643931" w:rsidP="001B4FF1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sz w:val="28"/>
          <w:szCs w:val="28"/>
          <w:rtl/>
        </w:rPr>
      </w:pPr>
      <w:r>
        <w:rPr>
          <w:rFonts w:hint="cs"/>
          <w:rtl/>
        </w:rPr>
        <w:t xml:space="preserve">   </w:t>
      </w:r>
      <w:r w:rsidR="009E2E58">
        <w:rPr>
          <w:rFonts w:cs="B Badr" w:hint="cs"/>
          <w:sz w:val="28"/>
          <w:szCs w:val="28"/>
          <w:rtl/>
        </w:rPr>
        <w:t>حکو</w:t>
      </w:r>
      <w:r w:rsidR="00234CE0" w:rsidRPr="00D7661E">
        <w:rPr>
          <w:rFonts w:cs="B Badr" w:hint="cs"/>
          <w:sz w:val="28"/>
          <w:szCs w:val="28"/>
          <w:rtl/>
        </w:rPr>
        <w:t xml:space="preserve">مت از منظر مرحوم آخوند یعنی </w:t>
      </w:r>
      <w:r w:rsidR="002601C2">
        <w:rPr>
          <w:rFonts w:cs="B Badr" w:hint="cs"/>
          <w:sz w:val="28"/>
          <w:szCs w:val="28"/>
          <w:rtl/>
        </w:rPr>
        <w:t xml:space="preserve">در میان چند دلیل </w:t>
      </w:r>
      <w:r w:rsidR="00234CE0" w:rsidRPr="00D7661E">
        <w:rPr>
          <w:rFonts w:cs="B Badr" w:hint="cs"/>
          <w:sz w:val="28"/>
          <w:szCs w:val="28"/>
          <w:rtl/>
        </w:rPr>
        <w:t xml:space="preserve">« </w:t>
      </w:r>
      <w:r w:rsidR="00234CE0" w:rsidRPr="00D7661E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يكون أحدهما قد سيق ناظرا إلى بيان كمية ما أريد من الآخر </w:t>
      </w:r>
      <w:r w:rsidR="00234CE0" w:rsidRPr="00D7661E">
        <w:rPr>
          <w:rFonts w:cs="B Badr" w:hint="cs"/>
          <w:sz w:val="28"/>
          <w:szCs w:val="28"/>
          <w:rtl/>
        </w:rPr>
        <w:t>»</w:t>
      </w:r>
      <w:r w:rsidR="0007368E">
        <w:rPr>
          <w:rStyle w:val="FootnoteReference"/>
          <w:rFonts w:cs="B Badr"/>
          <w:sz w:val="28"/>
          <w:szCs w:val="28"/>
          <w:rtl/>
        </w:rPr>
        <w:footnoteReference w:id="7"/>
      </w:r>
      <w:r w:rsidR="00F91573">
        <w:rPr>
          <w:rFonts w:cs="B Badr" w:hint="cs"/>
          <w:sz w:val="28"/>
          <w:szCs w:val="28"/>
          <w:rtl/>
        </w:rPr>
        <w:t xml:space="preserve">. </w:t>
      </w:r>
      <w:r w:rsidR="00B16A78">
        <w:rPr>
          <w:rFonts w:cs="B Badr" w:hint="cs"/>
          <w:sz w:val="28"/>
          <w:szCs w:val="28"/>
          <w:rtl/>
        </w:rPr>
        <w:t xml:space="preserve"> </w:t>
      </w:r>
      <w:r w:rsidR="009E2E58">
        <w:rPr>
          <w:rFonts w:cs="B Badr" w:hint="cs"/>
          <w:sz w:val="28"/>
          <w:szCs w:val="28"/>
          <w:rtl/>
        </w:rPr>
        <w:t xml:space="preserve">یعنی ملاک حکومت آن است که </w:t>
      </w:r>
      <w:r w:rsidR="00DF25C4">
        <w:rPr>
          <w:rFonts w:cs="B Badr" w:hint="cs"/>
          <w:sz w:val="28"/>
          <w:szCs w:val="28"/>
          <w:rtl/>
        </w:rPr>
        <w:t xml:space="preserve">ساختار </w:t>
      </w:r>
      <w:r w:rsidR="009E2E58">
        <w:rPr>
          <w:rFonts w:cs="B Badr" w:hint="cs"/>
          <w:sz w:val="28"/>
          <w:szCs w:val="28"/>
          <w:rtl/>
        </w:rPr>
        <w:t>یک</w:t>
      </w:r>
      <w:r w:rsidR="00DF25C4">
        <w:rPr>
          <w:rFonts w:cs="B Badr" w:hint="cs"/>
          <w:sz w:val="28"/>
          <w:szCs w:val="28"/>
          <w:rtl/>
        </w:rPr>
        <w:t xml:space="preserve"> دلیل</w:t>
      </w:r>
      <w:r w:rsidR="009E2E58">
        <w:rPr>
          <w:rFonts w:cs="B Badr" w:hint="cs"/>
          <w:sz w:val="28"/>
          <w:szCs w:val="28"/>
          <w:rtl/>
        </w:rPr>
        <w:t xml:space="preserve"> متضمّن نظارت ب</w:t>
      </w:r>
      <w:r w:rsidR="00DF25C4">
        <w:rPr>
          <w:rFonts w:cs="B Badr" w:hint="cs"/>
          <w:sz w:val="28"/>
          <w:szCs w:val="28"/>
          <w:rtl/>
        </w:rPr>
        <w:t>ر</w:t>
      </w:r>
      <w:r w:rsidR="009E2E58">
        <w:rPr>
          <w:rFonts w:cs="B Badr" w:hint="cs"/>
          <w:sz w:val="28"/>
          <w:szCs w:val="28"/>
          <w:rtl/>
        </w:rPr>
        <w:t xml:space="preserve"> دلیل دیگری باشد . </w:t>
      </w:r>
      <w:r w:rsidR="000B72DB">
        <w:rPr>
          <w:rFonts w:cs="B Badr" w:hint="cs"/>
          <w:sz w:val="28"/>
          <w:szCs w:val="28"/>
          <w:rtl/>
        </w:rPr>
        <w:t xml:space="preserve">با این ضابطه </w:t>
      </w:r>
      <w:r w:rsidRPr="00D7661E">
        <w:rPr>
          <w:rFonts w:cs="B Badr" w:hint="cs"/>
          <w:sz w:val="28"/>
          <w:szCs w:val="28"/>
          <w:rtl/>
        </w:rPr>
        <w:t>دلیل حاکم « لا شکّ لمن کثر شکّه » و دلیل محکوم « من شکّ فلیبن علی الأکث</w:t>
      </w:r>
      <w:r w:rsidR="002E0375" w:rsidRPr="00D7661E">
        <w:rPr>
          <w:rFonts w:cs="B Badr" w:hint="cs"/>
          <w:sz w:val="28"/>
          <w:szCs w:val="28"/>
          <w:rtl/>
        </w:rPr>
        <w:t xml:space="preserve">ر » در ناحیه </w:t>
      </w:r>
      <w:r w:rsidR="000B72DB">
        <w:rPr>
          <w:rFonts w:cs="B Badr" w:hint="cs"/>
          <w:sz w:val="28"/>
          <w:szCs w:val="28"/>
          <w:rtl/>
        </w:rPr>
        <w:t xml:space="preserve">ظهور متنافی اند اما در </w:t>
      </w:r>
      <w:r w:rsidR="002E0375" w:rsidRPr="00D7661E">
        <w:rPr>
          <w:rFonts w:cs="B Badr" w:hint="cs"/>
          <w:sz w:val="28"/>
          <w:szCs w:val="28"/>
          <w:rtl/>
        </w:rPr>
        <w:t xml:space="preserve">حجیت تنافی ندارند </w:t>
      </w:r>
      <w:r w:rsidR="00100EA0">
        <w:rPr>
          <w:rFonts w:cs="B Badr" w:hint="cs"/>
          <w:sz w:val="28"/>
          <w:szCs w:val="28"/>
          <w:rtl/>
        </w:rPr>
        <w:t>زیرا بعد از ص</w:t>
      </w:r>
      <w:r w:rsidR="001B4FF1">
        <w:rPr>
          <w:rFonts w:cs="B Badr" w:hint="cs"/>
          <w:sz w:val="28"/>
          <w:szCs w:val="28"/>
          <w:rtl/>
        </w:rPr>
        <w:t>دور حاکم</w:t>
      </w:r>
      <w:r w:rsidR="00100EA0">
        <w:rPr>
          <w:rFonts w:cs="B Badr" w:hint="cs"/>
          <w:sz w:val="28"/>
          <w:szCs w:val="28"/>
          <w:rtl/>
        </w:rPr>
        <w:t xml:space="preserve"> ، دیگر </w:t>
      </w:r>
      <w:r w:rsidR="001B4FF1">
        <w:rPr>
          <w:rFonts w:cs="B Badr" w:hint="cs"/>
          <w:sz w:val="28"/>
          <w:szCs w:val="28"/>
          <w:rtl/>
        </w:rPr>
        <w:t xml:space="preserve">اطلاق دلیل محکوم </w:t>
      </w:r>
      <w:r w:rsidR="00100EA0">
        <w:rPr>
          <w:rFonts w:cs="B Badr" w:hint="cs"/>
          <w:sz w:val="28"/>
          <w:szCs w:val="28"/>
          <w:rtl/>
        </w:rPr>
        <w:t xml:space="preserve">حجت نیست ، </w:t>
      </w:r>
      <w:r w:rsidR="000B72DB">
        <w:rPr>
          <w:rFonts w:cs="B Badr" w:hint="cs"/>
          <w:sz w:val="28"/>
          <w:szCs w:val="28"/>
          <w:rtl/>
        </w:rPr>
        <w:t>کاملا مانند</w:t>
      </w:r>
      <w:r w:rsidR="002E0375" w:rsidRPr="00D7661E">
        <w:rPr>
          <w:rFonts w:cs="B Badr" w:hint="cs"/>
          <w:sz w:val="28"/>
          <w:szCs w:val="28"/>
          <w:rtl/>
        </w:rPr>
        <w:t xml:space="preserve"> </w:t>
      </w:r>
      <w:r w:rsidR="000B72DB">
        <w:rPr>
          <w:rFonts w:cs="B Badr" w:hint="cs"/>
          <w:sz w:val="28"/>
          <w:szCs w:val="28"/>
          <w:rtl/>
        </w:rPr>
        <w:t>رابطه</w:t>
      </w:r>
      <w:r w:rsidR="002E0375" w:rsidRPr="00D7661E">
        <w:rPr>
          <w:rFonts w:cs="B Badr" w:hint="cs"/>
          <w:sz w:val="28"/>
          <w:szCs w:val="28"/>
          <w:rtl/>
        </w:rPr>
        <w:t xml:space="preserve"> میان عامّ و خاصّ </w:t>
      </w:r>
      <w:r w:rsidR="000B72DB">
        <w:rPr>
          <w:rFonts w:cs="B Badr" w:hint="cs"/>
          <w:sz w:val="28"/>
          <w:szCs w:val="28"/>
          <w:rtl/>
        </w:rPr>
        <w:t xml:space="preserve">منفصل . </w:t>
      </w:r>
      <w:r w:rsidR="00163BEC">
        <w:rPr>
          <w:rFonts w:cs="B Badr" w:hint="cs"/>
          <w:sz w:val="28"/>
          <w:szCs w:val="28"/>
          <w:rtl/>
        </w:rPr>
        <w:t xml:space="preserve">در نزد عرف </w:t>
      </w:r>
      <w:r w:rsidR="003E27F8" w:rsidRPr="00D7661E">
        <w:rPr>
          <w:rFonts w:cs="B Badr" w:hint="cs"/>
          <w:sz w:val="28"/>
          <w:szCs w:val="28"/>
          <w:rtl/>
        </w:rPr>
        <w:t xml:space="preserve">حاکم قرینه شخصیه و مبیّن محکوم است </w:t>
      </w:r>
      <w:r w:rsidR="00282E05">
        <w:rPr>
          <w:rFonts w:cs="B Badr" w:hint="cs"/>
          <w:sz w:val="28"/>
          <w:szCs w:val="28"/>
          <w:rtl/>
        </w:rPr>
        <w:t xml:space="preserve">؛ تفاوتی هم ندارد که </w:t>
      </w:r>
      <w:r w:rsidR="00F35488" w:rsidRPr="00D7661E">
        <w:rPr>
          <w:rFonts w:cs="B Badr" w:hint="cs"/>
          <w:sz w:val="28"/>
          <w:szCs w:val="28"/>
          <w:rtl/>
        </w:rPr>
        <w:t xml:space="preserve">تحصیل </w:t>
      </w:r>
      <w:r w:rsidR="003E27F8" w:rsidRPr="00D7661E">
        <w:rPr>
          <w:rFonts w:cs="B Badr" w:hint="cs"/>
          <w:sz w:val="28"/>
          <w:szCs w:val="28"/>
          <w:rtl/>
        </w:rPr>
        <w:t xml:space="preserve">تضییق را بر عهده گیرد یا </w:t>
      </w:r>
      <w:r w:rsidR="00894E9F" w:rsidRPr="00D7661E">
        <w:rPr>
          <w:rFonts w:cs="B Badr" w:hint="cs"/>
          <w:sz w:val="28"/>
          <w:szCs w:val="28"/>
          <w:rtl/>
        </w:rPr>
        <w:t>این که رسالتش ایجاد توسعه باشد ، همچنین</w:t>
      </w:r>
      <w:r w:rsidR="00CC1519">
        <w:rPr>
          <w:rFonts w:cs="B Badr" w:hint="cs"/>
          <w:sz w:val="28"/>
          <w:szCs w:val="28"/>
          <w:rtl/>
        </w:rPr>
        <w:t xml:space="preserve"> فرق</w:t>
      </w:r>
      <w:r w:rsidR="00894E9F" w:rsidRPr="00D7661E">
        <w:rPr>
          <w:rFonts w:cs="B Badr" w:hint="cs"/>
          <w:sz w:val="28"/>
          <w:szCs w:val="28"/>
          <w:rtl/>
        </w:rPr>
        <w:t xml:space="preserve">ی ندارد حکومت ظاهریه باشد ، یعنی تنها در چارچوب طُرُق </w:t>
      </w:r>
      <w:r w:rsidR="00894E9F" w:rsidRPr="00D7661E">
        <w:rPr>
          <w:rStyle w:val="FootnoteReference"/>
          <w:rFonts w:cs="B Badr"/>
          <w:sz w:val="28"/>
          <w:szCs w:val="28"/>
          <w:rtl/>
        </w:rPr>
        <w:footnoteReference w:id="8"/>
      </w:r>
      <w:r w:rsidR="00894E9F" w:rsidRPr="00D7661E">
        <w:rPr>
          <w:rFonts w:cs="B Badr" w:hint="cs"/>
          <w:sz w:val="28"/>
          <w:szCs w:val="28"/>
          <w:rtl/>
        </w:rPr>
        <w:t xml:space="preserve">، یا واقعیه که حکم واقعی لوحی را </w:t>
      </w:r>
      <w:r w:rsidR="00E70498" w:rsidRPr="00D7661E">
        <w:rPr>
          <w:rFonts w:cs="B Badr" w:hint="cs"/>
          <w:sz w:val="28"/>
          <w:szCs w:val="28"/>
          <w:rtl/>
        </w:rPr>
        <w:t>متاثّر کند .</w:t>
      </w:r>
    </w:p>
    <w:p w:rsidR="00BE6F49" w:rsidRPr="00D7661E" w:rsidRDefault="00BE6F49" w:rsidP="00BE6F49">
      <w:pPr>
        <w:pStyle w:val="Heading6"/>
        <w:rPr>
          <w:rtl/>
        </w:rPr>
      </w:pPr>
      <w:bookmarkStart w:id="17" w:name="_Toc529371124"/>
      <w:bookmarkStart w:id="18" w:name="_Toc529372378"/>
      <w:bookmarkStart w:id="19" w:name="_Toc529372996"/>
      <w:r>
        <w:rPr>
          <w:rFonts w:hint="cs"/>
          <w:rtl/>
        </w:rPr>
        <w:t>عدم مدخلیّت تقدیم محکوم</w:t>
      </w:r>
      <w:bookmarkEnd w:id="17"/>
      <w:bookmarkEnd w:id="18"/>
      <w:bookmarkEnd w:id="19"/>
    </w:p>
    <w:p w:rsidR="00234CE0" w:rsidRDefault="00BE6F49" w:rsidP="00BE6F49">
      <w:pPr>
        <w:jc w:val="both"/>
        <w:rPr>
          <w:color w:val="000000"/>
          <w:rtl/>
        </w:rPr>
      </w:pPr>
      <w:r>
        <w:rPr>
          <w:rFonts w:hint="cs"/>
          <w:rtl/>
        </w:rPr>
        <w:t xml:space="preserve">   همچنین با توجه به تعریف حکومت ، روشن است که تقدّم یا تاخّر صدور دلیل محکوم بر حاکم مدخلیتی ندارد .</w:t>
      </w:r>
      <w:r w:rsidR="00D71AB2">
        <w:rPr>
          <w:rFonts w:hint="cs"/>
          <w:rtl/>
        </w:rPr>
        <w:t xml:space="preserve"> </w:t>
      </w:r>
      <w:r w:rsidR="00C531A1">
        <w:rPr>
          <w:rFonts w:hint="cs"/>
          <w:color w:val="000000"/>
          <w:rtl/>
        </w:rPr>
        <w:t>مقوّم حقیقت حکومت « تضمّن ساختاری دلیل حاکم بر نظارت » است به گونه ای که اگر آن دلیل دو</w:t>
      </w:r>
      <w:r w:rsidR="00F806AC">
        <w:rPr>
          <w:rFonts w:hint="cs"/>
          <w:color w:val="000000"/>
          <w:rtl/>
        </w:rPr>
        <w:t>م</w:t>
      </w:r>
      <w:r w:rsidR="00C531A1">
        <w:rPr>
          <w:rFonts w:hint="cs"/>
          <w:color w:val="000000"/>
          <w:rtl/>
        </w:rPr>
        <w:t xml:space="preserve"> نباشد ، </w:t>
      </w:r>
      <w:r w:rsidR="00F806AC">
        <w:rPr>
          <w:rFonts w:hint="cs"/>
          <w:color w:val="000000"/>
          <w:rtl/>
        </w:rPr>
        <w:t>این دلیل لغو باشد و چنین ملاکی استدعاء تقدّم صدور دلیل محکوم را ن</w:t>
      </w:r>
      <w:r w:rsidR="00202AAA">
        <w:rPr>
          <w:rFonts w:hint="cs"/>
          <w:color w:val="000000"/>
          <w:rtl/>
        </w:rPr>
        <w:t>دارد .</w:t>
      </w:r>
      <w:r w:rsidR="001A3531">
        <w:rPr>
          <w:rFonts w:hint="cs"/>
          <w:color w:val="000000"/>
          <w:rtl/>
        </w:rPr>
        <w:t xml:space="preserve"> </w:t>
      </w:r>
    </w:p>
    <w:p w:rsidR="001A3531" w:rsidRDefault="001A3531" w:rsidP="00BE6F49">
      <w:pPr>
        <w:jc w:val="both"/>
        <w:rPr>
          <w:color w:val="000000"/>
          <w:rtl/>
        </w:rPr>
      </w:pPr>
      <w:r>
        <w:rPr>
          <w:rFonts w:hint="cs"/>
          <w:color w:val="000000"/>
          <w:rtl/>
        </w:rPr>
        <w:lastRenderedPageBreak/>
        <w:t xml:space="preserve">   این بیان نصّ در ردّ آن مطلبی است که مرحوم آخوند از عبارات رسائل استظهار کرده اند . ایشان پنداشته اند در نظر مرحوم شیخ ، حکومت علاوه بر « نظارت » متقوّم به « سبق دلیل محکوم » هم است </w:t>
      </w:r>
      <w:r w:rsidR="001F60A8">
        <w:rPr>
          <w:rFonts w:hint="cs"/>
          <w:color w:val="000000"/>
          <w:rtl/>
        </w:rPr>
        <w:t>؛</w:t>
      </w:r>
      <w:r>
        <w:rPr>
          <w:rFonts w:hint="cs"/>
          <w:color w:val="000000"/>
          <w:rtl/>
        </w:rPr>
        <w:t xml:space="preserve"> به همین جهت </w:t>
      </w:r>
      <w:r w:rsidR="00F43E85">
        <w:rPr>
          <w:rFonts w:hint="cs"/>
          <w:color w:val="000000"/>
          <w:rtl/>
        </w:rPr>
        <w:t xml:space="preserve">در حاشیه رسائل متصدّی ابطال این مبنا شده اند </w:t>
      </w:r>
      <w:r w:rsidR="00366D44">
        <w:rPr>
          <w:rStyle w:val="FootnoteReference"/>
          <w:color w:val="000000"/>
          <w:rtl/>
        </w:rPr>
        <w:footnoteReference w:id="9"/>
      </w:r>
      <w:r w:rsidR="00F43E85">
        <w:rPr>
          <w:rFonts w:hint="cs"/>
          <w:color w:val="000000"/>
          <w:rtl/>
        </w:rPr>
        <w:t>و در کفایه هم تصریح به ع</w:t>
      </w:r>
      <w:r w:rsidR="00C13D77">
        <w:rPr>
          <w:rFonts w:hint="cs"/>
          <w:color w:val="000000"/>
          <w:rtl/>
        </w:rPr>
        <w:t xml:space="preserve">دم اشتراط تقدّم محکوم کرده اند </w:t>
      </w:r>
      <w:r w:rsidR="00366D44">
        <w:rPr>
          <w:rStyle w:val="FootnoteReference"/>
          <w:color w:val="000000"/>
          <w:rtl/>
        </w:rPr>
        <w:footnoteReference w:id="10"/>
      </w:r>
      <w:r w:rsidR="00C13D77">
        <w:rPr>
          <w:rFonts w:hint="cs"/>
          <w:color w:val="000000"/>
          <w:rtl/>
        </w:rPr>
        <w:t xml:space="preserve"> که در واقع تعریض به مرحوم شیخ است .</w:t>
      </w:r>
      <w:r w:rsidR="00E9393F">
        <w:rPr>
          <w:rFonts w:hint="cs"/>
          <w:color w:val="000000"/>
          <w:rtl/>
        </w:rPr>
        <w:t xml:space="preserve"> </w:t>
      </w:r>
      <w:r w:rsidR="00E9393F">
        <w:rPr>
          <w:rStyle w:val="FootnoteReference"/>
          <w:color w:val="000000"/>
          <w:rtl/>
        </w:rPr>
        <w:footnoteReference w:id="11"/>
      </w:r>
      <w:r w:rsidR="001F60A8">
        <w:rPr>
          <w:rFonts w:hint="cs"/>
          <w:color w:val="000000"/>
          <w:rtl/>
        </w:rPr>
        <w:t xml:space="preserve"> </w:t>
      </w:r>
    </w:p>
    <w:p w:rsidR="002F0BDC" w:rsidRDefault="002F0BDC" w:rsidP="002F0BDC">
      <w:pPr>
        <w:pStyle w:val="Heading6"/>
        <w:rPr>
          <w:rtl/>
        </w:rPr>
      </w:pPr>
      <w:bookmarkStart w:id="21" w:name="_Toc529372379"/>
      <w:bookmarkStart w:id="22" w:name="_Toc529372997"/>
      <w:r>
        <w:rPr>
          <w:rFonts w:hint="cs"/>
          <w:rtl/>
        </w:rPr>
        <w:t>عدم مدخلیت صدور مستقلّ محکوم</w:t>
      </w:r>
      <w:bookmarkEnd w:id="21"/>
      <w:bookmarkEnd w:id="22"/>
    </w:p>
    <w:p w:rsidR="00F664E6" w:rsidRDefault="000C5C27" w:rsidP="000C5C27">
      <w:pPr>
        <w:jc w:val="both"/>
        <w:rPr>
          <w:rtl/>
        </w:rPr>
      </w:pPr>
      <w:r>
        <w:rPr>
          <w:rFonts w:hint="cs"/>
          <w:rtl/>
        </w:rPr>
        <w:t xml:space="preserve">   به نظر هر چند </w:t>
      </w:r>
      <w:r w:rsidR="00684EA7">
        <w:rPr>
          <w:rFonts w:hint="cs"/>
          <w:rtl/>
        </w:rPr>
        <w:t>ا</w:t>
      </w:r>
      <w:r>
        <w:rPr>
          <w:rFonts w:hint="cs"/>
          <w:rtl/>
        </w:rPr>
        <w:t>ن</w:t>
      </w:r>
      <w:r w:rsidR="00684EA7">
        <w:rPr>
          <w:rFonts w:hint="cs"/>
          <w:rtl/>
        </w:rPr>
        <w:t>تسا</w:t>
      </w:r>
      <w:r w:rsidR="009B7F04">
        <w:rPr>
          <w:rFonts w:hint="cs"/>
          <w:rtl/>
        </w:rPr>
        <w:t>ب</w:t>
      </w:r>
      <w:r>
        <w:rPr>
          <w:rFonts w:hint="cs"/>
          <w:rtl/>
        </w:rPr>
        <w:t xml:space="preserve"> ا</w:t>
      </w:r>
      <w:r w:rsidR="009B7F04">
        <w:rPr>
          <w:rFonts w:hint="cs"/>
          <w:rtl/>
        </w:rPr>
        <w:t>ین مطلب</w:t>
      </w:r>
      <w:r>
        <w:rPr>
          <w:rFonts w:hint="cs"/>
          <w:rtl/>
        </w:rPr>
        <w:t xml:space="preserve"> به مرحوم شیخ صحیح نمی باشد ، اما اصل مطلب مرحوم آخ</w:t>
      </w:r>
      <w:r w:rsidR="00DD14AA">
        <w:rPr>
          <w:rFonts w:hint="cs"/>
          <w:rtl/>
        </w:rPr>
        <w:t>وند متین و بلکه قابل ترقّی است .</w:t>
      </w:r>
      <w:r>
        <w:rPr>
          <w:rFonts w:hint="cs"/>
          <w:rtl/>
        </w:rPr>
        <w:t xml:space="preserve"> </w:t>
      </w:r>
      <w:r w:rsidR="00FA0316">
        <w:rPr>
          <w:rFonts w:hint="cs"/>
          <w:rtl/>
        </w:rPr>
        <w:t xml:space="preserve">ما معتقدیم نه تنها « سبق محکوم بر حاکم » نیاز نیست ، بلکه نهایت اقتضاء ملاک « نظارت » که مقوّم حکومت است ، اصل ثبوت محکوم است حتّی اگر خطاب لفظی مستقلّی </w:t>
      </w:r>
      <w:r w:rsidR="00D93501">
        <w:rPr>
          <w:rFonts w:hint="cs"/>
          <w:rtl/>
        </w:rPr>
        <w:t xml:space="preserve">برای آن صادر </w:t>
      </w:r>
      <w:r w:rsidR="000D0FE5">
        <w:rPr>
          <w:rFonts w:hint="cs"/>
          <w:rtl/>
        </w:rPr>
        <w:t>نشد</w:t>
      </w:r>
      <w:r w:rsidR="00FA0316">
        <w:rPr>
          <w:rFonts w:hint="cs"/>
          <w:rtl/>
        </w:rPr>
        <w:t>ه باشد .</w:t>
      </w:r>
      <w:r w:rsidR="009E00AA">
        <w:rPr>
          <w:rFonts w:hint="cs"/>
          <w:rtl/>
        </w:rPr>
        <w:t xml:space="preserve"> </w:t>
      </w:r>
    </w:p>
    <w:p w:rsidR="000C5C27" w:rsidRPr="000C5C27" w:rsidRDefault="00F664E6" w:rsidP="00F664E6">
      <w:pPr>
        <w:jc w:val="both"/>
      </w:pPr>
      <w:r>
        <w:rPr>
          <w:rFonts w:hint="cs"/>
          <w:rtl/>
        </w:rPr>
        <w:t xml:space="preserve">   </w:t>
      </w:r>
      <w:r w:rsidR="009E00AA">
        <w:rPr>
          <w:rFonts w:hint="cs"/>
          <w:rtl/>
        </w:rPr>
        <w:t xml:space="preserve">رفع « لغویت » حاکم با ثبوت لوحی محکوم هم حاصل می شود </w:t>
      </w:r>
      <w:r w:rsidR="00132733">
        <w:rPr>
          <w:rFonts w:hint="cs"/>
          <w:rtl/>
        </w:rPr>
        <w:t>ولو در عالم اثبات نفس دلیل حاکم</w:t>
      </w:r>
      <w:r>
        <w:rPr>
          <w:rFonts w:hint="cs"/>
          <w:rtl/>
        </w:rPr>
        <w:t xml:space="preserve"> اجمالا یا تفصیلا</w:t>
      </w:r>
      <w:r w:rsidR="00132733">
        <w:rPr>
          <w:rFonts w:hint="cs"/>
          <w:rtl/>
        </w:rPr>
        <w:t xml:space="preserve"> متکفّل</w:t>
      </w:r>
      <w:r w:rsidR="0008574E">
        <w:rPr>
          <w:rFonts w:hint="cs"/>
          <w:rtl/>
        </w:rPr>
        <w:t xml:space="preserve"> بیان آن</w:t>
      </w:r>
      <w:r w:rsidR="00132733">
        <w:rPr>
          <w:rFonts w:hint="cs"/>
          <w:rtl/>
        </w:rPr>
        <w:t xml:space="preserve"> باشد</w:t>
      </w:r>
      <w:r>
        <w:rPr>
          <w:rFonts w:hint="cs"/>
          <w:rtl/>
        </w:rPr>
        <w:t xml:space="preserve"> </w:t>
      </w:r>
      <w:r w:rsidR="00132733">
        <w:rPr>
          <w:rFonts w:hint="cs"/>
          <w:rtl/>
        </w:rPr>
        <w:t xml:space="preserve">. </w:t>
      </w:r>
      <w:r w:rsidR="003A0722">
        <w:rPr>
          <w:rFonts w:hint="cs"/>
          <w:rtl/>
        </w:rPr>
        <w:t xml:space="preserve">خود خطاب « لا شکّ لمن کثر شکّه » دلالت دارد بر اینکه اجمالا شکوک احکامی دارند و این احکام متوجّه کثیر الشک نیستند ، بالاتر از این </w:t>
      </w:r>
      <w:r w:rsidR="000C5F21">
        <w:rPr>
          <w:rFonts w:hint="cs"/>
          <w:rtl/>
        </w:rPr>
        <w:t xml:space="preserve">نفس </w:t>
      </w:r>
      <w:r w:rsidR="003A0722">
        <w:rPr>
          <w:rFonts w:hint="cs"/>
          <w:rtl/>
        </w:rPr>
        <w:t>خطاب « لا ربا بین الوالد و الولد » تفصیلا دلالت بر حرمت ربا ، یعنی محکوم ، دارد</w:t>
      </w:r>
      <w:r w:rsidR="003A0722">
        <w:rPr>
          <w:rStyle w:val="FootnoteReference"/>
          <w:rtl/>
        </w:rPr>
        <w:footnoteReference w:id="12"/>
      </w:r>
      <w:r w:rsidR="003A0722">
        <w:rPr>
          <w:rFonts w:hint="cs"/>
          <w:rtl/>
        </w:rPr>
        <w:t xml:space="preserve"> و بیان می کند این حرمت موارد ربای میان پدر و فرزند را در بر نمی گیرد</w:t>
      </w:r>
      <w:r w:rsidR="00237011">
        <w:rPr>
          <w:rFonts w:hint="cs"/>
          <w:rtl/>
        </w:rPr>
        <w:t xml:space="preserve"> </w:t>
      </w:r>
      <w:r w:rsidR="003A0722">
        <w:rPr>
          <w:rFonts w:hint="cs"/>
          <w:rtl/>
        </w:rPr>
        <w:t xml:space="preserve">. </w:t>
      </w:r>
      <w:r w:rsidR="00377BB1">
        <w:rPr>
          <w:rFonts w:hint="cs"/>
          <w:rtl/>
        </w:rPr>
        <w:t xml:space="preserve">بنابراین اصل اشتراط صدور </w:t>
      </w:r>
      <w:r w:rsidR="00A06C0E">
        <w:rPr>
          <w:rFonts w:hint="cs"/>
          <w:rtl/>
        </w:rPr>
        <w:t xml:space="preserve">محکوم در قالب </w:t>
      </w:r>
      <w:r w:rsidR="00377BB1">
        <w:rPr>
          <w:rFonts w:hint="cs"/>
          <w:rtl/>
        </w:rPr>
        <w:t>خطاب</w:t>
      </w:r>
      <w:r w:rsidR="00A06C0E">
        <w:rPr>
          <w:rFonts w:hint="cs"/>
          <w:rtl/>
        </w:rPr>
        <w:t>ی</w:t>
      </w:r>
      <w:r w:rsidR="00377BB1">
        <w:rPr>
          <w:rFonts w:hint="cs"/>
          <w:rtl/>
        </w:rPr>
        <w:t xml:space="preserve"> مستقلّ </w:t>
      </w:r>
      <w:r w:rsidR="00DF4911">
        <w:rPr>
          <w:rFonts w:hint="cs"/>
          <w:rtl/>
        </w:rPr>
        <w:t xml:space="preserve">، </w:t>
      </w:r>
      <w:r w:rsidR="00015BC4">
        <w:rPr>
          <w:rFonts w:hint="cs"/>
          <w:rtl/>
        </w:rPr>
        <w:t>پشتوانه مستحکمی ندارد فضلا</w:t>
      </w:r>
      <w:r w:rsidR="00377BB1">
        <w:rPr>
          <w:rFonts w:hint="cs"/>
          <w:rtl/>
        </w:rPr>
        <w:t xml:space="preserve"> از این که آیا آن صدور باید مقیّد به زمانی خاص باشد یا خیر ؟</w:t>
      </w:r>
    </w:p>
    <w:sectPr w:rsidR="000C5C27" w:rsidRPr="000C5C27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C60" w:rsidRDefault="003D3C60" w:rsidP="008B750B">
      <w:pPr>
        <w:spacing w:line="240" w:lineRule="auto"/>
      </w:pPr>
      <w:r>
        <w:separator/>
      </w:r>
    </w:p>
  </w:endnote>
  <w:endnote w:type="continuationSeparator" w:id="0">
    <w:p w:rsidR="003D3C60" w:rsidRDefault="003D3C6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541E8" w:rsidRPr="00D541E8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B29C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0" w:name="BokAdres"/>
          <w:bookmarkEnd w:id="30"/>
          <w:r>
            <w:rPr>
              <w:color w:val="808080" w:themeColor="background1" w:themeShade="80"/>
            </w:rPr>
            <w:t>U1mq1_13970703-001_ab1_mfeb.ir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C60" w:rsidRDefault="003D3C60" w:rsidP="008B750B">
      <w:pPr>
        <w:spacing w:line="240" w:lineRule="auto"/>
      </w:pPr>
      <w:r>
        <w:separator/>
      </w:r>
    </w:p>
  </w:footnote>
  <w:footnote w:type="continuationSeparator" w:id="0">
    <w:p w:rsidR="003D3C60" w:rsidRDefault="003D3C60" w:rsidP="008B750B">
      <w:pPr>
        <w:spacing w:line="240" w:lineRule="auto"/>
      </w:pPr>
      <w:r>
        <w:continuationSeparator/>
      </w:r>
    </w:p>
  </w:footnote>
  <w:footnote w:id="1">
    <w:p w:rsidR="00660449" w:rsidRPr="00660449" w:rsidRDefault="00660449" w:rsidP="00660449">
      <w:pPr>
        <w:pStyle w:val="FootnoteText"/>
        <w:rPr>
          <w:rtl/>
        </w:rPr>
      </w:pPr>
      <w:r>
        <w:t>.</w:t>
      </w:r>
      <w:r w:rsidRPr="00660449">
        <w:footnoteRef/>
      </w:r>
      <w:r w:rsidRPr="00660449">
        <w:rPr>
          <w:rtl/>
        </w:rPr>
        <w:t xml:space="preserve"> </w:t>
      </w:r>
      <w:hyperlink r:id="rId1" w:history="1">
        <w:r w:rsidRPr="00660449">
          <w:rPr>
            <w:rStyle w:val="Hyperlink"/>
            <w:rtl/>
          </w:rPr>
          <w:t>بحوث ف</w:t>
        </w:r>
        <w:r w:rsidRPr="00660449">
          <w:rPr>
            <w:rStyle w:val="Hyperlink"/>
            <w:rFonts w:hint="cs"/>
            <w:rtl/>
          </w:rPr>
          <w:t>ی</w:t>
        </w:r>
        <w:r w:rsidRPr="00660449">
          <w:rPr>
            <w:rStyle w:val="Hyperlink"/>
            <w:rtl/>
          </w:rPr>
          <w:t xml:space="preserve"> علم الأصول، الس</w:t>
        </w:r>
        <w:r w:rsidRPr="00660449">
          <w:rPr>
            <w:rStyle w:val="Hyperlink"/>
            <w:rFonts w:hint="cs"/>
            <w:rtl/>
          </w:rPr>
          <w:t>ی</w:t>
        </w:r>
        <w:r w:rsidRPr="00660449">
          <w:rPr>
            <w:rStyle w:val="Hyperlink"/>
            <w:rFonts w:hint="eastAsia"/>
            <w:rtl/>
          </w:rPr>
          <w:t>د</w:t>
        </w:r>
        <w:r w:rsidRPr="00660449">
          <w:rPr>
            <w:rStyle w:val="Hyperlink"/>
            <w:rtl/>
          </w:rPr>
          <w:t xml:space="preserve"> محمد باقر الصدر، ج7، ص13.</w:t>
        </w:r>
      </w:hyperlink>
    </w:p>
  </w:footnote>
  <w:footnote w:id="2">
    <w:p w:rsidR="00CF6F31" w:rsidRPr="00CF6F31" w:rsidRDefault="00CF6F31" w:rsidP="00CF6F31">
      <w:pPr>
        <w:pStyle w:val="FootnoteText"/>
        <w:jc w:val="both"/>
      </w:pPr>
      <w:r w:rsidRPr="00CF6F31">
        <w:rPr>
          <w:rStyle w:val="FootnoteReference"/>
          <w:vertAlign w:val="baseline"/>
        </w:rPr>
        <w:footnoteRef/>
      </w:r>
      <w:r w:rsidRPr="00CF6F31">
        <w:rPr>
          <w:rFonts w:hint="cs"/>
          <w:rtl/>
        </w:rPr>
        <w:t>.</w:t>
      </w:r>
      <w:r w:rsidR="00957932">
        <w:rPr>
          <w:rFonts w:hint="cs"/>
          <w:rtl/>
        </w:rPr>
        <w:t xml:space="preserve"> تناقض </w:t>
      </w:r>
      <w:r w:rsidR="00957932" w:rsidRPr="00CF6F31">
        <w:rPr>
          <w:rFonts w:hint="cs"/>
          <w:rtl/>
        </w:rPr>
        <w:t>مثل این که یکی از ادله دالّ بر وجوب</w:t>
      </w:r>
      <w:r w:rsidR="00957932">
        <w:rPr>
          <w:rFonts w:hint="cs"/>
          <w:rtl/>
        </w:rPr>
        <w:t xml:space="preserve"> باشد و دیگری دالّ بر عدم وجوب ؛ و تضاد</w:t>
      </w:r>
      <w:r w:rsidRPr="00CF6F31">
        <w:rPr>
          <w:rFonts w:hint="cs"/>
          <w:rtl/>
        </w:rPr>
        <w:t xml:space="preserve"> مانند تنافی دلیل دالّ ب</w:t>
      </w:r>
      <w:r w:rsidR="00824D08">
        <w:rPr>
          <w:rFonts w:hint="cs"/>
          <w:rtl/>
        </w:rPr>
        <w:t>ر وجوب با</w:t>
      </w:r>
      <w:r w:rsidRPr="00CF6F31">
        <w:rPr>
          <w:rFonts w:hint="cs"/>
          <w:rtl/>
        </w:rPr>
        <w:t xml:space="preserve"> دلیل دالّ بر استحباب .</w:t>
      </w:r>
    </w:p>
  </w:footnote>
  <w:footnote w:id="3">
    <w:p w:rsidR="00172008" w:rsidRPr="00B70327" w:rsidRDefault="00172008" w:rsidP="002767FA">
      <w:pPr>
        <w:pStyle w:val="FootnoteText"/>
        <w:jc w:val="both"/>
        <w:rPr>
          <w:rtl/>
        </w:rPr>
      </w:pPr>
      <w:r w:rsidRPr="00CF6F31">
        <w:rPr>
          <w:rStyle w:val="FootnoteReference"/>
          <w:vertAlign w:val="baseline"/>
        </w:rPr>
        <w:footnoteRef/>
      </w:r>
      <w:r w:rsidR="00C600D9">
        <w:rPr>
          <w:rFonts w:hint="cs"/>
          <w:rtl/>
        </w:rPr>
        <w:t xml:space="preserve">. </w:t>
      </w:r>
      <w:r w:rsidRPr="00CF6F31">
        <w:rPr>
          <w:rFonts w:hint="cs"/>
          <w:rtl/>
        </w:rPr>
        <w:t xml:space="preserve">« بأن علم بکذب أحدهما </w:t>
      </w:r>
      <w:r w:rsidR="00AF7E57">
        <w:rPr>
          <w:rFonts w:hint="cs"/>
          <w:rtl/>
        </w:rPr>
        <w:t xml:space="preserve">اجمالا مع عدم امتناع اجتماعهما اصلا </w:t>
      </w:r>
      <w:r w:rsidRPr="00CF6F31">
        <w:rPr>
          <w:rFonts w:hint="cs"/>
          <w:rtl/>
        </w:rPr>
        <w:t xml:space="preserve">» </w:t>
      </w:r>
      <w:r w:rsidR="00AF7E57">
        <w:rPr>
          <w:rFonts w:hint="cs"/>
          <w:rtl/>
        </w:rPr>
        <w:t xml:space="preserve">مانند تنافی دلیل دالّ بر وجوب نماز ظهر در روز جمعه و دلیل دالّ بر وجوب نماز جمعه در این زمان </w:t>
      </w:r>
      <w:r w:rsidR="002767FA">
        <w:rPr>
          <w:rFonts w:hint="cs"/>
          <w:rtl/>
        </w:rPr>
        <w:t>.</w:t>
      </w:r>
    </w:p>
  </w:footnote>
  <w:footnote w:id="4">
    <w:p w:rsidR="00172008" w:rsidRPr="00B54D69" w:rsidRDefault="00172008" w:rsidP="00172008">
      <w:pPr>
        <w:pStyle w:val="FootnoteText"/>
      </w:pPr>
      <w:r w:rsidRPr="00B54D69">
        <w:footnoteRef/>
      </w:r>
      <w:r>
        <w:rPr>
          <w:rFonts w:hint="cs"/>
          <w:rtl/>
        </w:rPr>
        <w:t xml:space="preserve">. </w:t>
      </w:r>
      <w:hyperlink r:id="rId2" w:history="1">
        <w:r w:rsidRPr="00B54D69">
          <w:rPr>
            <w:rStyle w:val="Hyperlink"/>
            <w:rtl/>
          </w:rPr>
          <w:t>کفا</w:t>
        </w:r>
        <w:r w:rsidRPr="00B54D69">
          <w:rPr>
            <w:rStyle w:val="Hyperlink"/>
            <w:rFonts w:hint="cs"/>
            <w:rtl/>
          </w:rPr>
          <w:t>ی</w:t>
        </w:r>
        <w:r w:rsidRPr="00B54D69">
          <w:rPr>
            <w:rStyle w:val="Hyperlink"/>
            <w:rFonts w:hint="eastAsia"/>
            <w:rtl/>
          </w:rPr>
          <w:t>ه</w:t>
        </w:r>
        <w:r w:rsidRPr="00B54D69">
          <w:rPr>
            <w:rStyle w:val="Hyperlink"/>
            <w:rtl/>
          </w:rPr>
          <w:t xml:space="preserve"> الاصول، آخوند خراسان</w:t>
        </w:r>
        <w:r w:rsidRPr="00B54D69">
          <w:rPr>
            <w:rStyle w:val="Hyperlink"/>
            <w:rFonts w:hint="cs"/>
            <w:rtl/>
          </w:rPr>
          <w:t>ی</w:t>
        </w:r>
        <w:r w:rsidRPr="00B54D69">
          <w:rPr>
            <w:rStyle w:val="Hyperlink"/>
            <w:rFonts w:hint="eastAsia"/>
            <w:rtl/>
          </w:rPr>
          <w:t>،</w:t>
        </w:r>
        <w:r w:rsidRPr="00B54D69">
          <w:rPr>
            <w:rStyle w:val="Hyperlink"/>
            <w:rtl/>
          </w:rPr>
          <w:t xml:space="preserve"> ج1، ص437</w:t>
        </w:r>
        <w:r w:rsidRPr="00B54D69">
          <w:rPr>
            <w:rStyle w:val="Hyperlink"/>
          </w:rPr>
          <w:t>.</w:t>
        </w:r>
      </w:hyperlink>
    </w:p>
  </w:footnote>
  <w:footnote w:id="5">
    <w:p w:rsidR="001D5232" w:rsidRPr="0091450D" w:rsidRDefault="001D5232" w:rsidP="0091450D">
      <w:pPr>
        <w:pStyle w:val="FootnoteText"/>
        <w:spacing w:line="240" w:lineRule="auto"/>
        <w:jc w:val="both"/>
      </w:pPr>
      <w:r w:rsidRPr="002B3EC9">
        <w:rPr>
          <w:rStyle w:val="FootnoteReference"/>
          <w:vertAlign w:val="baseline"/>
        </w:rPr>
        <w:footnoteRef/>
      </w:r>
      <w:r w:rsidRPr="002B3EC9">
        <w:rPr>
          <w:rFonts w:hint="cs"/>
          <w:rtl/>
        </w:rPr>
        <w:t>.</w:t>
      </w:r>
      <w:r w:rsidR="00FD789A">
        <w:rPr>
          <w:rFonts w:hint="cs"/>
          <w:rtl/>
        </w:rPr>
        <w:t xml:space="preserve"> ظاهرا «</w:t>
      </w:r>
      <w:r w:rsidRPr="0091450D">
        <w:rPr>
          <w:rFonts w:hint="cs"/>
          <w:rtl/>
        </w:rPr>
        <w:t>توفی</w:t>
      </w:r>
      <w:r w:rsidR="00FD789A">
        <w:rPr>
          <w:rFonts w:hint="cs"/>
          <w:rtl/>
        </w:rPr>
        <w:t>ق عرفی» از ابتکارات ایشان</w:t>
      </w:r>
      <w:r w:rsidRPr="0091450D">
        <w:rPr>
          <w:rFonts w:hint="cs"/>
          <w:rtl/>
        </w:rPr>
        <w:t xml:space="preserve"> است که در موارد متعدّدی از کفایه مورد تو</w:t>
      </w:r>
      <w:r w:rsidR="00FD789A">
        <w:rPr>
          <w:rFonts w:hint="cs"/>
          <w:rtl/>
        </w:rPr>
        <w:t xml:space="preserve">جه قرار داده اند،مانند </w:t>
      </w:r>
      <w:r w:rsidR="002B3EC9" w:rsidRPr="0091450D">
        <w:rPr>
          <w:rFonts w:hint="cs"/>
          <w:rtl/>
        </w:rPr>
        <w:t xml:space="preserve">قاعده </w:t>
      </w:r>
      <w:r w:rsidR="00FD789A">
        <w:rPr>
          <w:rFonts w:hint="cs"/>
          <w:rtl/>
        </w:rPr>
        <w:t xml:space="preserve">« لا ضرر » </w:t>
      </w:r>
      <w:r w:rsidR="00FD789A" w:rsidRPr="00FD789A">
        <w:rPr>
          <w:rtl/>
        </w:rPr>
        <w:t xml:space="preserve"> </w:t>
      </w:r>
      <w:hyperlink r:id="rId3" w:history="1">
        <w:r w:rsidR="00FD789A" w:rsidRPr="00FD789A">
          <w:rPr>
            <w:rStyle w:val="Hyperlink"/>
            <w:rtl/>
          </w:rPr>
          <w:t>کفا</w:t>
        </w:r>
        <w:r w:rsidR="00FD789A" w:rsidRPr="00FD789A">
          <w:rPr>
            <w:rStyle w:val="Hyperlink"/>
            <w:rFonts w:hint="cs"/>
            <w:rtl/>
          </w:rPr>
          <w:t>ی</w:t>
        </w:r>
        <w:r w:rsidR="00FD789A" w:rsidRPr="00FD789A">
          <w:rPr>
            <w:rStyle w:val="Hyperlink"/>
            <w:rFonts w:hint="eastAsia"/>
            <w:rtl/>
          </w:rPr>
          <w:t>ه</w:t>
        </w:r>
        <w:r w:rsidR="00FD789A" w:rsidRPr="00FD789A">
          <w:rPr>
            <w:rStyle w:val="Hyperlink"/>
            <w:rtl/>
          </w:rPr>
          <w:t xml:space="preserve"> الاصول، آخوند خراسان</w:t>
        </w:r>
        <w:r w:rsidR="00FD789A" w:rsidRPr="00FD789A">
          <w:rPr>
            <w:rStyle w:val="Hyperlink"/>
            <w:rFonts w:hint="cs"/>
            <w:rtl/>
          </w:rPr>
          <w:t>ی</w:t>
        </w:r>
        <w:r w:rsidR="00FD789A" w:rsidRPr="00FD789A">
          <w:rPr>
            <w:rStyle w:val="Hyperlink"/>
            <w:rFonts w:hint="eastAsia"/>
            <w:rtl/>
          </w:rPr>
          <w:t>،</w:t>
        </w:r>
        <w:r w:rsidR="00FD789A" w:rsidRPr="00FD789A">
          <w:rPr>
            <w:rStyle w:val="Hyperlink"/>
            <w:rtl/>
          </w:rPr>
          <w:t xml:space="preserve"> ج3، ص382.</w:t>
        </w:r>
      </w:hyperlink>
    </w:p>
  </w:footnote>
  <w:footnote w:id="6">
    <w:p w:rsidR="003F19A8" w:rsidRPr="007C3A6C" w:rsidRDefault="003F19A8" w:rsidP="0091450D">
      <w:pPr>
        <w:pStyle w:val="NormalWeb"/>
        <w:bidi/>
        <w:spacing w:before="0" w:beforeAutospacing="0" w:after="0" w:afterAutospacing="0"/>
        <w:jc w:val="both"/>
        <w:rPr>
          <w:rFonts w:cs="B Badr"/>
          <w:sz w:val="20"/>
          <w:szCs w:val="20"/>
          <w:rtl/>
        </w:rPr>
      </w:pPr>
      <w:r w:rsidRPr="007C3A6C">
        <w:rPr>
          <w:rStyle w:val="FootnoteReference"/>
          <w:rFonts w:cs="B Badr"/>
          <w:sz w:val="20"/>
          <w:szCs w:val="20"/>
          <w:vertAlign w:val="baseline"/>
        </w:rPr>
        <w:footnoteRef/>
      </w:r>
      <w:r w:rsidRPr="007C3A6C">
        <w:rPr>
          <w:rFonts w:cs="B Badr" w:hint="cs"/>
          <w:sz w:val="20"/>
          <w:szCs w:val="20"/>
          <w:rtl/>
        </w:rPr>
        <w:t xml:space="preserve">. مرحوم </w:t>
      </w:r>
      <w:r w:rsidR="00B35838">
        <w:rPr>
          <w:rFonts w:cs="B Badr" w:hint="cs"/>
          <w:sz w:val="20"/>
          <w:szCs w:val="20"/>
          <w:rtl/>
        </w:rPr>
        <w:t>آخوند</w:t>
      </w:r>
      <w:r w:rsidRPr="007C3A6C">
        <w:rPr>
          <w:rFonts w:cs="B Badr" w:hint="cs"/>
          <w:sz w:val="20"/>
          <w:szCs w:val="20"/>
          <w:rtl/>
        </w:rPr>
        <w:t xml:space="preserve"> بحث « ورود » را </w:t>
      </w:r>
      <w:r w:rsidR="002F3262" w:rsidRPr="007C3A6C">
        <w:rPr>
          <w:rFonts w:cs="B Badr" w:hint="cs"/>
          <w:sz w:val="20"/>
          <w:szCs w:val="20"/>
          <w:rtl/>
        </w:rPr>
        <w:t xml:space="preserve">در کفایه </w:t>
      </w:r>
      <w:r w:rsidRPr="007C3A6C">
        <w:rPr>
          <w:rFonts w:cs="B Badr" w:hint="cs"/>
          <w:sz w:val="20"/>
          <w:szCs w:val="20"/>
          <w:rtl/>
        </w:rPr>
        <w:t>مطرح نکرد</w:t>
      </w:r>
      <w:r w:rsidR="003569F7" w:rsidRPr="007C3A6C">
        <w:rPr>
          <w:rFonts w:cs="B Badr" w:hint="cs"/>
          <w:sz w:val="20"/>
          <w:szCs w:val="20"/>
          <w:rtl/>
        </w:rPr>
        <w:t xml:space="preserve">ه اند زیرا </w:t>
      </w:r>
      <w:r w:rsidRPr="007C3A6C">
        <w:rPr>
          <w:rFonts w:cs="B Badr" w:hint="cs"/>
          <w:sz w:val="20"/>
          <w:szCs w:val="20"/>
          <w:rtl/>
        </w:rPr>
        <w:t xml:space="preserve">تنافی میان وارد و مورود </w:t>
      </w:r>
      <w:r w:rsidR="00B35838">
        <w:rPr>
          <w:rFonts w:cs="B Badr" w:hint="cs"/>
          <w:sz w:val="20"/>
          <w:szCs w:val="20"/>
          <w:rtl/>
        </w:rPr>
        <w:t>حتی توهّم</w:t>
      </w:r>
      <w:r w:rsidRPr="007C3A6C">
        <w:rPr>
          <w:rFonts w:cs="B Badr" w:hint="cs"/>
          <w:sz w:val="20"/>
          <w:szCs w:val="20"/>
          <w:rtl/>
        </w:rPr>
        <w:t xml:space="preserve"> نمی شود</w:t>
      </w:r>
      <w:r w:rsidR="00457265">
        <w:rPr>
          <w:rFonts w:cs="B Badr" w:hint="cs"/>
          <w:sz w:val="20"/>
          <w:szCs w:val="20"/>
          <w:rtl/>
        </w:rPr>
        <w:t xml:space="preserve"> زیرا حقیقتا وحدت موضوعی وجود ندارد</w:t>
      </w:r>
      <w:r w:rsidRPr="007C3A6C">
        <w:rPr>
          <w:rFonts w:cs="B Badr" w:hint="cs"/>
          <w:sz w:val="20"/>
          <w:szCs w:val="20"/>
          <w:rtl/>
        </w:rPr>
        <w:t xml:space="preserve"> .</w:t>
      </w:r>
      <w:r w:rsidR="002F3262" w:rsidRPr="007C3A6C">
        <w:rPr>
          <w:rFonts w:cs="B Badr" w:hint="cs"/>
          <w:sz w:val="20"/>
          <w:szCs w:val="20"/>
          <w:rtl/>
        </w:rPr>
        <w:t xml:space="preserve"> هر چند</w:t>
      </w:r>
      <w:r w:rsidR="0091450D" w:rsidRPr="007C3A6C">
        <w:rPr>
          <w:rFonts w:cs="B Badr" w:hint="cs"/>
          <w:sz w:val="20"/>
          <w:szCs w:val="20"/>
          <w:rtl/>
        </w:rPr>
        <w:t xml:space="preserve"> در حاشیه رسائل اشاره</w:t>
      </w:r>
      <w:r w:rsidR="006466A7" w:rsidRPr="007C3A6C">
        <w:rPr>
          <w:rFonts w:cs="B Badr" w:hint="cs"/>
          <w:sz w:val="20"/>
          <w:szCs w:val="20"/>
          <w:rtl/>
        </w:rPr>
        <w:t xml:space="preserve"> ای به بحث ورود داشت</w:t>
      </w:r>
      <w:r w:rsidR="0091450D" w:rsidRPr="007C3A6C">
        <w:rPr>
          <w:rFonts w:cs="B Badr" w:hint="cs"/>
          <w:sz w:val="20"/>
          <w:szCs w:val="20"/>
          <w:rtl/>
        </w:rPr>
        <w:t xml:space="preserve">ه اند </w:t>
      </w:r>
      <w:r w:rsidR="00452C28" w:rsidRPr="007C3A6C">
        <w:rPr>
          <w:rFonts w:cs="B Badr" w:hint="cs"/>
          <w:sz w:val="20"/>
          <w:szCs w:val="20"/>
          <w:rtl/>
        </w:rPr>
        <w:t xml:space="preserve">: </w:t>
      </w:r>
      <w:r w:rsidR="0091450D" w:rsidRPr="007C3A6C">
        <w:rPr>
          <w:rFonts w:cs="B Badr" w:hint="cs"/>
          <w:sz w:val="20"/>
          <w:szCs w:val="20"/>
          <w:rtl/>
        </w:rPr>
        <w:t xml:space="preserve">« </w:t>
      </w:r>
      <w:r w:rsidR="0091450D" w:rsidRPr="007C3A6C">
        <w:rPr>
          <w:rFonts w:ascii="Traditional Arabic" w:hAnsi="Traditional Arabic" w:cs="B Badr" w:hint="cs"/>
          <w:color w:val="000000"/>
          <w:sz w:val="20"/>
          <w:szCs w:val="20"/>
          <w:rtl/>
        </w:rPr>
        <w:t xml:space="preserve">من المعلوم انّه لا تنافي عرفا بين الوارد و المورود و هو واضح‏ </w:t>
      </w:r>
      <w:r w:rsidR="0091450D" w:rsidRPr="007C3A6C">
        <w:rPr>
          <w:rFonts w:cs="B Badr" w:hint="cs"/>
          <w:sz w:val="20"/>
          <w:szCs w:val="20"/>
          <w:rtl/>
        </w:rPr>
        <w:t>»</w:t>
      </w:r>
      <w:r w:rsidR="007C3A6C" w:rsidRPr="007C3A6C">
        <w:rPr>
          <w:rFonts w:cs="B Badr" w:hint="cs"/>
          <w:sz w:val="20"/>
          <w:szCs w:val="20"/>
          <w:rtl/>
        </w:rPr>
        <w:t xml:space="preserve"> </w:t>
      </w:r>
      <w:r w:rsidR="007C3A6C" w:rsidRPr="007C3A6C">
        <w:rPr>
          <w:rFonts w:cs="B Badr"/>
          <w:sz w:val="20"/>
          <w:szCs w:val="20"/>
          <w:rtl/>
        </w:rPr>
        <w:t xml:space="preserve"> </w:t>
      </w:r>
      <w:hyperlink r:id="rId4" w:history="1">
        <w:r w:rsidR="007C3A6C" w:rsidRPr="007C3A6C">
          <w:rPr>
            <w:rStyle w:val="Hyperlink"/>
            <w:rFonts w:cs="B Badr"/>
            <w:sz w:val="20"/>
            <w:szCs w:val="20"/>
            <w:rtl/>
          </w:rPr>
          <w:t>درالفوائد ف</w:t>
        </w:r>
        <w:r w:rsidR="007C3A6C" w:rsidRPr="007C3A6C">
          <w:rPr>
            <w:rStyle w:val="Hyperlink"/>
            <w:rFonts w:cs="B Badr" w:hint="cs"/>
            <w:sz w:val="20"/>
            <w:szCs w:val="20"/>
            <w:rtl/>
          </w:rPr>
          <w:t>ی</w:t>
        </w:r>
        <w:r w:rsidR="007C3A6C" w:rsidRPr="007C3A6C">
          <w:rPr>
            <w:rStyle w:val="Hyperlink"/>
            <w:rFonts w:cs="B Badr"/>
            <w:sz w:val="20"/>
            <w:szCs w:val="20"/>
            <w:rtl/>
          </w:rPr>
          <w:t xml:space="preserve"> الحاش</w:t>
        </w:r>
        <w:r w:rsidR="007C3A6C" w:rsidRPr="007C3A6C">
          <w:rPr>
            <w:rStyle w:val="Hyperlink"/>
            <w:rFonts w:cs="B Badr" w:hint="cs"/>
            <w:sz w:val="20"/>
            <w:szCs w:val="20"/>
            <w:rtl/>
          </w:rPr>
          <w:t>ی</w:t>
        </w:r>
        <w:r w:rsidR="007C3A6C" w:rsidRPr="007C3A6C">
          <w:rPr>
            <w:rStyle w:val="Hyperlink"/>
            <w:rFonts w:cs="B Badr" w:hint="eastAsia"/>
            <w:sz w:val="20"/>
            <w:szCs w:val="20"/>
            <w:rtl/>
          </w:rPr>
          <w:t>ه</w:t>
        </w:r>
        <w:r w:rsidR="007C3A6C" w:rsidRPr="007C3A6C">
          <w:rPr>
            <w:rStyle w:val="Hyperlink"/>
            <w:rFonts w:cs="B Badr"/>
            <w:sz w:val="20"/>
            <w:szCs w:val="20"/>
            <w:rtl/>
          </w:rPr>
          <w:t xml:space="preserve"> عل</w:t>
        </w:r>
        <w:r w:rsidR="007C3A6C" w:rsidRPr="007C3A6C">
          <w:rPr>
            <w:rStyle w:val="Hyperlink"/>
            <w:rFonts w:cs="B Badr" w:hint="cs"/>
            <w:sz w:val="20"/>
            <w:szCs w:val="20"/>
            <w:rtl/>
          </w:rPr>
          <w:t>ی</w:t>
        </w:r>
        <w:r w:rsidR="007C3A6C" w:rsidRPr="007C3A6C">
          <w:rPr>
            <w:rStyle w:val="Hyperlink"/>
            <w:rFonts w:cs="B Badr"/>
            <w:sz w:val="20"/>
            <w:szCs w:val="20"/>
            <w:rtl/>
          </w:rPr>
          <w:t xml:space="preserve"> الفرائد، آخوند خراسان</w:t>
        </w:r>
        <w:r w:rsidR="007C3A6C" w:rsidRPr="007C3A6C">
          <w:rPr>
            <w:rStyle w:val="Hyperlink"/>
            <w:rFonts w:cs="B Badr" w:hint="cs"/>
            <w:sz w:val="20"/>
            <w:szCs w:val="20"/>
            <w:rtl/>
          </w:rPr>
          <w:t>ی</w:t>
        </w:r>
        <w:r w:rsidR="007C3A6C" w:rsidRPr="007C3A6C">
          <w:rPr>
            <w:rStyle w:val="Hyperlink"/>
            <w:rFonts w:cs="B Badr" w:hint="eastAsia"/>
            <w:sz w:val="20"/>
            <w:szCs w:val="20"/>
            <w:rtl/>
          </w:rPr>
          <w:t>،</w:t>
        </w:r>
        <w:r w:rsidR="007C3A6C" w:rsidRPr="007C3A6C">
          <w:rPr>
            <w:rStyle w:val="Hyperlink"/>
            <w:rFonts w:cs="B Badr"/>
            <w:sz w:val="20"/>
            <w:szCs w:val="20"/>
            <w:rtl/>
          </w:rPr>
          <w:t xml:space="preserve"> ج1، ص427.</w:t>
        </w:r>
      </w:hyperlink>
      <w:r w:rsidR="007C3A6C">
        <w:rPr>
          <w:rFonts w:cs="B Badr" w:hint="cs"/>
          <w:sz w:val="20"/>
          <w:szCs w:val="20"/>
          <w:rtl/>
        </w:rPr>
        <w:t xml:space="preserve"> </w:t>
      </w:r>
    </w:p>
  </w:footnote>
  <w:footnote w:id="7">
    <w:p w:rsidR="0007368E" w:rsidRPr="0007368E" w:rsidRDefault="0007368E" w:rsidP="0007368E">
      <w:pPr>
        <w:pStyle w:val="FootnoteText"/>
      </w:pPr>
      <w:r>
        <w:t>.</w:t>
      </w:r>
      <w:r w:rsidRPr="0007368E">
        <w:footnoteRef/>
      </w:r>
      <w:r w:rsidRPr="0007368E">
        <w:rPr>
          <w:rtl/>
        </w:rPr>
        <w:t xml:space="preserve"> </w:t>
      </w:r>
      <w:hyperlink r:id="rId5" w:history="1">
        <w:r w:rsidRPr="0007368E">
          <w:rPr>
            <w:rStyle w:val="Hyperlink"/>
            <w:rtl/>
          </w:rPr>
          <w:t>کفا</w:t>
        </w:r>
        <w:r w:rsidRPr="0007368E">
          <w:rPr>
            <w:rStyle w:val="Hyperlink"/>
            <w:rFonts w:hint="cs"/>
            <w:rtl/>
          </w:rPr>
          <w:t>ی</w:t>
        </w:r>
        <w:r w:rsidRPr="0007368E">
          <w:rPr>
            <w:rStyle w:val="Hyperlink"/>
            <w:rFonts w:hint="eastAsia"/>
            <w:rtl/>
          </w:rPr>
          <w:t>ه</w:t>
        </w:r>
        <w:r w:rsidRPr="0007368E">
          <w:rPr>
            <w:rStyle w:val="Hyperlink"/>
            <w:rtl/>
          </w:rPr>
          <w:t xml:space="preserve"> الاصول، آخوند خراسان</w:t>
        </w:r>
        <w:r w:rsidRPr="0007368E">
          <w:rPr>
            <w:rStyle w:val="Hyperlink"/>
            <w:rFonts w:hint="cs"/>
            <w:rtl/>
          </w:rPr>
          <w:t>ی</w:t>
        </w:r>
        <w:r w:rsidRPr="0007368E">
          <w:rPr>
            <w:rStyle w:val="Hyperlink"/>
            <w:rFonts w:hint="eastAsia"/>
            <w:rtl/>
          </w:rPr>
          <w:t>،</w:t>
        </w:r>
        <w:r w:rsidRPr="0007368E">
          <w:rPr>
            <w:rStyle w:val="Hyperlink"/>
            <w:rtl/>
          </w:rPr>
          <w:t xml:space="preserve"> ج1، ص437</w:t>
        </w:r>
        <w:r w:rsidRPr="0007368E">
          <w:rPr>
            <w:rStyle w:val="Hyperlink"/>
          </w:rPr>
          <w:t>.</w:t>
        </w:r>
      </w:hyperlink>
    </w:p>
  </w:footnote>
  <w:footnote w:id="8">
    <w:p w:rsidR="00894E9F" w:rsidRPr="006E6A5C" w:rsidRDefault="00894E9F" w:rsidP="0091450D">
      <w:pPr>
        <w:pStyle w:val="FootnoteText"/>
        <w:spacing w:line="240" w:lineRule="auto"/>
        <w:jc w:val="both"/>
      </w:pPr>
      <w:r w:rsidRPr="0091450D">
        <w:rPr>
          <w:rStyle w:val="FootnoteReference"/>
          <w:vertAlign w:val="baseline"/>
        </w:rPr>
        <w:footnoteRef/>
      </w:r>
      <w:r w:rsidRPr="0091450D">
        <w:rPr>
          <w:rFonts w:hint="cs"/>
          <w:rtl/>
        </w:rPr>
        <w:t>. که نتیجتا کشف خلا</w:t>
      </w:r>
      <w:r w:rsidR="006E6A5C" w:rsidRPr="0091450D">
        <w:rPr>
          <w:rFonts w:hint="cs"/>
          <w:rtl/>
        </w:rPr>
        <w:t>ف در آن ممکن است .</w:t>
      </w:r>
    </w:p>
  </w:footnote>
  <w:footnote w:id="9">
    <w:p w:rsidR="00366D44" w:rsidRPr="00366D44" w:rsidRDefault="00366D44" w:rsidP="00366D44">
      <w:pPr>
        <w:pStyle w:val="FootnoteText"/>
      </w:pPr>
      <w:r w:rsidRPr="00366D44">
        <w:footnoteRef/>
      </w:r>
      <w:r>
        <w:rPr>
          <w:rFonts w:hint="cs"/>
          <w:rtl/>
        </w:rPr>
        <w:t>.</w:t>
      </w:r>
      <w:r w:rsidRPr="00366D44">
        <w:rPr>
          <w:rtl/>
        </w:rPr>
        <w:t xml:space="preserve"> </w:t>
      </w:r>
      <w:hyperlink r:id="rId6" w:history="1">
        <w:r w:rsidRPr="00366D44">
          <w:rPr>
            <w:rStyle w:val="Hyperlink"/>
            <w:rtl/>
          </w:rPr>
          <w:t>درالفوائد ف</w:t>
        </w:r>
        <w:r w:rsidRPr="00366D44">
          <w:rPr>
            <w:rStyle w:val="Hyperlink"/>
            <w:rFonts w:hint="cs"/>
            <w:rtl/>
          </w:rPr>
          <w:t>ی</w:t>
        </w:r>
        <w:r w:rsidRPr="00366D44">
          <w:rPr>
            <w:rStyle w:val="Hyperlink"/>
            <w:rtl/>
          </w:rPr>
          <w:t xml:space="preserve"> الحاش</w:t>
        </w:r>
        <w:r w:rsidRPr="00366D44">
          <w:rPr>
            <w:rStyle w:val="Hyperlink"/>
            <w:rFonts w:hint="cs"/>
            <w:rtl/>
          </w:rPr>
          <w:t>ی</w:t>
        </w:r>
        <w:r w:rsidRPr="00366D44">
          <w:rPr>
            <w:rStyle w:val="Hyperlink"/>
            <w:rFonts w:hint="eastAsia"/>
            <w:rtl/>
          </w:rPr>
          <w:t>ه</w:t>
        </w:r>
        <w:r w:rsidRPr="00366D44">
          <w:rPr>
            <w:rStyle w:val="Hyperlink"/>
            <w:rtl/>
          </w:rPr>
          <w:t xml:space="preserve"> عل</w:t>
        </w:r>
        <w:r w:rsidRPr="00366D44">
          <w:rPr>
            <w:rStyle w:val="Hyperlink"/>
            <w:rFonts w:hint="cs"/>
            <w:rtl/>
          </w:rPr>
          <w:t>ی</w:t>
        </w:r>
        <w:r w:rsidRPr="00366D44">
          <w:rPr>
            <w:rStyle w:val="Hyperlink"/>
            <w:rtl/>
          </w:rPr>
          <w:t xml:space="preserve"> الفرائد، آخوند خراسان</w:t>
        </w:r>
        <w:r w:rsidRPr="00366D44">
          <w:rPr>
            <w:rStyle w:val="Hyperlink"/>
            <w:rFonts w:hint="cs"/>
            <w:rtl/>
          </w:rPr>
          <w:t>ی</w:t>
        </w:r>
        <w:r w:rsidRPr="00366D44">
          <w:rPr>
            <w:rStyle w:val="Hyperlink"/>
            <w:rFonts w:hint="eastAsia"/>
            <w:rtl/>
          </w:rPr>
          <w:t>،</w:t>
        </w:r>
        <w:r w:rsidRPr="00366D44">
          <w:rPr>
            <w:rStyle w:val="Hyperlink"/>
            <w:rtl/>
          </w:rPr>
          <w:t xml:space="preserve"> </w:t>
        </w:r>
        <w:bookmarkStart w:id="20" w:name="_GoBack"/>
        <w:bookmarkEnd w:id="20"/>
        <w:r w:rsidRPr="00366D44">
          <w:rPr>
            <w:rStyle w:val="Hyperlink"/>
            <w:rtl/>
          </w:rPr>
          <w:t>ج1، ص428</w:t>
        </w:r>
        <w:r w:rsidRPr="00366D44">
          <w:rPr>
            <w:rStyle w:val="Hyperlink"/>
          </w:rPr>
          <w:t>.</w:t>
        </w:r>
      </w:hyperlink>
    </w:p>
  </w:footnote>
  <w:footnote w:id="10">
    <w:p w:rsidR="00366D44" w:rsidRPr="00366D44" w:rsidRDefault="00366D44" w:rsidP="00366D44">
      <w:pPr>
        <w:pStyle w:val="FootnoteText"/>
      </w:pPr>
      <w:r w:rsidRPr="00366D44">
        <w:footnoteRef/>
      </w:r>
      <w:r>
        <w:rPr>
          <w:rFonts w:hint="cs"/>
          <w:rtl/>
        </w:rPr>
        <w:t>.</w:t>
      </w:r>
      <w:r w:rsidRPr="00366D44">
        <w:rPr>
          <w:rtl/>
        </w:rPr>
        <w:t xml:space="preserve"> </w:t>
      </w:r>
      <w:hyperlink r:id="rId7" w:history="1">
        <w:r w:rsidRPr="00366D44">
          <w:rPr>
            <w:rStyle w:val="Hyperlink"/>
            <w:rtl/>
          </w:rPr>
          <w:t>کفا</w:t>
        </w:r>
        <w:r w:rsidRPr="00366D44">
          <w:rPr>
            <w:rStyle w:val="Hyperlink"/>
            <w:rFonts w:hint="cs"/>
            <w:rtl/>
          </w:rPr>
          <w:t>ی</w:t>
        </w:r>
        <w:r w:rsidRPr="00366D44">
          <w:rPr>
            <w:rStyle w:val="Hyperlink"/>
            <w:rFonts w:hint="eastAsia"/>
            <w:rtl/>
          </w:rPr>
          <w:t>ه</w:t>
        </w:r>
        <w:r w:rsidRPr="00366D44">
          <w:rPr>
            <w:rStyle w:val="Hyperlink"/>
            <w:rtl/>
          </w:rPr>
          <w:t xml:space="preserve"> الاصول، آخوند خراسان</w:t>
        </w:r>
        <w:r w:rsidRPr="00366D44">
          <w:rPr>
            <w:rStyle w:val="Hyperlink"/>
            <w:rFonts w:hint="cs"/>
            <w:rtl/>
          </w:rPr>
          <w:t>ی</w:t>
        </w:r>
        <w:r w:rsidRPr="00366D44">
          <w:rPr>
            <w:rStyle w:val="Hyperlink"/>
            <w:rFonts w:hint="eastAsia"/>
            <w:rtl/>
          </w:rPr>
          <w:t>،</w:t>
        </w:r>
        <w:r w:rsidRPr="00366D44">
          <w:rPr>
            <w:rStyle w:val="Hyperlink"/>
            <w:rtl/>
          </w:rPr>
          <w:t xml:space="preserve"> ج1، ص437</w:t>
        </w:r>
        <w:r w:rsidRPr="00366D44">
          <w:rPr>
            <w:rStyle w:val="Hyperlink"/>
          </w:rPr>
          <w:t>.</w:t>
        </w:r>
      </w:hyperlink>
    </w:p>
  </w:footnote>
  <w:footnote w:id="11">
    <w:p w:rsidR="00E9393F" w:rsidRPr="00D541E8" w:rsidRDefault="00E9393F">
      <w:pPr>
        <w:pStyle w:val="FootnoteText"/>
        <w:rPr>
          <w:rFonts w:hint="cs"/>
        </w:rPr>
      </w:pPr>
      <w:r w:rsidRPr="00D541E8">
        <w:rPr>
          <w:rStyle w:val="FootnoteReference"/>
          <w:vertAlign w:val="baseline"/>
        </w:rPr>
        <w:footnoteRef/>
      </w:r>
      <w:r w:rsidRPr="00D541E8">
        <w:rPr>
          <w:rFonts w:hint="cs"/>
          <w:rtl/>
        </w:rPr>
        <w:t xml:space="preserve">. نهایه الدرایه ( طبع قدیم ) ، ج3 ، ص 18 . </w:t>
      </w:r>
    </w:p>
  </w:footnote>
  <w:footnote w:id="12">
    <w:p w:rsidR="003A0722" w:rsidRPr="003A0722" w:rsidRDefault="003A0722" w:rsidP="003A0722">
      <w:pPr>
        <w:pStyle w:val="a1"/>
        <w:jc w:val="both"/>
        <w:rPr>
          <w:rtl/>
        </w:rPr>
      </w:pPr>
      <w:r w:rsidRPr="003A0722">
        <w:rPr>
          <w:rStyle w:val="FootnoteReference"/>
          <w:vertAlign w:val="baseline"/>
        </w:rPr>
        <w:footnoteRef/>
      </w:r>
      <w:r w:rsidRPr="003A0722">
        <w:rPr>
          <w:rFonts w:hint="cs"/>
          <w:rtl/>
        </w:rPr>
        <w:t xml:space="preserve">. زیرا احکام چهار گانه دیگر </w:t>
      </w:r>
      <w:r w:rsidR="000332DF">
        <w:rPr>
          <w:rFonts w:hint="cs"/>
          <w:rtl/>
        </w:rPr>
        <w:t xml:space="preserve">یا </w:t>
      </w:r>
      <w:r w:rsidR="00225989">
        <w:rPr>
          <w:rFonts w:hint="cs"/>
          <w:rtl/>
        </w:rPr>
        <w:t>مناسب</w:t>
      </w:r>
      <w:r w:rsidR="00B14857">
        <w:rPr>
          <w:rFonts w:hint="cs"/>
          <w:rtl/>
        </w:rPr>
        <w:t>ت</w:t>
      </w:r>
      <w:r w:rsidRPr="003A0722">
        <w:rPr>
          <w:rFonts w:hint="cs"/>
          <w:rtl/>
        </w:rPr>
        <w:t xml:space="preserve"> با </w:t>
      </w:r>
      <w:r w:rsidR="00AD14FB">
        <w:rPr>
          <w:rFonts w:hint="cs"/>
          <w:rtl/>
        </w:rPr>
        <w:t xml:space="preserve">موضوع </w:t>
      </w:r>
      <w:r w:rsidR="000923FE">
        <w:rPr>
          <w:rFonts w:hint="cs"/>
          <w:rtl/>
        </w:rPr>
        <w:t xml:space="preserve">« </w:t>
      </w:r>
      <w:r w:rsidRPr="003A0722">
        <w:rPr>
          <w:rFonts w:hint="cs"/>
          <w:rtl/>
        </w:rPr>
        <w:t>ربا</w:t>
      </w:r>
      <w:r w:rsidR="000923FE">
        <w:rPr>
          <w:rFonts w:hint="cs"/>
          <w:rtl/>
        </w:rPr>
        <w:t xml:space="preserve"> »</w:t>
      </w:r>
      <w:r w:rsidRPr="003A0722">
        <w:rPr>
          <w:rFonts w:hint="cs"/>
          <w:rtl/>
        </w:rPr>
        <w:t xml:space="preserve"> ندارند </w:t>
      </w:r>
      <w:r w:rsidR="00D3173A">
        <w:rPr>
          <w:rFonts w:hint="cs"/>
          <w:rtl/>
        </w:rPr>
        <w:t xml:space="preserve">و یا با لسان « لا ربا » غیر متناسبند </w:t>
      </w:r>
      <w:r w:rsidRPr="003A0722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3" w:name="BokNum"/>
    <w:bookmarkEnd w:id="23"/>
    <w:r w:rsidR="007B29C5">
      <w:rPr>
        <w:b/>
        <w:bCs/>
        <w:sz w:val="20"/>
        <w:szCs w:val="24"/>
        <w:rtl/>
      </w:rPr>
      <w:t>001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4" w:name="Bokdars"/>
    <w:bookmarkEnd w:id="24"/>
    <w:r w:rsidR="007B29C5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5" w:name="Bokostad"/>
    <w:bookmarkEnd w:id="25"/>
    <w:r w:rsidR="007B29C5">
      <w:rPr>
        <w:b/>
        <w:bCs/>
        <w:color w:val="632423" w:themeColor="accent2" w:themeShade="80"/>
        <w:sz w:val="20"/>
        <w:szCs w:val="24"/>
        <w:rtl/>
      </w:rPr>
      <w:t>قائ</w:t>
    </w:r>
    <w:r w:rsidR="007B29C5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7B29C5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7B29C5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6" w:name="BokTarikh"/>
    <w:bookmarkEnd w:id="26"/>
    <w:r w:rsidR="007B29C5">
      <w:rPr>
        <w:sz w:val="24"/>
        <w:szCs w:val="24"/>
        <w:rtl/>
      </w:rPr>
      <w:t>3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7" w:name="BokSabj"/>
    <w:bookmarkEnd w:id="27"/>
    <w:r w:rsidR="007B29C5">
      <w:rPr>
        <w:color w:val="000000" w:themeColor="text1"/>
        <w:sz w:val="24"/>
        <w:szCs w:val="24"/>
        <w:rtl/>
      </w:rPr>
      <w:t>تعارض ادله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8" w:name="Bokmoqarer"/>
    <w:bookmarkEnd w:id="28"/>
    <w:r w:rsidR="007B29C5">
      <w:rPr>
        <w:sz w:val="24"/>
        <w:szCs w:val="24"/>
        <w:rtl/>
      </w:rPr>
      <w:t>عل</w:t>
    </w:r>
    <w:r w:rsidR="007B29C5">
      <w:rPr>
        <w:rFonts w:hint="cs"/>
        <w:sz w:val="24"/>
        <w:szCs w:val="24"/>
        <w:rtl/>
      </w:rPr>
      <w:t>ی</w:t>
    </w:r>
    <w:r w:rsidR="007B29C5">
      <w:rPr>
        <w:sz w:val="24"/>
        <w:szCs w:val="24"/>
        <w:rtl/>
      </w:rPr>
      <w:t xml:space="preserve"> بهادرزا</w:t>
    </w:r>
    <w:r w:rsidR="007B29C5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9" w:name="BokSabj2"/>
    <w:bookmarkEnd w:id="29"/>
    <w:r w:rsidR="007B29C5">
      <w:rPr>
        <w:sz w:val="24"/>
        <w:szCs w:val="24"/>
        <w:rtl/>
      </w:rPr>
      <w:t>تعر</w:t>
    </w:r>
    <w:r w:rsidR="007B29C5">
      <w:rPr>
        <w:rFonts w:hint="cs"/>
        <w:sz w:val="24"/>
        <w:szCs w:val="24"/>
        <w:rtl/>
      </w:rPr>
      <w:t>ی</w:t>
    </w:r>
    <w:r w:rsidR="007B29C5">
      <w:rPr>
        <w:rFonts w:hint="eastAsia"/>
        <w:sz w:val="24"/>
        <w:szCs w:val="24"/>
        <w:rtl/>
      </w:rPr>
      <w:t>ف</w:t>
    </w:r>
    <w:r w:rsidR="007B29C5">
      <w:rPr>
        <w:sz w:val="24"/>
        <w:szCs w:val="24"/>
        <w:rtl/>
      </w:rPr>
      <w:t xml:space="preserve"> تعارض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5BC4"/>
    <w:rsid w:val="00025777"/>
    <w:rsid w:val="00025B70"/>
    <w:rsid w:val="000332DF"/>
    <w:rsid w:val="000353D7"/>
    <w:rsid w:val="00055496"/>
    <w:rsid w:val="00061D1C"/>
    <w:rsid w:val="0007368E"/>
    <w:rsid w:val="00074333"/>
    <w:rsid w:val="00080A41"/>
    <w:rsid w:val="0008299B"/>
    <w:rsid w:val="0008574E"/>
    <w:rsid w:val="000913AA"/>
    <w:rsid w:val="000923FE"/>
    <w:rsid w:val="00094847"/>
    <w:rsid w:val="00096C63"/>
    <w:rsid w:val="000A3589"/>
    <w:rsid w:val="000B5DB5"/>
    <w:rsid w:val="000B72DB"/>
    <w:rsid w:val="000C3947"/>
    <w:rsid w:val="000C5C27"/>
    <w:rsid w:val="000C5F21"/>
    <w:rsid w:val="000C7598"/>
    <w:rsid w:val="000D0FE5"/>
    <w:rsid w:val="000D2A37"/>
    <w:rsid w:val="000D30E9"/>
    <w:rsid w:val="000D42F2"/>
    <w:rsid w:val="000D5B98"/>
    <w:rsid w:val="000D6818"/>
    <w:rsid w:val="000E335E"/>
    <w:rsid w:val="000F16CF"/>
    <w:rsid w:val="000F5BAC"/>
    <w:rsid w:val="00100EA0"/>
    <w:rsid w:val="00102585"/>
    <w:rsid w:val="00114AB7"/>
    <w:rsid w:val="00116B2B"/>
    <w:rsid w:val="00124E3D"/>
    <w:rsid w:val="00127E95"/>
    <w:rsid w:val="00130659"/>
    <w:rsid w:val="00132733"/>
    <w:rsid w:val="001347C7"/>
    <w:rsid w:val="00134DBA"/>
    <w:rsid w:val="001356B0"/>
    <w:rsid w:val="00151937"/>
    <w:rsid w:val="00163BEC"/>
    <w:rsid w:val="00172008"/>
    <w:rsid w:val="001771F3"/>
    <w:rsid w:val="00181844"/>
    <w:rsid w:val="001837E9"/>
    <w:rsid w:val="00187DFA"/>
    <w:rsid w:val="00197730"/>
    <w:rsid w:val="001A0F56"/>
    <w:rsid w:val="001A1BC1"/>
    <w:rsid w:val="001A1EA5"/>
    <w:rsid w:val="001A2574"/>
    <w:rsid w:val="001A27D7"/>
    <w:rsid w:val="001A294E"/>
    <w:rsid w:val="001A3531"/>
    <w:rsid w:val="001A4ED8"/>
    <w:rsid w:val="001B2488"/>
    <w:rsid w:val="001B4FF1"/>
    <w:rsid w:val="001B6799"/>
    <w:rsid w:val="001B7D25"/>
    <w:rsid w:val="001C1362"/>
    <w:rsid w:val="001D2E9A"/>
    <w:rsid w:val="001D5232"/>
    <w:rsid w:val="001D597F"/>
    <w:rsid w:val="001E3FD4"/>
    <w:rsid w:val="001F60A8"/>
    <w:rsid w:val="0020241A"/>
    <w:rsid w:val="00202AAA"/>
    <w:rsid w:val="00203821"/>
    <w:rsid w:val="00211632"/>
    <w:rsid w:val="0021630D"/>
    <w:rsid w:val="00225989"/>
    <w:rsid w:val="00234CE0"/>
    <w:rsid w:val="00237011"/>
    <w:rsid w:val="0024121B"/>
    <w:rsid w:val="00247D2F"/>
    <w:rsid w:val="00256560"/>
    <w:rsid w:val="002601C2"/>
    <w:rsid w:val="0027605E"/>
    <w:rsid w:val="002767FA"/>
    <w:rsid w:val="00281E00"/>
    <w:rsid w:val="00282E05"/>
    <w:rsid w:val="00294A52"/>
    <w:rsid w:val="002B3EC9"/>
    <w:rsid w:val="002B575F"/>
    <w:rsid w:val="002B729B"/>
    <w:rsid w:val="002C23B5"/>
    <w:rsid w:val="002C53A2"/>
    <w:rsid w:val="002D0040"/>
    <w:rsid w:val="002D2FA8"/>
    <w:rsid w:val="002E0375"/>
    <w:rsid w:val="002E220F"/>
    <w:rsid w:val="002F0BDC"/>
    <w:rsid w:val="002F3262"/>
    <w:rsid w:val="00301498"/>
    <w:rsid w:val="00307311"/>
    <w:rsid w:val="0032100F"/>
    <w:rsid w:val="0033402C"/>
    <w:rsid w:val="00340521"/>
    <w:rsid w:val="00345C73"/>
    <w:rsid w:val="00347D67"/>
    <w:rsid w:val="00354A99"/>
    <w:rsid w:val="003569F7"/>
    <w:rsid w:val="00360311"/>
    <w:rsid w:val="00361922"/>
    <w:rsid w:val="00366D44"/>
    <w:rsid w:val="0037093A"/>
    <w:rsid w:val="0037339B"/>
    <w:rsid w:val="00377BB1"/>
    <w:rsid w:val="00386C11"/>
    <w:rsid w:val="00397466"/>
    <w:rsid w:val="003A0722"/>
    <w:rsid w:val="003A4374"/>
    <w:rsid w:val="003A6148"/>
    <w:rsid w:val="003C33F6"/>
    <w:rsid w:val="003C3D2E"/>
    <w:rsid w:val="003C43A5"/>
    <w:rsid w:val="003D3C60"/>
    <w:rsid w:val="003E1C5C"/>
    <w:rsid w:val="003E27F8"/>
    <w:rsid w:val="003E4859"/>
    <w:rsid w:val="003E6650"/>
    <w:rsid w:val="003F19A8"/>
    <w:rsid w:val="003F3D7B"/>
    <w:rsid w:val="003F5B46"/>
    <w:rsid w:val="003F7C9B"/>
    <w:rsid w:val="00401363"/>
    <w:rsid w:val="00402E47"/>
    <w:rsid w:val="00425015"/>
    <w:rsid w:val="00430994"/>
    <w:rsid w:val="0043399E"/>
    <w:rsid w:val="00441B6D"/>
    <w:rsid w:val="00452C28"/>
    <w:rsid w:val="004556EF"/>
    <w:rsid w:val="00457265"/>
    <w:rsid w:val="0046270F"/>
    <w:rsid w:val="00462B07"/>
    <w:rsid w:val="00465BD2"/>
    <w:rsid w:val="004705C4"/>
    <w:rsid w:val="004715C8"/>
    <w:rsid w:val="00473C58"/>
    <w:rsid w:val="00480131"/>
    <w:rsid w:val="00481C31"/>
    <w:rsid w:val="00482FC1"/>
    <w:rsid w:val="00483027"/>
    <w:rsid w:val="004871AA"/>
    <w:rsid w:val="00490CB3"/>
    <w:rsid w:val="004918D7"/>
    <w:rsid w:val="004926E1"/>
    <w:rsid w:val="004A2FEA"/>
    <w:rsid w:val="004C2630"/>
    <w:rsid w:val="004C485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0592"/>
    <w:rsid w:val="005128DF"/>
    <w:rsid w:val="0051592A"/>
    <w:rsid w:val="005206FE"/>
    <w:rsid w:val="005257ED"/>
    <w:rsid w:val="005306F8"/>
    <w:rsid w:val="0054023D"/>
    <w:rsid w:val="005426BF"/>
    <w:rsid w:val="00544A89"/>
    <w:rsid w:val="0056213C"/>
    <w:rsid w:val="00580C24"/>
    <w:rsid w:val="005968EF"/>
    <w:rsid w:val="00596C1E"/>
    <w:rsid w:val="005A2E26"/>
    <w:rsid w:val="005B4CBF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3D4B"/>
    <w:rsid w:val="006162A2"/>
    <w:rsid w:val="006240DA"/>
    <w:rsid w:val="0063256E"/>
    <w:rsid w:val="00633F04"/>
    <w:rsid w:val="00635219"/>
    <w:rsid w:val="00635EC0"/>
    <w:rsid w:val="00640B58"/>
    <w:rsid w:val="00643931"/>
    <w:rsid w:val="006466A7"/>
    <w:rsid w:val="00651B02"/>
    <w:rsid w:val="00651B19"/>
    <w:rsid w:val="00660449"/>
    <w:rsid w:val="00660A29"/>
    <w:rsid w:val="0067380F"/>
    <w:rsid w:val="00684EA7"/>
    <w:rsid w:val="006879C5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E6A5C"/>
    <w:rsid w:val="006F026A"/>
    <w:rsid w:val="006F4020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46954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B29C5"/>
    <w:rsid w:val="007B6943"/>
    <w:rsid w:val="007C3A6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0790F"/>
    <w:rsid w:val="00816367"/>
    <w:rsid w:val="00816A0B"/>
    <w:rsid w:val="00824B22"/>
    <w:rsid w:val="00824D08"/>
    <w:rsid w:val="00830C53"/>
    <w:rsid w:val="00837FAA"/>
    <w:rsid w:val="00841F77"/>
    <w:rsid w:val="0085276D"/>
    <w:rsid w:val="00863390"/>
    <w:rsid w:val="0086385C"/>
    <w:rsid w:val="00871916"/>
    <w:rsid w:val="008743FE"/>
    <w:rsid w:val="00894E9F"/>
    <w:rsid w:val="008956DD"/>
    <w:rsid w:val="00895BA1"/>
    <w:rsid w:val="008A510E"/>
    <w:rsid w:val="008A522A"/>
    <w:rsid w:val="008B4464"/>
    <w:rsid w:val="008B750B"/>
    <w:rsid w:val="008C1AF0"/>
    <w:rsid w:val="008C3162"/>
    <w:rsid w:val="008D1836"/>
    <w:rsid w:val="008D1F14"/>
    <w:rsid w:val="008E3924"/>
    <w:rsid w:val="008F13F7"/>
    <w:rsid w:val="008F5B4D"/>
    <w:rsid w:val="008F5D60"/>
    <w:rsid w:val="00907425"/>
    <w:rsid w:val="0091450D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932"/>
    <w:rsid w:val="00957CAA"/>
    <w:rsid w:val="00967282"/>
    <w:rsid w:val="0096778A"/>
    <w:rsid w:val="00977656"/>
    <w:rsid w:val="009846A7"/>
    <w:rsid w:val="0098794D"/>
    <w:rsid w:val="0099497B"/>
    <w:rsid w:val="009A43BA"/>
    <w:rsid w:val="009A6F35"/>
    <w:rsid w:val="009B0D05"/>
    <w:rsid w:val="009B4CA6"/>
    <w:rsid w:val="009B79F8"/>
    <w:rsid w:val="009B7F04"/>
    <w:rsid w:val="009C66D5"/>
    <w:rsid w:val="009D13FD"/>
    <w:rsid w:val="009D266A"/>
    <w:rsid w:val="009E00AA"/>
    <w:rsid w:val="009E2E58"/>
    <w:rsid w:val="009F7E07"/>
    <w:rsid w:val="00A01522"/>
    <w:rsid w:val="00A06C0E"/>
    <w:rsid w:val="00A071CC"/>
    <w:rsid w:val="00A10A11"/>
    <w:rsid w:val="00A13C31"/>
    <w:rsid w:val="00A13C6A"/>
    <w:rsid w:val="00A17B09"/>
    <w:rsid w:val="00A441F4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D0831"/>
    <w:rsid w:val="00AD14FB"/>
    <w:rsid w:val="00AF3925"/>
    <w:rsid w:val="00AF7E57"/>
    <w:rsid w:val="00B1296B"/>
    <w:rsid w:val="00B14857"/>
    <w:rsid w:val="00B16A78"/>
    <w:rsid w:val="00B2292F"/>
    <w:rsid w:val="00B242DD"/>
    <w:rsid w:val="00B3377B"/>
    <w:rsid w:val="00B35838"/>
    <w:rsid w:val="00B43169"/>
    <w:rsid w:val="00B501A8"/>
    <w:rsid w:val="00B54D69"/>
    <w:rsid w:val="00B55AE4"/>
    <w:rsid w:val="00B70327"/>
    <w:rsid w:val="00B70B46"/>
    <w:rsid w:val="00B739B0"/>
    <w:rsid w:val="00B814A3"/>
    <w:rsid w:val="00B83FA4"/>
    <w:rsid w:val="00B96F38"/>
    <w:rsid w:val="00BA2C04"/>
    <w:rsid w:val="00BB6C9D"/>
    <w:rsid w:val="00BC50A4"/>
    <w:rsid w:val="00BC716B"/>
    <w:rsid w:val="00BD0E74"/>
    <w:rsid w:val="00BD5F8C"/>
    <w:rsid w:val="00BE29DD"/>
    <w:rsid w:val="00BE6F49"/>
    <w:rsid w:val="00BF3B33"/>
    <w:rsid w:val="00C066AF"/>
    <w:rsid w:val="00C10E06"/>
    <w:rsid w:val="00C13D77"/>
    <w:rsid w:val="00C145B8"/>
    <w:rsid w:val="00C2438F"/>
    <w:rsid w:val="00C31AF0"/>
    <w:rsid w:val="00C32A7E"/>
    <w:rsid w:val="00C34F28"/>
    <w:rsid w:val="00C368DF"/>
    <w:rsid w:val="00C43083"/>
    <w:rsid w:val="00C442C5"/>
    <w:rsid w:val="00C531A1"/>
    <w:rsid w:val="00C57B5C"/>
    <w:rsid w:val="00C57C7C"/>
    <w:rsid w:val="00C600D9"/>
    <w:rsid w:val="00C61049"/>
    <w:rsid w:val="00C63FFE"/>
    <w:rsid w:val="00C65E15"/>
    <w:rsid w:val="00C91EB6"/>
    <w:rsid w:val="00CA10B0"/>
    <w:rsid w:val="00CA2F8E"/>
    <w:rsid w:val="00CA3EE2"/>
    <w:rsid w:val="00CA7FD5"/>
    <w:rsid w:val="00CB3287"/>
    <w:rsid w:val="00CB33E2"/>
    <w:rsid w:val="00CB4E68"/>
    <w:rsid w:val="00CC1519"/>
    <w:rsid w:val="00CC2733"/>
    <w:rsid w:val="00CD0050"/>
    <w:rsid w:val="00CE7481"/>
    <w:rsid w:val="00CF0A8F"/>
    <w:rsid w:val="00CF4BF0"/>
    <w:rsid w:val="00CF6F31"/>
    <w:rsid w:val="00D048CE"/>
    <w:rsid w:val="00D10998"/>
    <w:rsid w:val="00D15CBD"/>
    <w:rsid w:val="00D221CB"/>
    <w:rsid w:val="00D23391"/>
    <w:rsid w:val="00D3173A"/>
    <w:rsid w:val="00D31805"/>
    <w:rsid w:val="00D4465E"/>
    <w:rsid w:val="00D47B04"/>
    <w:rsid w:val="00D541E8"/>
    <w:rsid w:val="00D552B9"/>
    <w:rsid w:val="00D71AB2"/>
    <w:rsid w:val="00D734D0"/>
    <w:rsid w:val="00D735B2"/>
    <w:rsid w:val="00D74021"/>
    <w:rsid w:val="00D7661E"/>
    <w:rsid w:val="00D76D01"/>
    <w:rsid w:val="00D922A9"/>
    <w:rsid w:val="00D93501"/>
    <w:rsid w:val="00D9394A"/>
    <w:rsid w:val="00DB0CBB"/>
    <w:rsid w:val="00DB67CC"/>
    <w:rsid w:val="00DC3783"/>
    <w:rsid w:val="00DD14AA"/>
    <w:rsid w:val="00DE1070"/>
    <w:rsid w:val="00DF25C4"/>
    <w:rsid w:val="00DF4911"/>
    <w:rsid w:val="00E00219"/>
    <w:rsid w:val="00E0316B"/>
    <w:rsid w:val="00E25E10"/>
    <w:rsid w:val="00E50B41"/>
    <w:rsid w:val="00E5219B"/>
    <w:rsid w:val="00E52D07"/>
    <w:rsid w:val="00E5518B"/>
    <w:rsid w:val="00E609FE"/>
    <w:rsid w:val="00E61CC9"/>
    <w:rsid w:val="00E630BE"/>
    <w:rsid w:val="00E632B4"/>
    <w:rsid w:val="00E70498"/>
    <w:rsid w:val="00E75920"/>
    <w:rsid w:val="00E80D96"/>
    <w:rsid w:val="00E8194C"/>
    <w:rsid w:val="00E871FA"/>
    <w:rsid w:val="00E936A4"/>
    <w:rsid w:val="00E9393F"/>
    <w:rsid w:val="00E954BB"/>
    <w:rsid w:val="00E9733F"/>
    <w:rsid w:val="00EA45E7"/>
    <w:rsid w:val="00EB178C"/>
    <w:rsid w:val="00EB65A3"/>
    <w:rsid w:val="00EB78E3"/>
    <w:rsid w:val="00EB7BE3"/>
    <w:rsid w:val="00EC1C4B"/>
    <w:rsid w:val="00EC735A"/>
    <w:rsid w:val="00ED5F38"/>
    <w:rsid w:val="00ED7BF6"/>
    <w:rsid w:val="00EE3CBE"/>
    <w:rsid w:val="00EF27FE"/>
    <w:rsid w:val="00F07FB6"/>
    <w:rsid w:val="00F149D0"/>
    <w:rsid w:val="00F16B53"/>
    <w:rsid w:val="00F235DB"/>
    <w:rsid w:val="00F25ECD"/>
    <w:rsid w:val="00F318BE"/>
    <w:rsid w:val="00F33297"/>
    <w:rsid w:val="00F336CC"/>
    <w:rsid w:val="00F343FB"/>
    <w:rsid w:val="00F35488"/>
    <w:rsid w:val="00F359FE"/>
    <w:rsid w:val="00F42159"/>
    <w:rsid w:val="00F4256E"/>
    <w:rsid w:val="00F42EE1"/>
    <w:rsid w:val="00F43E85"/>
    <w:rsid w:val="00F547F1"/>
    <w:rsid w:val="00F60F1F"/>
    <w:rsid w:val="00F64141"/>
    <w:rsid w:val="00F664E6"/>
    <w:rsid w:val="00F67508"/>
    <w:rsid w:val="00F71FC9"/>
    <w:rsid w:val="00F73B48"/>
    <w:rsid w:val="00F74F51"/>
    <w:rsid w:val="00F806AC"/>
    <w:rsid w:val="00F842AD"/>
    <w:rsid w:val="00F914EB"/>
    <w:rsid w:val="00F91573"/>
    <w:rsid w:val="00F91B85"/>
    <w:rsid w:val="00F938E7"/>
    <w:rsid w:val="00FA0316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D727C"/>
    <w:rsid w:val="00FD789A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34CE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234CE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4C263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3/382/" TargetMode="External"/><Relationship Id="rId7" Type="http://schemas.openxmlformats.org/officeDocument/2006/relationships/hyperlink" Target="http://lib.eshia.ir/27004/1/437/" TargetMode="External"/><Relationship Id="rId2" Type="http://schemas.openxmlformats.org/officeDocument/2006/relationships/hyperlink" Target="http://lib.eshia.ir/27004/1/437/" TargetMode="External"/><Relationship Id="rId1" Type="http://schemas.openxmlformats.org/officeDocument/2006/relationships/hyperlink" Target="http://lib.eshia.ir/13064/7/13/" TargetMode="External"/><Relationship Id="rId6" Type="http://schemas.openxmlformats.org/officeDocument/2006/relationships/hyperlink" Target="http://lib.eshia.ir/13097/1/428/" TargetMode="External"/><Relationship Id="rId5" Type="http://schemas.openxmlformats.org/officeDocument/2006/relationships/hyperlink" Target="http://lib.eshia.ir/27004/1/437/" TargetMode="External"/><Relationship Id="rId4" Type="http://schemas.openxmlformats.org/officeDocument/2006/relationships/hyperlink" Target="http://lib.eshia.ir/13097/1/427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31F5F-041C-413A-A359-A2F32E0F6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139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4191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153</cp:revision>
  <dcterms:created xsi:type="dcterms:W3CDTF">2018-11-07T11:08:00Z</dcterms:created>
  <dcterms:modified xsi:type="dcterms:W3CDTF">2018-11-07T13:45:00Z</dcterms:modified>
  <cp:contentStatus>ویرایش 2.5</cp:contentStatus>
  <cp:version>2.7</cp:version>
</cp:coreProperties>
</file>