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27BF" w:rsidRDefault="00E527BF" w:rsidP="00E527BF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fldChar w:fldCharType="begin"/>
      </w:r>
      <w:r>
        <w:instrText xml:space="preserve"> TOC \o "1-9" \h \z \u </w:instrText>
      </w:r>
      <w:r>
        <w:fldChar w:fldCharType="separate"/>
      </w:r>
      <w:hyperlink w:anchor="_Toc527713954" w:history="1">
        <w:r w:rsidRPr="00985078">
          <w:rPr>
            <w:rStyle w:val="Hyperlink"/>
            <w:noProof/>
            <w:rtl/>
          </w:rPr>
          <w:t>حق</w:t>
        </w:r>
        <w:r w:rsidRPr="00985078">
          <w:rPr>
            <w:rStyle w:val="Hyperlink"/>
            <w:rFonts w:hint="cs"/>
            <w:noProof/>
            <w:rtl/>
          </w:rPr>
          <w:t>ی</w:t>
        </w:r>
        <w:r w:rsidRPr="00985078">
          <w:rPr>
            <w:rStyle w:val="Hyperlink"/>
            <w:rFonts w:hint="eastAsia"/>
            <w:noProof/>
            <w:rtl/>
          </w:rPr>
          <w:t>قت</w:t>
        </w:r>
        <w:r w:rsidRPr="00985078">
          <w:rPr>
            <w:rStyle w:val="Hyperlink"/>
            <w:noProof/>
            <w:rtl/>
          </w:rPr>
          <w:t xml:space="preserve"> ورود : ساخت حق</w:t>
        </w:r>
        <w:r w:rsidRPr="00985078">
          <w:rPr>
            <w:rStyle w:val="Hyperlink"/>
            <w:rFonts w:hint="cs"/>
            <w:noProof/>
            <w:rtl/>
          </w:rPr>
          <w:t>ی</w:t>
        </w:r>
        <w:r w:rsidRPr="00985078">
          <w:rPr>
            <w:rStyle w:val="Hyperlink"/>
            <w:rFonts w:hint="eastAsia"/>
            <w:noProof/>
            <w:rtl/>
          </w:rPr>
          <w:t>قت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Toc527713954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E527BF" w:rsidRDefault="00E527BF" w:rsidP="00E527BF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7713955" w:history="1">
        <w:r w:rsidRPr="00985078">
          <w:rPr>
            <w:rStyle w:val="Hyperlink"/>
            <w:noProof/>
            <w:rtl/>
          </w:rPr>
          <w:t>تفاوت سنخ</w:t>
        </w:r>
        <w:r w:rsidRPr="00985078">
          <w:rPr>
            <w:rStyle w:val="Hyperlink"/>
            <w:rFonts w:hint="cs"/>
            <w:noProof/>
            <w:rtl/>
          </w:rPr>
          <w:t>ی</w:t>
        </w:r>
        <w:r w:rsidRPr="00985078">
          <w:rPr>
            <w:rStyle w:val="Hyperlink"/>
            <w:noProof/>
            <w:rtl/>
          </w:rPr>
          <w:t xml:space="preserve"> مورود و محکوم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Toc527713955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E527BF" w:rsidRDefault="00E527BF" w:rsidP="00E527BF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713956" w:history="1">
        <w:r w:rsidRPr="00985078">
          <w:rPr>
            <w:rStyle w:val="Hyperlink"/>
            <w:noProof/>
            <w:rtl/>
          </w:rPr>
          <w:t>احکام ورود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Toc527713956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E527BF" w:rsidP="00E527BF">
      <w: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155056">
        <w:rPr>
          <w:rtl/>
        </w:rPr>
        <w:t>ورود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155056">
        <w:rPr>
          <w:rtl/>
        </w:rPr>
        <w:t>تعارض غ</w:t>
      </w:r>
      <w:r w:rsidR="00155056">
        <w:rPr>
          <w:rFonts w:hint="cs"/>
          <w:rtl/>
        </w:rPr>
        <w:t>ی</w:t>
      </w:r>
      <w:r w:rsidR="00155056">
        <w:rPr>
          <w:rFonts w:hint="eastAsia"/>
          <w:rtl/>
        </w:rPr>
        <w:t>ر</w:t>
      </w:r>
      <w:r w:rsidR="00155056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155056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A42549" w:rsidP="00A42549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</w:t>
      </w:r>
      <w:r>
        <w:rPr>
          <w:rFonts w:hint="cs"/>
          <w:rtl/>
        </w:rPr>
        <w:t xml:space="preserve">بحث در ورود باید در سه ناحیه طرح می شد که دو مورد از آن ها ، یعنی بیان حقیقت ورود و ملاک تقدّم ورود ، محلّ بحث قرار گرفت </w:t>
      </w:r>
      <w:r>
        <w:rPr>
          <w:rFonts w:hint="cs"/>
          <w:rtl/>
        </w:rPr>
        <w:t>و</w:t>
      </w:r>
      <w:r>
        <w:rPr>
          <w:rFonts w:hint="cs"/>
          <w:rtl/>
        </w:rPr>
        <w:t xml:space="preserve"> الان کلام پیرامون تحریر نقطه سوم است .</w:t>
      </w:r>
    </w:p>
    <w:p w:rsidR="00E527BF" w:rsidRPr="001A27D7" w:rsidRDefault="00E527BF" w:rsidP="00E527BF">
      <w:pPr>
        <w:pStyle w:val="Heading1"/>
        <w:rPr>
          <w:rtl/>
        </w:rPr>
      </w:pPr>
      <w:bookmarkStart w:id="3" w:name="_Toc527204371"/>
      <w:bookmarkStart w:id="4" w:name="_Toc527205330"/>
      <w:bookmarkStart w:id="5" w:name="_Toc527208302"/>
      <w:bookmarkStart w:id="6" w:name="_Toc527713954"/>
      <w:r>
        <w:rPr>
          <w:rFonts w:hint="cs"/>
          <w:rtl/>
        </w:rPr>
        <w:t>حقیقت ورود</w:t>
      </w:r>
      <w:bookmarkEnd w:id="3"/>
      <w:r>
        <w:rPr>
          <w:rFonts w:hint="cs"/>
          <w:rtl/>
        </w:rPr>
        <w:t xml:space="preserve"> : ساخت حقیقت</w:t>
      </w:r>
      <w:bookmarkEnd w:id="4"/>
      <w:bookmarkEnd w:id="5"/>
      <w:bookmarkEnd w:id="6"/>
    </w:p>
    <w:p w:rsidR="00E527BF" w:rsidRDefault="00E527BF" w:rsidP="00E527BF">
      <w:pPr>
        <w:jc w:val="both"/>
        <w:rPr>
          <w:rtl/>
        </w:rPr>
      </w:pPr>
      <w:r>
        <w:rPr>
          <w:rFonts w:hint="cs"/>
          <w:rtl/>
        </w:rPr>
        <w:t xml:space="preserve">   ورود آن است که دلیلی به واسطه تعبّد موضوع دلیل دیگر را حقیقتا منتفی کند ، که غالبی است ، و یا حقیقتا محقّق سازد ، که مصادیق کمتری دارد . با ارائه این تعریف روشن شد ورود به مانند حکومت هم کارکرد توسعه ای دارد و هم تضییقی . مثال جدیدی که می توان برای ورود توسعه ای ذکر کرد ورود ادله اعتبار امارات بر « </w:t>
      </w:r>
      <w:r w:rsidRPr="00E42F70">
        <w:rPr>
          <w:rFonts w:hint="cs"/>
          <w:color w:val="008000"/>
          <w:rtl/>
        </w:rPr>
        <w:t>إنّما أقضی بینکم بالبینات و الأیمان</w:t>
      </w:r>
      <w:r>
        <w:rPr>
          <w:rFonts w:hint="cs"/>
          <w:rtl/>
        </w:rPr>
        <w:t xml:space="preserve"> » است ، البته بنابر فهم مانند مرحوم خویی که مراد از «بیّنات» را مطلق حجت بدانیم «ما یتبیّن به الحق و یحتجّ به» نه بینّه اصطلاحی .</w:t>
      </w:r>
    </w:p>
    <w:p w:rsidR="00E527BF" w:rsidRDefault="00E527BF" w:rsidP="00E527BF">
      <w:pPr>
        <w:jc w:val="both"/>
        <w:rPr>
          <w:rtl/>
        </w:rPr>
      </w:pPr>
      <w:r>
        <w:rPr>
          <w:rFonts w:hint="cs"/>
          <w:rtl/>
        </w:rPr>
        <w:t xml:space="preserve">   ورود واقعیتی دارد که بر بعضی موارد توسعه ای هم صادق است و آن تصرفّ حقیقی دلیلی در موضوع دلیلی دیگر به واسطه تعبّد است ؛ یعنی دلیلی با وساطت تعبّد به نحو حیث تعلیلی ، نه تقییدی ، حقیقت سازی می کند . حال که این ویژگی تبیین شد نکته این است که انتفاء خصوصیتی ندارد ، مهم حقیقت سازی است حال این ساخته انتفاء حقیقتی باشد و یا پیدایش حقیقتی . همین مولفه محلّ افتراق آن از حکومت یا تخصیص می باشد ؛ زیرا که بعد از صدور حاکم یا مخصّص ، موضوع عامّ یا محکوم حقیقتا منتفی نیست ، البته در حکومت موضوع محکوم تعبّدا منتفی و یا ثابت است اما در تخصیص همین مقدار انتفاء هم وجود ندارد و موضوع هم در وعاء تکوین و هم در ظرف اعتبار باقی و ثابت است . </w:t>
      </w:r>
      <w:r>
        <w:rPr>
          <w:rStyle w:val="FootnoteReference"/>
          <w:rtl/>
        </w:rPr>
        <w:footnoteReference w:id="1"/>
      </w:r>
    </w:p>
    <w:p w:rsidR="00E527BF" w:rsidRDefault="00E527BF" w:rsidP="00E527BF">
      <w:pPr>
        <w:pStyle w:val="Heading6"/>
        <w:rPr>
          <w:rtl/>
        </w:rPr>
      </w:pPr>
      <w:bookmarkStart w:id="7" w:name="_Toc527205331"/>
      <w:bookmarkStart w:id="8" w:name="_Toc527208303"/>
      <w:bookmarkStart w:id="9" w:name="_Toc527713955"/>
      <w:r>
        <w:rPr>
          <w:rFonts w:hint="cs"/>
          <w:rtl/>
        </w:rPr>
        <w:t>تفاوت سنخی مورود و محکوم</w:t>
      </w:r>
      <w:bookmarkEnd w:id="7"/>
      <w:bookmarkEnd w:id="8"/>
      <w:bookmarkEnd w:id="9"/>
    </w:p>
    <w:p w:rsidR="00E527BF" w:rsidRDefault="00E527BF" w:rsidP="00E527BF">
      <w:pPr>
        <w:jc w:val="both"/>
        <w:rPr>
          <w:rtl/>
        </w:rPr>
      </w:pPr>
      <w:r>
        <w:rPr>
          <w:rFonts w:hint="cs"/>
          <w:rtl/>
        </w:rPr>
        <w:t xml:space="preserve">   چرایی آن هم به تفاوت سنخ مورود و محکوم باز می گردد،محکوم از امور تکوینی است که تعبّدباعث تصرّف حقیقی در آن نمی شود اما مورود از اموری است که تاب چنین فرآیندی را دارد و بعد از تعبّد ، تصرفّی حقیقی در مصادیق آن رخ می دهد .</w:t>
      </w:r>
    </w:p>
    <w:p w:rsidR="00E527BF" w:rsidRDefault="00E527BF" w:rsidP="00E527BF">
      <w:pPr>
        <w:pStyle w:val="Heading1"/>
        <w:rPr>
          <w:rtl/>
        </w:rPr>
      </w:pPr>
      <w:bookmarkStart w:id="10" w:name="_Toc527205332"/>
      <w:bookmarkStart w:id="11" w:name="_Toc527208304"/>
      <w:bookmarkStart w:id="12" w:name="_Toc527713956"/>
      <w:r>
        <w:rPr>
          <w:rFonts w:hint="cs"/>
          <w:rtl/>
        </w:rPr>
        <w:lastRenderedPageBreak/>
        <w:t>احکام ورود</w:t>
      </w:r>
      <w:bookmarkEnd w:id="10"/>
      <w:bookmarkEnd w:id="11"/>
      <w:bookmarkEnd w:id="12"/>
    </w:p>
    <w:p w:rsidR="00E527BF" w:rsidRDefault="00E527BF" w:rsidP="00E527BF">
      <w:pPr>
        <w:rPr>
          <w:rtl/>
        </w:rPr>
      </w:pPr>
      <w:r>
        <w:rPr>
          <w:rFonts w:hint="cs"/>
          <w:rtl/>
        </w:rPr>
        <w:t>مرحوم صدر در مقام شش اثر به عنوان احکام ورود ذکر کرده اند که باید مورد بررسی قرار گیرند .</w:t>
      </w:r>
    </w:p>
    <w:p w:rsidR="00E527BF" w:rsidRDefault="00E527BF" w:rsidP="00E527BF">
      <w:pPr>
        <w:rPr>
          <w:rtl/>
        </w:rPr>
      </w:pPr>
      <w:r>
        <w:rPr>
          <w:rFonts w:hint="cs"/>
          <w:rtl/>
        </w:rPr>
        <w:t>- اول آن که انفصال یا اتصال وارد مدخلیتی در تحقّق ورود ندارد .</w:t>
      </w:r>
    </w:p>
    <w:p w:rsidR="00E527BF" w:rsidRDefault="00E527BF" w:rsidP="00E527BF">
      <w:pPr>
        <w:jc w:val="both"/>
        <w:rPr>
          <w:rtl/>
        </w:rPr>
      </w:pPr>
      <w:r>
        <w:rPr>
          <w:rFonts w:hint="cs"/>
          <w:rtl/>
        </w:rPr>
        <w:t>- دوم آن که قوت یا ضعف دلالت وارد موثّر در تحقّق ورود نیست ؛ زیرا ملاک تقدّم وارد بر مورود عدم تنافی آن دو است . در مانند حکومت تضییقی چون حقیقتا موضوعی منتفی نمی شود ، تنافی فی الجمله وجود دارد که با شارحیت رفع می شود اما در ورود به صرف تعبّد موضوع حقیقتا منتفی و تنافی رفع می شود . تنافی فرع بر وحدت موضوع است و در ورود این مولفه ثابت نیست ، همانگونه که در تخصّص وجود ندارد . حال که واضح شد تنها ملاک تقدّم وارد بر مورود « انتفاء حقیقی موضوع » است ، روشن شد قدرت دلالت سهیم در تقدیم نیست .</w:t>
      </w:r>
      <w:r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دلیل اعتبار خبر ثقه </w:t>
      </w:r>
      <w:r>
        <w:rPr>
          <w:rFonts w:ascii="Times New Roman" w:hAnsi="Times New Roman" w:cs="Times New Roman" w:hint="cs"/>
          <w:color w:val="008000"/>
          <w:rtl/>
        </w:rPr>
        <w:t>﴿</w:t>
      </w:r>
      <w:r w:rsidRPr="0012332D">
        <w:rPr>
          <w:rFonts w:hint="cs"/>
          <w:color w:val="008000"/>
          <w:rtl/>
        </w:rPr>
        <w:t>إن جائَکَم فاسُقٌ بِنَبأٍ فَتَبَیَّنُوا</w:t>
      </w:r>
      <w:r w:rsidRPr="0012332D">
        <w:rPr>
          <w:rFonts w:ascii="Times New Roman" w:hAnsi="Times New Roman" w:cs="Times New Roman" w:hint="cs"/>
          <w:color w:val="008000"/>
          <w:rtl/>
        </w:rPr>
        <w:t>﴾</w:t>
      </w:r>
      <w:r>
        <w:rPr>
          <w:rFonts w:hint="cs"/>
          <w:rtl/>
        </w:rPr>
        <w:t xml:space="preserve"> </w:t>
      </w:r>
      <w:r>
        <w:rPr>
          <w:rStyle w:val="FootnoteReference"/>
          <w:rtl/>
        </w:rPr>
        <w:footnoteReference w:id="3"/>
      </w:r>
      <w:r>
        <w:rPr>
          <w:rFonts w:hint="cs"/>
          <w:rtl/>
        </w:rPr>
        <w:t>با اطلاق مفهومِ مخالف خود ، خبر ثقه مخالف با مشهور را هم در بر می گیرد و بر عموم « ما کنّا معذبّین » که معادل مفاد قبح عقاب بلابیان است ،  وارد می باشد .</w:t>
      </w:r>
    </w:p>
    <w:p w:rsidR="00E527BF" w:rsidRDefault="00E527BF" w:rsidP="00E527BF">
      <w:pPr>
        <w:jc w:val="both"/>
        <w:rPr>
          <w:rtl/>
        </w:rPr>
      </w:pPr>
      <w:r>
        <w:rPr>
          <w:rFonts w:hint="cs"/>
          <w:rtl/>
        </w:rPr>
        <w:t>- سوم آن که تنها ملاک در ورود انتفاء حقیقی موضوع است ، دالّ بر آن قطعی باشد و یا ظنّی که معتبر است .</w:t>
      </w:r>
    </w:p>
    <w:p w:rsidR="00E527BF" w:rsidRDefault="00E527BF" w:rsidP="00E527BF">
      <w:pPr>
        <w:jc w:val="both"/>
        <w:rPr>
          <w:rtl/>
        </w:rPr>
      </w:pPr>
      <w:r>
        <w:rPr>
          <w:rFonts w:hint="cs"/>
          <w:rtl/>
        </w:rPr>
        <w:t>- چهارم آن که ورود متقوّم به نظارت نیست زیرا نکته تقدّم آن عدم تنافی است . دو اثر بر این مطلب مترتّب است :</w:t>
      </w:r>
    </w:p>
    <w:p w:rsidR="00E527BF" w:rsidRDefault="00E527BF" w:rsidP="00E527BF">
      <w:pPr>
        <w:jc w:val="both"/>
        <w:rPr>
          <w:rtl/>
        </w:rPr>
      </w:pPr>
      <w:r>
        <w:rPr>
          <w:rFonts w:hint="cs"/>
          <w:rtl/>
        </w:rPr>
        <w:t xml:space="preserve">1. بداهتا سبق یا لحوق مورود هیچ تفاوتی ندارد ، بر خلاف توهّمی که در مورد حکومت بعضی کرده بودند . حتّی ورود اقتضایی هم تصویر معقولی دارد و مواجه با مانعی نیست . </w:t>
      </w:r>
    </w:p>
    <w:p w:rsidR="00E527BF" w:rsidRDefault="00E527BF" w:rsidP="00E527BF">
      <w:pPr>
        <w:jc w:val="both"/>
        <w:rPr>
          <w:rtl/>
        </w:rPr>
      </w:pPr>
      <w:r>
        <w:rPr>
          <w:rFonts w:hint="cs"/>
          <w:rtl/>
        </w:rPr>
        <w:t xml:space="preserve">2. برای اثبات آثار متعدّد موضوع حکم مورود ، نیاز به اثبات اطلاق دلیل وارد نداریم ؛ زیرا با اصل حصول ورود ، موضوع دلیل دیگر حقیقتا منتفی یا اثبات می شود و آثار به مجرّد این انتفاء یا اثبات مترتّب یا نفی می شوند . بر خلاف حکومت که نفی یا اثبات آثار تابع اطلاق یا تقیید دلیل حاکم است ؛ از همین رو گفته اند اطلاق حاکم بر محکوم مقدّم است . </w:t>
      </w:r>
      <w:r>
        <w:rPr>
          <w:rStyle w:val="FootnoteReference"/>
          <w:rtl/>
        </w:rPr>
        <w:footnoteReference w:id="4"/>
      </w:r>
    </w:p>
    <w:p w:rsidR="001A1EA5" w:rsidRPr="006162A2" w:rsidRDefault="00E527BF" w:rsidP="00E527BF">
      <w:pPr>
        <w:jc w:val="both"/>
        <w:rPr>
          <w:rtl/>
        </w:rPr>
      </w:pPr>
      <w:r>
        <w:rPr>
          <w:rFonts w:hint="cs"/>
          <w:rtl/>
        </w:rPr>
        <w:t xml:space="preserve">   میان این احکام ، به نظر تنها حکم پایانی محلّ مناقشه است و ترتّب یا نفی احکامِ موضوع دلیل مورود تابع اطلاق یا تقیید دلیل وارد است ؛ زیرا هر چند موضوع حقیقتا بعد از ورود منتفی یا ثابت می شود ، اما این امر تابع مقدار ورود است . اگر دلیل بگوید خبر ثقه فقط در حیث تنجیز بیان است نه حیث تعذیر ، آیا می توان گفت تمام آثار بیان بر آن مترتّب است؟ هرگز! بنابراین برای رفع ید از حکم مورود یا اثبات آن حکم ، تابع دلیل وارد هستیم و در بیش از دلالت آن ورود محقّق نیست .</w:t>
      </w: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F8F" w:rsidRDefault="00C96F8F" w:rsidP="008B750B">
      <w:pPr>
        <w:spacing w:line="240" w:lineRule="auto"/>
      </w:pPr>
      <w:r>
        <w:separator/>
      </w:r>
    </w:p>
  </w:endnote>
  <w:endnote w:type="continuationSeparator" w:id="0">
    <w:p w:rsidR="00C96F8F" w:rsidRDefault="00C96F8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</w:t>
          </w:r>
          <w:r w:rsidRPr="006D44C1">
            <w:rPr>
              <w:rFonts w:hint="cs"/>
              <w:color w:val="808080" w:themeColor="background1" w:themeShade="80"/>
              <w:rtl/>
            </w:rPr>
            <w:t>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527BF" w:rsidRPr="00E527BF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15505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1" w:name="BokAdres"/>
          <w:bookmarkEnd w:id="21"/>
          <w:r>
            <w:rPr>
              <w:color w:val="808080" w:themeColor="background1" w:themeShade="80"/>
            </w:rPr>
            <w:t>U1mq1_13970721-013_ab1_mfeb.ir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F8F" w:rsidRDefault="00C96F8F" w:rsidP="008B750B">
      <w:pPr>
        <w:spacing w:line="240" w:lineRule="auto"/>
      </w:pPr>
      <w:r>
        <w:separator/>
      </w:r>
    </w:p>
  </w:footnote>
  <w:footnote w:type="continuationSeparator" w:id="0">
    <w:p w:rsidR="00C96F8F" w:rsidRDefault="00C96F8F" w:rsidP="008B750B">
      <w:pPr>
        <w:spacing w:line="240" w:lineRule="auto"/>
      </w:pPr>
      <w:r>
        <w:continuationSeparator/>
      </w:r>
    </w:p>
  </w:footnote>
  <w:footnote w:id="1">
    <w:p w:rsidR="00E527BF" w:rsidRPr="002D3104" w:rsidRDefault="00E527BF" w:rsidP="00E527BF">
      <w:pPr>
        <w:pStyle w:val="FootnoteText"/>
        <w:jc w:val="both"/>
      </w:pPr>
      <w:r w:rsidRPr="002D3104">
        <w:rPr>
          <w:rStyle w:val="FootnoteReference"/>
          <w:vertAlign w:val="baseline"/>
        </w:rPr>
        <w:footnoteRef/>
      </w:r>
      <w:r w:rsidRPr="002D3104">
        <w:rPr>
          <w:rFonts w:hint="cs"/>
          <w:rtl/>
        </w:rPr>
        <w:t xml:space="preserve">. در جمع و توفیق عرفی هم </w:t>
      </w:r>
      <w:r>
        <w:rPr>
          <w:rFonts w:hint="cs"/>
          <w:rtl/>
        </w:rPr>
        <w:t xml:space="preserve">مانند این موارد ، </w:t>
      </w:r>
      <w:r w:rsidRPr="002D3104">
        <w:rPr>
          <w:rFonts w:hint="cs"/>
          <w:rtl/>
        </w:rPr>
        <w:t>واضح است که حقیقتا ثبوت یا انتفاء موضوعی شکل نمی گیرد و آن چه رخ می دهد در واقع بازگشت به تصرّف در حکم دارد .</w:t>
      </w:r>
    </w:p>
  </w:footnote>
  <w:footnote w:id="2">
    <w:p w:rsidR="00E527BF" w:rsidRPr="002D3104" w:rsidRDefault="00E527BF" w:rsidP="00E527BF">
      <w:pPr>
        <w:pStyle w:val="FootnoteText"/>
        <w:jc w:val="both"/>
        <w:rPr>
          <w:rtl/>
        </w:rPr>
      </w:pPr>
      <w:r w:rsidRPr="002D3104">
        <w:rPr>
          <w:rStyle w:val="FootnoteReference"/>
          <w:vertAlign w:val="baseline"/>
        </w:rPr>
        <w:footnoteRef/>
      </w:r>
      <w:r w:rsidRPr="002D3104">
        <w:rPr>
          <w:rFonts w:hint="cs"/>
          <w:rtl/>
        </w:rPr>
        <w:t xml:space="preserve">. </w:t>
      </w:r>
      <w:r w:rsidRPr="002D3104">
        <w:rPr>
          <w:rFonts w:hint="cs"/>
          <w:rtl/>
        </w:rPr>
        <w:t>نه تنها قدرت دلالت بلکه هیچ یک از مناطات تقدیم در جمع عرفی و یا حکومت ، مانند نسبت سنجی یا شارحیت ، لازم نیست در مصادیق ورود محقّق باشند .</w:t>
      </w:r>
    </w:p>
  </w:footnote>
  <w:footnote w:id="3">
    <w:p w:rsidR="00E527BF" w:rsidRPr="00F66969" w:rsidRDefault="00E527BF" w:rsidP="00E527BF">
      <w:pPr>
        <w:pStyle w:val="FootnoteText"/>
      </w:pPr>
      <w:r w:rsidRPr="00F66969">
        <w:t>.</w:t>
      </w:r>
      <w:r w:rsidRPr="00F66969">
        <w:footnoteRef/>
      </w:r>
      <w:r w:rsidRPr="00F66969">
        <w:rPr>
          <w:rtl/>
        </w:rPr>
        <w:t xml:space="preserve"> </w:t>
      </w:r>
      <w:r w:rsidRPr="00F66969">
        <w:rPr>
          <w:rFonts w:hint="eastAsia"/>
          <w:rtl/>
        </w:rPr>
        <w:t>سوره</w:t>
      </w:r>
      <w:r w:rsidRPr="00F66969">
        <w:rPr>
          <w:rtl/>
        </w:rPr>
        <w:t xml:space="preserve"> حجرات، آيه 6.</w:t>
      </w:r>
    </w:p>
  </w:footnote>
  <w:footnote w:id="4">
    <w:p w:rsidR="00E527BF" w:rsidRPr="009F2F9F" w:rsidRDefault="00E527BF" w:rsidP="00E527BF">
      <w:pPr>
        <w:pStyle w:val="FootnoteText"/>
      </w:pPr>
      <w:r>
        <w:t>.</w:t>
      </w:r>
      <w:bookmarkStart w:id="13" w:name="_GoBack"/>
      <w:bookmarkEnd w:id="13"/>
      <w:r w:rsidRPr="009F2F9F">
        <w:footnoteRef/>
      </w:r>
      <w:r w:rsidRPr="009F2F9F">
        <w:rPr>
          <w:rtl/>
        </w:rPr>
        <w:t xml:space="preserve"> </w:t>
      </w:r>
      <w:hyperlink r:id="rId1" w:history="1">
        <w:r w:rsidRPr="009F2F9F">
          <w:rPr>
            <w:rStyle w:val="Hyperlink"/>
            <w:rtl/>
          </w:rPr>
          <w:t>بحوث ف</w:t>
        </w:r>
        <w:r w:rsidRPr="009F2F9F">
          <w:rPr>
            <w:rStyle w:val="Hyperlink"/>
            <w:rFonts w:hint="cs"/>
            <w:rtl/>
          </w:rPr>
          <w:t>ی</w:t>
        </w:r>
        <w:r w:rsidRPr="009F2F9F">
          <w:rPr>
            <w:rStyle w:val="Hyperlink"/>
            <w:rtl/>
          </w:rPr>
          <w:t xml:space="preserve"> علم الأصول، الس</w:t>
        </w:r>
        <w:r w:rsidRPr="009F2F9F">
          <w:rPr>
            <w:rStyle w:val="Hyperlink"/>
            <w:rFonts w:hint="cs"/>
            <w:rtl/>
          </w:rPr>
          <w:t>ی</w:t>
        </w:r>
        <w:r w:rsidRPr="009F2F9F">
          <w:rPr>
            <w:rStyle w:val="Hyperlink"/>
            <w:rFonts w:hint="eastAsia"/>
            <w:rtl/>
          </w:rPr>
          <w:t>د</w:t>
        </w:r>
        <w:r w:rsidRPr="009F2F9F">
          <w:rPr>
            <w:rStyle w:val="Hyperlink"/>
            <w:rtl/>
          </w:rPr>
          <w:t xml:space="preserve"> محمد باقر الصدر، ج7، ص58</w:t>
        </w:r>
        <w:r w:rsidRPr="009F2F9F">
          <w:rPr>
            <w:rStyle w:val="Hyperlink"/>
          </w:rPr>
          <w:t>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4" w:name="BokNum"/>
    <w:bookmarkEnd w:id="14"/>
    <w:r w:rsidR="00155056">
      <w:rPr>
        <w:b/>
        <w:bCs/>
        <w:sz w:val="20"/>
        <w:szCs w:val="24"/>
        <w:rtl/>
      </w:rPr>
      <w:t>013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5" w:name="Bokdars"/>
    <w:bookmarkEnd w:id="15"/>
    <w:r w:rsidR="00155056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6" w:name="Bokostad"/>
    <w:bookmarkEnd w:id="16"/>
    <w:r w:rsidR="00155056">
      <w:rPr>
        <w:b/>
        <w:bCs/>
        <w:color w:val="632423" w:themeColor="accent2" w:themeShade="80"/>
        <w:sz w:val="20"/>
        <w:szCs w:val="24"/>
        <w:rtl/>
      </w:rPr>
      <w:t>قائ</w:t>
    </w:r>
    <w:r w:rsidR="0015505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155056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15505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7" w:name="BokTarikh"/>
    <w:bookmarkEnd w:id="17"/>
    <w:r w:rsidR="00155056">
      <w:rPr>
        <w:sz w:val="24"/>
        <w:szCs w:val="24"/>
        <w:rtl/>
      </w:rPr>
      <w:t>21 /7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8" w:name="BokSabj"/>
    <w:bookmarkEnd w:id="18"/>
    <w:r w:rsidR="00155056">
      <w:rPr>
        <w:color w:val="000000" w:themeColor="text1"/>
        <w:sz w:val="24"/>
        <w:szCs w:val="24"/>
        <w:rtl/>
      </w:rPr>
      <w:t>تعارض غ</w:t>
    </w:r>
    <w:r w:rsidR="00155056">
      <w:rPr>
        <w:rFonts w:hint="cs"/>
        <w:color w:val="000000" w:themeColor="text1"/>
        <w:sz w:val="24"/>
        <w:szCs w:val="24"/>
        <w:rtl/>
      </w:rPr>
      <w:t>ی</w:t>
    </w:r>
    <w:r w:rsidR="00155056">
      <w:rPr>
        <w:rFonts w:hint="eastAsia"/>
        <w:color w:val="000000" w:themeColor="text1"/>
        <w:sz w:val="24"/>
        <w:szCs w:val="24"/>
        <w:rtl/>
      </w:rPr>
      <w:t>ر</w:t>
    </w:r>
    <w:r w:rsidR="00155056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9" w:name="Bokmoqarer"/>
    <w:bookmarkEnd w:id="19"/>
    <w:r w:rsidR="00155056">
      <w:rPr>
        <w:sz w:val="24"/>
        <w:szCs w:val="24"/>
        <w:rtl/>
      </w:rPr>
      <w:t>عل</w:t>
    </w:r>
    <w:r w:rsidR="00155056">
      <w:rPr>
        <w:rFonts w:hint="cs"/>
        <w:sz w:val="24"/>
        <w:szCs w:val="24"/>
        <w:rtl/>
      </w:rPr>
      <w:t>ی</w:t>
    </w:r>
    <w:r w:rsidR="00155056">
      <w:rPr>
        <w:sz w:val="24"/>
        <w:szCs w:val="24"/>
        <w:rtl/>
      </w:rPr>
      <w:t xml:space="preserve"> بهادرزا</w:t>
    </w:r>
    <w:r w:rsidR="00155056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0" w:name="BokSabj2"/>
    <w:bookmarkEnd w:id="20"/>
    <w:r w:rsidR="00155056">
      <w:rPr>
        <w:sz w:val="24"/>
        <w:szCs w:val="24"/>
        <w:rtl/>
      </w:rPr>
      <w:t>ورود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55056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254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96F8F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7BF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3064/7/58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8C461-850C-41CB-AE36-E53BE9C17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3917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4</cp:revision>
  <dcterms:created xsi:type="dcterms:W3CDTF">2018-10-19T08:32:00Z</dcterms:created>
  <dcterms:modified xsi:type="dcterms:W3CDTF">2018-10-19T08:34:00Z</dcterms:modified>
  <cp:contentStatus>ویرایش 2.5</cp:contentStatus>
  <cp:version>2.7</cp:version>
</cp:coreProperties>
</file>