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84EEA" w:rsidRDefault="00384EEA" w:rsidP="00384EEA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0519478" w:history="1">
        <w:r w:rsidRPr="00A41E41">
          <w:rPr>
            <w:rStyle w:val="Hyperlink"/>
            <w:noProof/>
            <w:rtl/>
          </w:rPr>
          <w:t>ورود امارات بر اصول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Toc530519478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4007DD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384EEA" w:rsidRDefault="004938A9" w:rsidP="00384EEA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0519479" w:history="1">
        <w:r w:rsidR="00384EEA" w:rsidRPr="00A41E41">
          <w:rPr>
            <w:rStyle w:val="Hyperlink"/>
            <w:noProof/>
            <w:rtl/>
          </w:rPr>
          <w:t>حکومت استصحاب بر سا</w:t>
        </w:r>
        <w:r w:rsidR="00384EEA" w:rsidRPr="00A41E41">
          <w:rPr>
            <w:rStyle w:val="Hyperlink"/>
            <w:rFonts w:hint="cs"/>
            <w:noProof/>
            <w:rtl/>
          </w:rPr>
          <w:t>ی</w:t>
        </w:r>
        <w:r w:rsidR="00384EEA" w:rsidRPr="00A41E41">
          <w:rPr>
            <w:rStyle w:val="Hyperlink"/>
            <w:rFonts w:hint="eastAsia"/>
            <w:noProof/>
            <w:rtl/>
          </w:rPr>
          <w:t>ر</w:t>
        </w:r>
        <w:r w:rsidR="00384EEA" w:rsidRPr="00A41E41">
          <w:rPr>
            <w:rStyle w:val="Hyperlink"/>
            <w:noProof/>
            <w:rtl/>
          </w:rPr>
          <w:t xml:space="preserve"> اصول</w:t>
        </w:r>
        <w:r w:rsidR="00384EEA">
          <w:rPr>
            <w:noProof/>
            <w:webHidden/>
            <w:rtl/>
          </w:rPr>
          <w:tab/>
        </w:r>
        <w:r w:rsidR="00384EEA">
          <w:rPr>
            <w:rStyle w:val="Hyperlink"/>
            <w:noProof/>
            <w:rtl/>
          </w:rPr>
          <w:fldChar w:fldCharType="begin"/>
        </w:r>
        <w:r w:rsidR="00384EEA">
          <w:rPr>
            <w:noProof/>
            <w:webHidden/>
            <w:rtl/>
          </w:rPr>
          <w:instrText xml:space="preserve"> </w:instrText>
        </w:r>
        <w:r w:rsidR="00384EEA">
          <w:rPr>
            <w:noProof/>
            <w:webHidden/>
          </w:rPr>
          <w:instrText>PAGEREF</w:instrText>
        </w:r>
        <w:r w:rsidR="00384EEA">
          <w:rPr>
            <w:noProof/>
            <w:webHidden/>
            <w:rtl/>
          </w:rPr>
          <w:instrText xml:space="preserve"> _</w:instrText>
        </w:r>
        <w:r w:rsidR="00384EEA">
          <w:rPr>
            <w:noProof/>
            <w:webHidden/>
          </w:rPr>
          <w:instrText>Toc530519479 \h</w:instrText>
        </w:r>
        <w:r w:rsidR="00384EEA">
          <w:rPr>
            <w:noProof/>
            <w:webHidden/>
            <w:rtl/>
          </w:rPr>
          <w:instrText xml:space="preserve"> </w:instrText>
        </w:r>
        <w:r w:rsidR="00384EEA">
          <w:rPr>
            <w:rStyle w:val="Hyperlink"/>
            <w:noProof/>
            <w:rtl/>
          </w:rPr>
        </w:r>
        <w:r w:rsidR="00384EEA">
          <w:rPr>
            <w:rStyle w:val="Hyperlink"/>
            <w:noProof/>
            <w:rtl/>
          </w:rPr>
          <w:fldChar w:fldCharType="separate"/>
        </w:r>
        <w:r w:rsidR="004007DD">
          <w:rPr>
            <w:noProof/>
            <w:webHidden/>
            <w:rtl/>
          </w:rPr>
          <w:t>2</w:t>
        </w:r>
        <w:r w:rsidR="00384EEA">
          <w:rPr>
            <w:rStyle w:val="Hyperlink"/>
            <w:noProof/>
            <w:rtl/>
          </w:rPr>
          <w:fldChar w:fldCharType="end"/>
        </w:r>
      </w:hyperlink>
    </w:p>
    <w:p w:rsidR="00F343FB" w:rsidRPr="00A6366F" w:rsidRDefault="00384EEA" w:rsidP="00D6739B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DC7A2C">
        <w:rPr>
          <w:rtl/>
        </w:rPr>
        <w:t>رابطه استصحاب و برائت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DC7A2C">
        <w:rPr>
          <w:rtl/>
        </w:rPr>
        <w:t>تطب</w:t>
      </w:r>
      <w:r w:rsidR="00DC7A2C">
        <w:rPr>
          <w:rFonts w:hint="cs"/>
          <w:rtl/>
        </w:rPr>
        <w:t>ی</w:t>
      </w:r>
      <w:r w:rsidR="00DC7A2C">
        <w:rPr>
          <w:rFonts w:hint="eastAsia"/>
          <w:rtl/>
        </w:rPr>
        <w:t>قات</w:t>
      </w:r>
      <w:r w:rsidR="00DC7A2C">
        <w:rPr>
          <w:rtl/>
        </w:rPr>
        <w:t xml:space="preserve"> تعارض غ</w:t>
      </w:r>
      <w:r w:rsidR="00DC7A2C">
        <w:rPr>
          <w:rFonts w:hint="cs"/>
          <w:rtl/>
        </w:rPr>
        <w:t>ی</w:t>
      </w:r>
      <w:r w:rsidR="00DC7A2C">
        <w:rPr>
          <w:rFonts w:hint="eastAsia"/>
          <w:rtl/>
        </w:rPr>
        <w:t>ر</w:t>
      </w:r>
      <w:r w:rsidR="00DC7A2C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DC7A2C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8F5B4D" w:rsidRDefault="00BF5248" w:rsidP="00292DFD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 </w:t>
      </w:r>
      <w:r w:rsidR="00FB3D7D">
        <w:rPr>
          <w:rFonts w:hint="cs"/>
          <w:rtl/>
        </w:rPr>
        <w:t>تقدّم استصحاب بر سایر اصول عملیه چند تقریب داشت ؛ یکی از آن ها ورودی بود که از کلام مرحوم آخوند ذکر کردیم</w:t>
      </w:r>
      <w:r w:rsidR="00025129">
        <w:rPr>
          <w:rStyle w:val="FootnoteReference"/>
          <w:rtl/>
        </w:rPr>
        <w:footnoteReference w:id="1"/>
      </w:r>
      <w:r w:rsidR="00893CAF">
        <w:rPr>
          <w:rFonts w:hint="cs"/>
          <w:rtl/>
        </w:rPr>
        <w:t xml:space="preserve"> </w:t>
      </w:r>
      <w:r w:rsidR="00025129">
        <w:rPr>
          <w:rFonts w:hint="cs"/>
          <w:rtl/>
        </w:rPr>
        <w:t>، دیگری</w:t>
      </w:r>
      <w:r w:rsidR="00CE589E">
        <w:rPr>
          <w:rFonts w:hint="cs"/>
          <w:rtl/>
        </w:rPr>
        <w:t xml:space="preserve"> </w:t>
      </w:r>
      <w:r w:rsidR="001D233B">
        <w:rPr>
          <w:rFonts w:hint="cs"/>
          <w:rtl/>
        </w:rPr>
        <w:t xml:space="preserve">حکومت بود که در کلام مرحوم شیخ آمده بود </w:t>
      </w:r>
      <w:r w:rsidR="00CC2C49">
        <w:rPr>
          <w:rFonts w:hint="cs"/>
          <w:rtl/>
        </w:rPr>
        <w:t>.</w:t>
      </w:r>
      <w:r w:rsidR="001D233B">
        <w:rPr>
          <w:rStyle w:val="FootnoteReference"/>
          <w:rtl/>
        </w:rPr>
        <w:footnoteReference w:id="2"/>
      </w:r>
      <w:r w:rsidR="00F173DD">
        <w:rPr>
          <w:rFonts w:hint="cs"/>
          <w:rtl/>
        </w:rPr>
        <w:t>منشا تفاوت  این دو تقریب هم در تعیین موضوع حدیث رفع بود که آیا « ما لا یعلمون » أعمّ از حکم ظاهری است یا اختصاص به حکم واقعی دارد ؟</w:t>
      </w:r>
      <w:r w:rsidR="00CD4E36">
        <w:rPr>
          <w:rFonts w:hint="cs"/>
          <w:rtl/>
        </w:rPr>
        <w:t xml:space="preserve"> تقریب سومی هم</w:t>
      </w:r>
      <w:r w:rsidR="00A267D2">
        <w:rPr>
          <w:rFonts w:hint="cs"/>
          <w:rtl/>
        </w:rPr>
        <w:t xml:space="preserve"> با استفاده</w:t>
      </w:r>
      <w:r w:rsidR="00CD4E36">
        <w:rPr>
          <w:rFonts w:hint="cs"/>
          <w:rtl/>
        </w:rPr>
        <w:t xml:space="preserve"> </w:t>
      </w:r>
      <w:r w:rsidR="00C941C3">
        <w:rPr>
          <w:rFonts w:hint="cs"/>
          <w:rtl/>
        </w:rPr>
        <w:t>از</w:t>
      </w:r>
      <w:r w:rsidR="00A267D2">
        <w:rPr>
          <w:rFonts w:hint="cs"/>
          <w:rtl/>
        </w:rPr>
        <w:t xml:space="preserve"> کلام مرحوم نایینی بیان کردیم که هیچ یک از بزرگان ذکر نکرده اند</w:t>
      </w:r>
      <w:r w:rsidR="0081446B">
        <w:rPr>
          <w:rStyle w:val="FootnoteReference"/>
          <w:rtl/>
        </w:rPr>
        <w:footnoteReference w:id="3"/>
      </w:r>
      <w:r w:rsidR="00041BAE" w:rsidRPr="00041BAE">
        <w:rPr>
          <w:rFonts w:hint="cs"/>
          <w:rtl/>
        </w:rPr>
        <w:t xml:space="preserve"> </w:t>
      </w:r>
      <w:r w:rsidR="00041BAE">
        <w:rPr>
          <w:rFonts w:hint="cs"/>
          <w:rtl/>
        </w:rPr>
        <w:t>نتیجه این تقریب</w:t>
      </w:r>
      <w:r w:rsidR="00292DFD">
        <w:rPr>
          <w:rFonts w:hint="cs"/>
          <w:rtl/>
        </w:rPr>
        <w:t xml:space="preserve"> </w:t>
      </w:r>
      <w:r w:rsidR="003E7595">
        <w:rPr>
          <w:rFonts w:hint="cs"/>
          <w:rtl/>
        </w:rPr>
        <w:t xml:space="preserve">هم </w:t>
      </w:r>
      <w:r w:rsidR="00292DFD">
        <w:rPr>
          <w:rFonts w:hint="cs"/>
          <w:rtl/>
        </w:rPr>
        <w:t>« حکومت » است و</w:t>
      </w:r>
      <w:r w:rsidR="00041BAE">
        <w:rPr>
          <w:rFonts w:hint="cs"/>
          <w:rtl/>
        </w:rPr>
        <w:t xml:space="preserve"> هم « ورود »</w:t>
      </w:r>
      <w:r w:rsidR="00292DFD">
        <w:rPr>
          <w:rFonts w:hint="cs"/>
          <w:rtl/>
        </w:rPr>
        <w:t xml:space="preserve"> </w:t>
      </w:r>
      <w:r w:rsidR="00041BAE">
        <w:rPr>
          <w:rFonts w:hint="cs"/>
          <w:rtl/>
        </w:rPr>
        <w:t>.</w:t>
      </w:r>
    </w:p>
    <w:p w:rsidR="00D85AF7" w:rsidRDefault="00D85AF7" w:rsidP="00D85AF7">
      <w:pPr>
        <w:pStyle w:val="Heading1"/>
        <w:rPr>
          <w:rtl/>
        </w:rPr>
      </w:pPr>
      <w:bookmarkStart w:id="4" w:name="_Toc530517842"/>
      <w:bookmarkStart w:id="5" w:name="_Toc530519478"/>
      <w:r>
        <w:rPr>
          <w:rFonts w:hint="cs"/>
          <w:rtl/>
        </w:rPr>
        <w:t>ورود امارات بر اصول</w:t>
      </w:r>
      <w:bookmarkEnd w:id="4"/>
      <w:bookmarkEnd w:id="5"/>
      <w:r w:rsidR="00C94722">
        <w:rPr>
          <w:rFonts w:hint="cs"/>
          <w:rtl/>
        </w:rPr>
        <w:t xml:space="preserve">   </w:t>
      </w:r>
    </w:p>
    <w:p w:rsidR="001A1EA5" w:rsidRDefault="006B6337" w:rsidP="00C743B2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0B1455">
        <w:rPr>
          <w:rFonts w:hint="cs"/>
          <w:rtl/>
        </w:rPr>
        <w:t xml:space="preserve">با این توضیح </w:t>
      </w:r>
      <w:r w:rsidR="00036F05">
        <w:rPr>
          <w:rFonts w:hint="cs"/>
          <w:rtl/>
        </w:rPr>
        <w:t xml:space="preserve">که امارات وارد بر اصول عملیه اند ؛ چون اماره یعنی حجیت به معنای کاشفیت </w:t>
      </w:r>
      <w:r w:rsidR="002B39FA">
        <w:rPr>
          <w:rFonts w:hint="cs"/>
          <w:rtl/>
        </w:rPr>
        <w:t>، یعنی تنزیل به منزله علم</w:t>
      </w:r>
      <w:r>
        <w:rPr>
          <w:rFonts w:hint="cs"/>
          <w:rtl/>
        </w:rPr>
        <w:t xml:space="preserve"> در </w:t>
      </w:r>
      <w:r w:rsidR="00922F1C">
        <w:rPr>
          <w:rFonts w:hint="cs"/>
          <w:rtl/>
        </w:rPr>
        <w:t>حکایت و کشف</w:t>
      </w:r>
      <w:r w:rsidR="00DD2584">
        <w:rPr>
          <w:rStyle w:val="FootnoteReference"/>
          <w:rtl/>
        </w:rPr>
        <w:footnoteReference w:id="4"/>
      </w:r>
      <w:r w:rsidR="00922F1C">
        <w:rPr>
          <w:rFonts w:hint="cs"/>
          <w:rtl/>
        </w:rPr>
        <w:t xml:space="preserve"> ، با این تفاوت که کشف علم تامّ و ذاتی است و کشف اماره ناقص و تعبّدی .</w:t>
      </w:r>
      <w:r w:rsidR="00481D8E">
        <w:rPr>
          <w:rStyle w:val="FootnoteReference"/>
          <w:rtl/>
        </w:rPr>
        <w:footnoteReference w:id="5"/>
      </w:r>
      <w:r w:rsidR="0021524F">
        <w:rPr>
          <w:rFonts w:hint="cs"/>
          <w:rtl/>
        </w:rPr>
        <w:t>واقعیت اصل هم تنزیل به منزله علم به جهت جری عملی است</w:t>
      </w:r>
      <w:r w:rsidR="00811CEE">
        <w:rPr>
          <w:rFonts w:hint="cs"/>
          <w:rtl/>
        </w:rPr>
        <w:t xml:space="preserve"> ، به لسان تنزیل بیان شود یا تعبّد مستقیم به جری عملی</w:t>
      </w:r>
      <w:r w:rsidR="0021524F">
        <w:rPr>
          <w:rFonts w:hint="cs"/>
          <w:rtl/>
        </w:rPr>
        <w:t xml:space="preserve"> .</w:t>
      </w:r>
      <w:r w:rsidR="002054E6">
        <w:rPr>
          <w:rFonts w:hint="cs"/>
          <w:rtl/>
        </w:rPr>
        <w:t xml:space="preserve"> </w:t>
      </w:r>
      <w:r w:rsidR="00E8266F">
        <w:rPr>
          <w:rFonts w:hint="cs"/>
          <w:rtl/>
        </w:rPr>
        <w:t xml:space="preserve">در این حال چون </w:t>
      </w:r>
      <w:r w:rsidR="007E393B">
        <w:rPr>
          <w:rFonts w:hint="cs"/>
          <w:rtl/>
        </w:rPr>
        <w:t>فرض آن</w:t>
      </w:r>
      <w:r w:rsidR="0042454E">
        <w:rPr>
          <w:rFonts w:hint="cs"/>
          <w:rtl/>
        </w:rPr>
        <w:t xml:space="preserve"> است که موضوع اصل عملی</w:t>
      </w:r>
      <w:r w:rsidR="002054E6">
        <w:rPr>
          <w:rFonts w:hint="cs"/>
          <w:rtl/>
        </w:rPr>
        <w:t xml:space="preserve"> </w:t>
      </w:r>
      <w:r w:rsidR="00DA062A">
        <w:rPr>
          <w:rFonts w:hint="cs"/>
          <w:rtl/>
        </w:rPr>
        <w:t xml:space="preserve">تحیّر و </w:t>
      </w:r>
      <w:r w:rsidR="002054E6">
        <w:rPr>
          <w:rFonts w:hint="cs"/>
          <w:rtl/>
        </w:rPr>
        <w:t>« عدم انکشاف</w:t>
      </w:r>
      <w:r w:rsidR="00E220E0">
        <w:rPr>
          <w:rFonts w:hint="cs"/>
          <w:rtl/>
        </w:rPr>
        <w:t xml:space="preserve"> واقع » است؛ چه به علم وجدانی یا به علم</w:t>
      </w:r>
      <w:r w:rsidR="002054E6">
        <w:rPr>
          <w:rFonts w:hint="cs"/>
          <w:rtl/>
        </w:rPr>
        <w:t xml:space="preserve"> تعبّدی</w:t>
      </w:r>
      <w:r w:rsidR="00B53676">
        <w:rPr>
          <w:rStyle w:val="FootnoteReference"/>
          <w:rtl/>
        </w:rPr>
        <w:footnoteReference w:id="6"/>
      </w:r>
      <w:r w:rsidR="00811CEE">
        <w:rPr>
          <w:rFonts w:hint="cs"/>
          <w:rtl/>
        </w:rPr>
        <w:t>،</w:t>
      </w:r>
      <w:r w:rsidR="00420940">
        <w:rPr>
          <w:rFonts w:hint="cs"/>
          <w:rtl/>
        </w:rPr>
        <w:t>بعد از قیام اماره حقیقتا موض</w:t>
      </w:r>
      <w:r w:rsidR="00071C7F">
        <w:rPr>
          <w:rFonts w:hint="cs"/>
          <w:rtl/>
        </w:rPr>
        <w:t>وع اصل منتفی می شود و این « ورود » است .</w:t>
      </w:r>
      <w:r w:rsidR="0095007D">
        <w:rPr>
          <w:rStyle w:val="FootnoteReference"/>
          <w:rtl/>
        </w:rPr>
        <w:footnoteReference w:id="7"/>
      </w:r>
      <w:r w:rsidR="00D57808">
        <w:rPr>
          <w:rFonts w:hint="cs"/>
          <w:rtl/>
        </w:rPr>
        <w:t xml:space="preserve"> مطابق این تقریر موضوع اصول « عدم علم حقیقی » است و علم حقیق</w:t>
      </w:r>
      <w:r w:rsidR="009342E4">
        <w:rPr>
          <w:rFonts w:hint="cs"/>
          <w:rtl/>
        </w:rPr>
        <w:t>ی</w:t>
      </w:r>
      <w:r w:rsidR="00D57808">
        <w:rPr>
          <w:rFonts w:hint="cs"/>
          <w:rtl/>
        </w:rPr>
        <w:t xml:space="preserve"> دو فرد دارد : علم وجدانی و علم تعبّدی ، هما</w:t>
      </w:r>
      <w:r w:rsidR="00F546AA">
        <w:rPr>
          <w:rFonts w:hint="cs"/>
          <w:rtl/>
        </w:rPr>
        <w:t>نگونه که مرحوم خویی فرموده اند و بعید نیست مراد مرحوم نایینی هم باشد .</w:t>
      </w:r>
      <w:r w:rsidR="002623D0">
        <w:rPr>
          <w:rStyle w:val="FootnoteReference"/>
        </w:rPr>
        <w:footnoteReference w:id="8"/>
      </w:r>
    </w:p>
    <w:p w:rsidR="00275D47" w:rsidRDefault="00275D47" w:rsidP="00275D47">
      <w:pPr>
        <w:pStyle w:val="Heading1"/>
        <w:rPr>
          <w:rtl/>
        </w:rPr>
      </w:pPr>
      <w:bookmarkStart w:id="6" w:name="_Toc530519479"/>
      <w:r>
        <w:rPr>
          <w:rFonts w:hint="cs"/>
          <w:rtl/>
        </w:rPr>
        <w:lastRenderedPageBreak/>
        <w:t>حکومت استصحاب بر سایر اصول</w:t>
      </w:r>
      <w:bookmarkEnd w:id="6"/>
    </w:p>
    <w:p w:rsidR="00384EEA" w:rsidRDefault="00F80876" w:rsidP="00F80876">
      <w:pPr>
        <w:jc w:val="both"/>
        <w:rPr>
          <w:color w:val="000000"/>
          <w:rtl/>
        </w:rPr>
      </w:pPr>
      <w:r>
        <w:rPr>
          <w:rFonts w:hint="cs"/>
          <w:rtl/>
        </w:rPr>
        <w:t xml:space="preserve">   </w:t>
      </w:r>
      <w:r w:rsidR="005F287B">
        <w:rPr>
          <w:rFonts w:hint="cs"/>
          <w:color w:val="000000"/>
          <w:rtl/>
        </w:rPr>
        <w:t xml:space="preserve">اگر </w:t>
      </w:r>
      <w:r w:rsidR="00AC6027">
        <w:rPr>
          <w:rFonts w:hint="cs"/>
          <w:color w:val="000000"/>
          <w:rtl/>
        </w:rPr>
        <w:t>بنا شد که استصحاب اصل عملی باشد</w:t>
      </w:r>
      <w:r w:rsidR="00C523BA">
        <w:rPr>
          <w:rFonts w:hint="cs"/>
          <w:color w:val="000000"/>
          <w:rtl/>
        </w:rPr>
        <w:t xml:space="preserve"> </w:t>
      </w:r>
      <w:r w:rsidR="00667F5E">
        <w:rPr>
          <w:rFonts w:hint="cs"/>
          <w:color w:val="000000"/>
          <w:rtl/>
        </w:rPr>
        <w:t>،</w:t>
      </w:r>
      <w:r w:rsidR="00CB054B">
        <w:rPr>
          <w:rFonts w:hint="cs"/>
          <w:color w:val="000000"/>
          <w:rtl/>
        </w:rPr>
        <w:t xml:space="preserve"> ملاک در </w:t>
      </w:r>
      <w:r w:rsidR="00667F5E">
        <w:rPr>
          <w:rFonts w:hint="cs"/>
          <w:color w:val="000000"/>
          <w:rtl/>
        </w:rPr>
        <w:t>حجیت آن جری عملی است نه کاشفیت ؛</w:t>
      </w:r>
      <w:r w:rsidR="00CB054B">
        <w:rPr>
          <w:rFonts w:hint="cs"/>
          <w:color w:val="000000"/>
          <w:rtl/>
        </w:rPr>
        <w:t xml:space="preserve"> بنابراین موضوع اصل برائت بعد از جریان استصحاب حقیقتا منتفی نمی شود</w:t>
      </w:r>
      <w:r w:rsidR="00137777">
        <w:rPr>
          <w:rFonts w:hint="cs"/>
          <w:color w:val="000000"/>
          <w:rtl/>
        </w:rPr>
        <w:t xml:space="preserve"> .</w:t>
      </w:r>
      <w:r w:rsidR="00205C0F">
        <w:rPr>
          <w:rStyle w:val="FootnoteReference"/>
          <w:color w:val="000000"/>
          <w:rtl/>
        </w:rPr>
        <w:footnoteReference w:id="9"/>
      </w:r>
      <w:r w:rsidR="005F2B0B">
        <w:rPr>
          <w:rFonts w:hint="cs"/>
          <w:color w:val="000000"/>
          <w:rtl/>
        </w:rPr>
        <w:t xml:space="preserve"> </w:t>
      </w:r>
      <w:r w:rsidR="00137777">
        <w:rPr>
          <w:rFonts w:hint="cs"/>
          <w:color w:val="000000"/>
          <w:rtl/>
        </w:rPr>
        <w:t xml:space="preserve">اما چون دلیل استصحاب تنها متضمّن بر جری عملی نیست  بلکه این جری عملی را </w:t>
      </w:r>
      <w:r w:rsidR="008F5D62">
        <w:rPr>
          <w:rFonts w:hint="cs"/>
          <w:color w:val="000000"/>
          <w:rtl/>
        </w:rPr>
        <w:t xml:space="preserve">با لسان </w:t>
      </w:r>
      <w:r w:rsidR="003747AB">
        <w:rPr>
          <w:rFonts w:hint="cs"/>
          <w:color w:val="000000"/>
          <w:rtl/>
        </w:rPr>
        <w:t>«</w:t>
      </w:r>
      <w:r w:rsidR="000A7B95">
        <w:rPr>
          <w:rFonts w:hint="cs"/>
          <w:color w:val="000000"/>
          <w:rtl/>
        </w:rPr>
        <w:t>ثبوت</w:t>
      </w:r>
      <w:r w:rsidR="003747AB">
        <w:rPr>
          <w:rFonts w:hint="cs"/>
          <w:color w:val="000000"/>
          <w:rtl/>
        </w:rPr>
        <w:t xml:space="preserve"> یقین</w:t>
      </w:r>
      <w:r w:rsidR="000A7B95">
        <w:rPr>
          <w:rFonts w:hint="cs"/>
          <w:color w:val="000000"/>
          <w:rtl/>
        </w:rPr>
        <w:t>»</w:t>
      </w:r>
      <w:r w:rsidR="002849CA">
        <w:rPr>
          <w:rFonts w:hint="cs"/>
          <w:color w:val="000000"/>
          <w:rtl/>
        </w:rPr>
        <w:t xml:space="preserve"> بیان کرده است</w:t>
      </w:r>
      <w:r w:rsidR="0071671E">
        <w:rPr>
          <w:rFonts w:hint="cs"/>
          <w:color w:val="000000"/>
          <w:rtl/>
        </w:rPr>
        <w:t xml:space="preserve"> ،</w:t>
      </w:r>
      <w:r w:rsidR="00A16ACC">
        <w:rPr>
          <w:rFonts w:hint="cs"/>
          <w:color w:val="000000"/>
          <w:rtl/>
        </w:rPr>
        <w:t xml:space="preserve"> </w:t>
      </w:r>
      <w:r w:rsidR="0071671E">
        <w:rPr>
          <w:rFonts w:hint="cs"/>
          <w:color w:val="000000"/>
          <w:rtl/>
        </w:rPr>
        <w:t xml:space="preserve">این ادله </w:t>
      </w:r>
      <w:r w:rsidR="00A16ACC">
        <w:rPr>
          <w:rFonts w:hint="cs"/>
          <w:color w:val="000000"/>
          <w:rtl/>
        </w:rPr>
        <w:t>دلالت عرفیه لفظیه بر در نظر داشتن کاشفیت و تنزیل ادعایی به منزله کاشف دارد</w:t>
      </w:r>
      <w:r w:rsidR="003C32D2">
        <w:rPr>
          <w:rStyle w:val="FootnoteReference"/>
          <w:color w:val="000000"/>
          <w:rtl/>
        </w:rPr>
        <w:footnoteReference w:id="10"/>
      </w:r>
      <w:r w:rsidR="00D2266D">
        <w:rPr>
          <w:rFonts w:hint="cs"/>
          <w:color w:val="000000"/>
          <w:rtl/>
        </w:rPr>
        <w:t xml:space="preserve">. </w:t>
      </w:r>
      <w:r w:rsidR="000157D0">
        <w:rPr>
          <w:rFonts w:hint="cs"/>
          <w:color w:val="000000"/>
          <w:rtl/>
        </w:rPr>
        <w:t>با این ادعا علم حقیقی</w:t>
      </w:r>
      <w:r w:rsidR="00B305BD">
        <w:rPr>
          <w:rFonts w:hint="cs"/>
          <w:color w:val="000000"/>
          <w:rtl/>
        </w:rPr>
        <w:t>ِّ</w:t>
      </w:r>
      <w:r w:rsidR="000157D0">
        <w:rPr>
          <w:rFonts w:hint="cs"/>
          <w:color w:val="000000"/>
          <w:rtl/>
        </w:rPr>
        <w:t xml:space="preserve"> </w:t>
      </w:r>
      <w:r w:rsidR="009E5272">
        <w:rPr>
          <w:rFonts w:hint="cs"/>
          <w:color w:val="000000"/>
          <w:rtl/>
        </w:rPr>
        <w:t>ولو أ</w:t>
      </w:r>
      <w:r w:rsidR="00D2266D">
        <w:rPr>
          <w:rFonts w:hint="cs"/>
          <w:color w:val="000000"/>
          <w:rtl/>
        </w:rPr>
        <w:t>ماری</w:t>
      </w:r>
      <w:r w:rsidR="009E5272">
        <w:rPr>
          <w:rFonts w:hint="cs"/>
          <w:color w:val="000000"/>
          <w:rtl/>
        </w:rPr>
        <w:t>، شکل نمی گیرد</w:t>
      </w:r>
      <w:r w:rsidR="00EE4278">
        <w:rPr>
          <w:rFonts w:hint="cs"/>
          <w:color w:val="000000"/>
          <w:rtl/>
        </w:rPr>
        <w:t xml:space="preserve"> اما </w:t>
      </w:r>
      <w:r w:rsidR="00D412DB">
        <w:rPr>
          <w:rFonts w:hint="cs"/>
          <w:color w:val="000000"/>
          <w:rtl/>
        </w:rPr>
        <w:t>تعبّدا موضوع برائت منتفی می شود</w:t>
      </w:r>
      <w:r w:rsidR="003747AB">
        <w:rPr>
          <w:rFonts w:hint="cs"/>
          <w:color w:val="000000"/>
          <w:rtl/>
        </w:rPr>
        <w:t xml:space="preserve"> که </w:t>
      </w:r>
      <w:r w:rsidR="00D412DB">
        <w:rPr>
          <w:rFonts w:hint="cs"/>
          <w:color w:val="000000"/>
          <w:rtl/>
        </w:rPr>
        <w:t xml:space="preserve">حقیقت </w:t>
      </w:r>
      <w:r w:rsidR="003747AB">
        <w:rPr>
          <w:rFonts w:hint="cs"/>
          <w:color w:val="000000"/>
          <w:rtl/>
        </w:rPr>
        <w:t>«</w:t>
      </w:r>
      <w:r w:rsidR="00D412DB">
        <w:rPr>
          <w:rFonts w:hint="cs"/>
          <w:color w:val="000000"/>
          <w:rtl/>
        </w:rPr>
        <w:t>حکومت</w:t>
      </w:r>
      <w:r w:rsidR="003747AB">
        <w:rPr>
          <w:rFonts w:hint="cs"/>
          <w:color w:val="000000"/>
          <w:rtl/>
        </w:rPr>
        <w:t>»</w:t>
      </w:r>
      <w:r w:rsidR="00BF01F9">
        <w:rPr>
          <w:rFonts w:hint="cs"/>
          <w:color w:val="000000"/>
          <w:rtl/>
        </w:rPr>
        <w:t xml:space="preserve"> است .</w:t>
      </w:r>
    </w:p>
    <w:p w:rsidR="0085782E" w:rsidRPr="00F80876" w:rsidRDefault="0085782E" w:rsidP="00F80876">
      <w:pPr>
        <w:jc w:val="both"/>
        <w:rPr>
          <w:color w:val="000000"/>
        </w:rPr>
      </w:pPr>
      <w:r>
        <w:rPr>
          <w:rFonts w:hint="cs"/>
          <w:color w:val="000000"/>
          <w:rtl/>
        </w:rPr>
        <w:t xml:space="preserve">   تا به حال حکومت را قبول نمی کردیم چون احتمال می دادیم « الاستصحاب علم » کنایه از جری عملی باشد و با چنین کنایه ای حکومت شکل نمی گیرد چون لغویتی لازم نمی آید</w:t>
      </w:r>
      <w:r w:rsidR="009D23DF">
        <w:rPr>
          <w:rFonts w:hint="cs"/>
          <w:color w:val="000000"/>
          <w:rtl/>
        </w:rPr>
        <w:t xml:space="preserve"> .</w:t>
      </w:r>
      <w:r w:rsidR="001C2DF7">
        <w:rPr>
          <w:rStyle w:val="FootnoteReference"/>
          <w:color w:val="000000"/>
          <w:rtl/>
        </w:rPr>
        <w:footnoteReference w:id="11"/>
      </w:r>
      <w:r w:rsidR="009D23DF">
        <w:rPr>
          <w:rFonts w:hint="cs"/>
          <w:color w:val="000000"/>
          <w:rtl/>
        </w:rPr>
        <w:t xml:space="preserve"> </w:t>
      </w:r>
      <w:r>
        <w:rPr>
          <w:rFonts w:hint="cs"/>
          <w:color w:val="000000"/>
          <w:rtl/>
        </w:rPr>
        <w:t xml:space="preserve">اما در این تحلیل جدید معنای « الاستصحاب علم » ادعاء اماریت برای استصحاب </w:t>
      </w:r>
      <w:r w:rsidR="005515CB">
        <w:rPr>
          <w:rFonts w:hint="cs"/>
          <w:color w:val="000000"/>
          <w:rtl/>
        </w:rPr>
        <w:t xml:space="preserve">به </w:t>
      </w:r>
      <w:r w:rsidR="00435776">
        <w:rPr>
          <w:rFonts w:hint="cs"/>
          <w:color w:val="000000"/>
          <w:rtl/>
        </w:rPr>
        <w:t xml:space="preserve">دلالت لفظیه </w:t>
      </w:r>
      <w:r>
        <w:rPr>
          <w:rFonts w:hint="cs"/>
          <w:color w:val="000000"/>
          <w:rtl/>
        </w:rPr>
        <w:t xml:space="preserve">است </w:t>
      </w:r>
      <w:r w:rsidR="00FA380C">
        <w:rPr>
          <w:rStyle w:val="FootnoteReference"/>
          <w:color w:val="000000"/>
          <w:rtl/>
        </w:rPr>
        <w:footnoteReference w:id="12"/>
      </w:r>
      <w:r>
        <w:rPr>
          <w:rFonts w:hint="cs"/>
          <w:color w:val="000000"/>
          <w:rtl/>
        </w:rPr>
        <w:t>و با این ادعاء حکومت</w:t>
      </w:r>
      <w:r w:rsidR="001B5875">
        <w:rPr>
          <w:rFonts w:hint="cs"/>
          <w:color w:val="000000"/>
          <w:rtl/>
        </w:rPr>
        <w:t>ی برای</w:t>
      </w:r>
      <w:r>
        <w:rPr>
          <w:rFonts w:hint="cs"/>
          <w:color w:val="000000"/>
          <w:rtl/>
        </w:rPr>
        <w:t xml:space="preserve"> استصحاب بر سایر اصول شکل می گیرد .</w:t>
      </w:r>
    </w:p>
    <w:sectPr w:rsidR="0085782E" w:rsidRPr="00F80876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8A9" w:rsidRDefault="004938A9" w:rsidP="008B750B">
      <w:pPr>
        <w:spacing w:line="240" w:lineRule="auto"/>
      </w:pPr>
      <w:r>
        <w:separator/>
      </w:r>
    </w:p>
  </w:endnote>
  <w:endnote w:type="continuationSeparator" w:id="0">
    <w:p w:rsidR="004938A9" w:rsidRDefault="004938A9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4007DD" w:rsidRPr="004007DD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DC7A2C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4" w:name="BokAdres"/>
          <w:bookmarkEnd w:id="14"/>
          <w:r>
            <w:rPr>
              <w:color w:val="808080" w:themeColor="background1" w:themeShade="80"/>
            </w:rPr>
            <w:t>U1mq1_13970829-029_ab1_mfeb.ir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8A9" w:rsidRDefault="004938A9" w:rsidP="008B750B">
      <w:pPr>
        <w:spacing w:line="240" w:lineRule="auto"/>
      </w:pPr>
      <w:r>
        <w:separator/>
      </w:r>
    </w:p>
  </w:footnote>
  <w:footnote w:type="continuationSeparator" w:id="0">
    <w:p w:rsidR="004938A9" w:rsidRDefault="004938A9" w:rsidP="008B750B">
      <w:pPr>
        <w:spacing w:line="240" w:lineRule="auto"/>
      </w:pPr>
      <w:r>
        <w:continuationSeparator/>
      </w:r>
    </w:p>
  </w:footnote>
  <w:footnote w:id="1">
    <w:p w:rsidR="00025129" w:rsidRPr="00322AD6" w:rsidRDefault="00025129" w:rsidP="001C2DF7">
      <w:pPr>
        <w:pStyle w:val="FootnoteText"/>
        <w:jc w:val="both"/>
        <w:rPr>
          <w:rtl/>
        </w:rPr>
      </w:pPr>
      <w:r w:rsidRPr="00322AD6">
        <w:rPr>
          <w:rStyle w:val="FootnoteReference"/>
          <w:vertAlign w:val="baseline"/>
        </w:rPr>
        <w:footnoteRef/>
      </w:r>
      <w:r w:rsidR="00322AD6">
        <w:rPr>
          <w:rFonts w:hint="cs"/>
          <w:rtl/>
        </w:rPr>
        <w:t xml:space="preserve">. </w:t>
      </w:r>
      <w:r w:rsidR="003E3F37" w:rsidRPr="00322AD6">
        <w:rPr>
          <w:rFonts w:hint="cs"/>
          <w:rtl/>
        </w:rPr>
        <w:t>قطع به حج</w:t>
      </w:r>
      <w:r w:rsidR="00322AD6" w:rsidRPr="00322AD6">
        <w:rPr>
          <w:rFonts w:hint="cs"/>
          <w:rtl/>
        </w:rPr>
        <w:t>ی</w:t>
      </w:r>
      <w:r w:rsidR="003E3F37" w:rsidRPr="00322AD6">
        <w:rPr>
          <w:rFonts w:hint="cs"/>
          <w:rtl/>
        </w:rPr>
        <w:t>ت اماره ، عدم علم</w:t>
      </w:r>
      <w:r w:rsidRPr="00322AD6">
        <w:rPr>
          <w:rFonts w:hint="cs"/>
          <w:rtl/>
        </w:rPr>
        <w:t xml:space="preserve"> در « رفع ما لایعلمون » </w:t>
      </w:r>
      <w:r w:rsidR="003E3F37" w:rsidRPr="00322AD6">
        <w:rPr>
          <w:rFonts w:hint="cs"/>
          <w:rtl/>
        </w:rPr>
        <w:t xml:space="preserve">که أعمّ از </w:t>
      </w:r>
      <w:r w:rsidR="001D233B">
        <w:rPr>
          <w:rFonts w:hint="cs"/>
          <w:rtl/>
        </w:rPr>
        <w:t>به واقع</w:t>
      </w:r>
      <w:r w:rsidR="003E3F37" w:rsidRPr="00322AD6">
        <w:rPr>
          <w:rFonts w:hint="cs"/>
          <w:rtl/>
        </w:rPr>
        <w:t xml:space="preserve"> و </w:t>
      </w:r>
      <w:r w:rsidR="001D233B">
        <w:rPr>
          <w:rFonts w:hint="cs"/>
          <w:rtl/>
        </w:rPr>
        <w:t xml:space="preserve">یا وظیفه </w:t>
      </w:r>
      <w:r w:rsidR="003E3F37" w:rsidRPr="00322AD6">
        <w:rPr>
          <w:rFonts w:hint="cs"/>
          <w:rtl/>
        </w:rPr>
        <w:t xml:space="preserve">ظاهری است </w:t>
      </w:r>
      <w:r w:rsidRPr="00322AD6">
        <w:rPr>
          <w:rFonts w:hint="cs"/>
          <w:rtl/>
        </w:rPr>
        <w:t xml:space="preserve">را </w:t>
      </w:r>
      <w:r w:rsidR="003E3F37" w:rsidRPr="00322AD6">
        <w:rPr>
          <w:rFonts w:hint="cs"/>
          <w:rtl/>
        </w:rPr>
        <w:t>حقیقتا منتفی</w:t>
      </w:r>
      <w:r w:rsidRPr="00322AD6">
        <w:rPr>
          <w:rFonts w:hint="cs"/>
          <w:rtl/>
        </w:rPr>
        <w:t xml:space="preserve"> می کند .</w:t>
      </w:r>
    </w:p>
  </w:footnote>
  <w:footnote w:id="2">
    <w:p w:rsidR="001D233B" w:rsidRPr="009165C1" w:rsidRDefault="001D233B" w:rsidP="001C2DF7">
      <w:pPr>
        <w:pStyle w:val="FootnoteText"/>
        <w:jc w:val="both"/>
      </w:pPr>
      <w:r w:rsidRPr="009165C1">
        <w:rPr>
          <w:rStyle w:val="FootnoteReference"/>
          <w:vertAlign w:val="baseline"/>
        </w:rPr>
        <w:footnoteRef/>
      </w:r>
      <w:r w:rsidRPr="009165C1">
        <w:rPr>
          <w:rFonts w:hint="cs"/>
          <w:rtl/>
        </w:rPr>
        <w:t xml:space="preserve">. در </w:t>
      </w:r>
      <w:r w:rsidR="009E70C3">
        <w:rPr>
          <w:rFonts w:hint="cs"/>
          <w:rtl/>
        </w:rPr>
        <w:t>« ما لا</w:t>
      </w:r>
      <w:r w:rsidRPr="009165C1">
        <w:rPr>
          <w:rFonts w:hint="cs"/>
          <w:rtl/>
        </w:rPr>
        <w:t xml:space="preserve">یعلمون » موضوع علم به واقع است </w:t>
      </w:r>
      <w:r w:rsidR="009165C1" w:rsidRPr="009165C1">
        <w:rPr>
          <w:rFonts w:hint="cs"/>
          <w:rtl/>
        </w:rPr>
        <w:t>اما استصحاب ادعاء علمیّت می کند .</w:t>
      </w:r>
    </w:p>
  </w:footnote>
  <w:footnote w:id="3">
    <w:p w:rsidR="0081446B" w:rsidRPr="0081446B" w:rsidRDefault="0081446B" w:rsidP="001C2DF7">
      <w:pPr>
        <w:pStyle w:val="FootnoteText"/>
        <w:jc w:val="both"/>
        <w:rPr>
          <w:rtl/>
        </w:rPr>
      </w:pPr>
      <w:r w:rsidRPr="0081446B">
        <w:rPr>
          <w:rStyle w:val="FootnoteReference"/>
          <w:vertAlign w:val="baseline"/>
        </w:rPr>
        <w:footnoteRef/>
      </w:r>
      <w:r w:rsidRPr="0081446B">
        <w:rPr>
          <w:rFonts w:hint="cs"/>
          <w:rtl/>
        </w:rPr>
        <w:t>. از مبنای مرحوم نایینی استفاده کردیم اما تقریب بیان شده منحصر به فرد است .</w:t>
      </w:r>
    </w:p>
  </w:footnote>
  <w:footnote w:id="4">
    <w:p w:rsidR="00DD2584" w:rsidRPr="00413D54" w:rsidRDefault="00DD2584" w:rsidP="001C2DF7">
      <w:pPr>
        <w:pStyle w:val="FootnoteText"/>
        <w:jc w:val="both"/>
      </w:pPr>
      <w:r w:rsidRPr="00413D54">
        <w:rPr>
          <w:rStyle w:val="FootnoteReference"/>
          <w:vertAlign w:val="baseline"/>
        </w:rPr>
        <w:footnoteRef/>
      </w:r>
      <w:r w:rsidRPr="00413D54">
        <w:rPr>
          <w:rFonts w:hint="cs"/>
          <w:rtl/>
        </w:rPr>
        <w:t xml:space="preserve">. این حقیقت مقتضی حجیت مثبتات اماره است ، پس </w:t>
      </w:r>
      <w:r w:rsidR="000951FC" w:rsidRPr="00413D54">
        <w:rPr>
          <w:rFonts w:hint="cs"/>
          <w:rtl/>
        </w:rPr>
        <w:t xml:space="preserve">در عالم اثبات </w:t>
      </w:r>
      <w:r w:rsidR="000C2DC2">
        <w:rPr>
          <w:rFonts w:hint="cs"/>
          <w:rtl/>
        </w:rPr>
        <w:t>برای قول به</w:t>
      </w:r>
      <w:r w:rsidRPr="00413D54">
        <w:rPr>
          <w:rFonts w:hint="cs"/>
          <w:rtl/>
        </w:rPr>
        <w:t xml:space="preserve"> حجیت آن ها احتیاج به دلیلی زائد بر </w:t>
      </w:r>
      <w:r w:rsidR="00607290" w:rsidRPr="00413D54">
        <w:rPr>
          <w:rFonts w:hint="cs"/>
          <w:rtl/>
        </w:rPr>
        <w:t xml:space="preserve">دلیل </w:t>
      </w:r>
      <w:r w:rsidRPr="00413D54">
        <w:rPr>
          <w:rFonts w:hint="cs"/>
          <w:rtl/>
        </w:rPr>
        <w:t>ا</w:t>
      </w:r>
      <w:r w:rsidR="000951FC" w:rsidRPr="00413D54">
        <w:rPr>
          <w:rFonts w:hint="cs"/>
          <w:rtl/>
        </w:rPr>
        <w:t>ثبات حجیت یک شیء به مناظ اماریت</w:t>
      </w:r>
      <w:r w:rsidRPr="00413D54">
        <w:rPr>
          <w:rFonts w:hint="cs"/>
          <w:rtl/>
        </w:rPr>
        <w:t xml:space="preserve"> نداریم .</w:t>
      </w:r>
    </w:p>
  </w:footnote>
  <w:footnote w:id="5">
    <w:p w:rsidR="00481D8E" w:rsidRPr="00AD191C" w:rsidRDefault="00481D8E" w:rsidP="001C2DF7">
      <w:pPr>
        <w:pStyle w:val="FootnoteText"/>
        <w:jc w:val="both"/>
      </w:pPr>
      <w:r w:rsidRPr="00AD191C">
        <w:rPr>
          <w:rStyle w:val="FootnoteReference"/>
          <w:vertAlign w:val="baseline"/>
        </w:rPr>
        <w:footnoteRef/>
      </w:r>
      <w:r w:rsidRPr="00AD191C">
        <w:rPr>
          <w:rFonts w:hint="cs"/>
          <w:rtl/>
        </w:rPr>
        <w:t xml:space="preserve">. در تشخیص صغرای جعل اماریت می توان از تحلیل سیره عقلاء </w:t>
      </w:r>
      <w:r w:rsidR="00AD191C" w:rsidRPr="00AD191C">
        <w:rPr>
          <w:rFonts w:hint="cs"/>
          <w:rtl/>
        </w:rPr>
        <w:t>در مورد آن اماره و اطلاق مقامی دلیل شرعی اعتبار استفاده کرد که نازل بر همان سیره موجود است .</w:t>
      </w:r>
      <w:r w:rsidR="00C15460">
        <w:rPr>
          <w:rFonts w:hint="cs"/>
          <w:rtl/>
        </w:rPr>
        <w:t xml:space="preserve"> در مواردی که شارع ابداع در جعل حجیت دارد راهی برای کشف اماریت یا اصل بودن نداریم </w:t>
      </w:r>
      <w:r w:rsidR="00957046">
        <w:rPr>
          <w:rFonts w:hint="cs"/>
          <w:rtl/>
        </w:rPr>
        <w:t>، البته اگر وجود چنین موردی در شریعت را پذیرفتیم .</w:t>
      </w:r>
    </w:p>
  </w:footnote>
  <w:footnote w:id="6">
    <w:p w:rsidR="00B53676" w:rsidRPr="00B53676" w:rsidRDefault="00B53676" w:rsidP="001C2DF7">
      <w:pPr>
        <w:pStyle w:val="FootnoteText"/>
        <w:jc w:val="both"/>
        <w:rPr>
          <w:rtl/>
        </w:rPr>
      </w:pPr>
      <w:r w:rsidRPr="00B53676">
        <w:rPr>
          <w:rStyle w:val="FootnoteReference"/>
          <w:vertAlign w:val="baseline"/>
        </w:rPr>
        <w:footnoteRef/>
      </w:r>
      <w:r w:rsidRPr="00B53676">
        <w:rPr>
          <w:rFonts w:hint="cs"/>
          <w:rtl/>
        </w:rPr>
        <w:t>. این مطلب غیر</w:t>
      </w:r>
      <w:r w:rsidR="00E51128">
        <w:rPr>
          <w:rFonts w:hint="cs"/>
          <w:rtl/>
        </w:rPr>
        <w:t xml:space="preserve"> </w:t>
      </w:r>
      <w:r w:rsidRPr="00B53676">
        <w:rPr>
          <w:rFonts w:hint="cs"/>
          <w:rtl/>
        </w:rPr>
        <w:t xml:space="preserve">از </w:t>
      </w:r>
      <w:r w:rsidR="002A4280">
        <w:rPr>
          <w:rFonts w:hint="cs"/>
          <w:rtl/>
        </w:rPr>
        <w:t>تعمیم</w:t>
      </w:r>
      <w:r w:rsidRPr="00B53676">
        <w:rPr>
          <w:rFonts w:hint="cs"/>
          <w:rtl/>
        </w:rPr>
        <w:t xml:space="preserve"> به حکم واقعی و حکم ظ</w:t>
      </w:r>
      <w:r w:rsidR="00E51128">
        <w:rPr>
          <w:rFonts w:hint="cs"/>
          <w:rtl/>
        </w:rPr>
        <w:t>اهری است که مرحوم آخوند فرمودند</w:t>
      </w:r>
      <w:r w:rsidRPr="00B53676">
        <w:rPr>
          <w:rFonts w:hint="cs"/>
          <w:rtl/>
        </w:rPr>
        <w:t>، حکم ظاهری احتیاط را هم شامل می شود اما تقریب حاضر اختصاص به اماره دارد .</w:t>
      </w:r>
    </w:p>
  </w:footnote>
  <w:footnote w:id="7">
    <w:p w:rsidR="0095007D" w:rsidRPr="0095007D" w:rsidRDefault="0095007D" w:rsidP="001C2DF7">
      <w:pPr>
        <w:pStyle w:val="FootnoteText"/>
        <w:jc w:val="both"/>
        <w:rPr>
          <w:rtl/>
        </w:rPr>
      </w:pPr>
      <w:r w:rsidRPr="0095007D">
        <w:rPr>
          <w:rStyle w:val="FootnoteReference"/>
          <w:vertAlign w:val="baseline"/>
        </w:rPr>
        <w:footnoteRef/>
      </w:r>
      <w:r w:rsidRPr="0095007D">
        <w:rPr>
          <w:rFonts w:hint="cs"/>
          <w:rtl/>
        </w:rPr>
        <w:t>. ورود است چون رفع موض</w:t>
      </w:r>
      <w:r w:rsidR="00E51128">
        <w:rPr>
          <w:rFonts w:hint="cs"/>
          <w:rtl/>
        </w:rPr>
        <w:t xml:space="preserve">وع </w:t>
      </w:r>
      <w:r w:rsidR="00595BAC">
        <w:rPr>
          <w:rFonts w:hint="cs"/>
          <w:rtl/>
        </w:rPr>
        <w:t>متوقّف بر تعبّد شرعی است</w:t>
      </w:r>
      <w:r w:rsidRPr="0095007D">
        <w:rPr>
          <w:rFonts w:hint="cs"/>
          <w:rtl/>
        </w:rPr>
        <w:t>.</w:t>
      </w:r>
      <w:r w:rsidR="00595BAC">
        <w:rPr>
          <w:rFonts w:hint="cs"/>
          <w:rtl/>
        </w:rPr>
        <w:t xml:space="preserve"> </w:t>
      </w:r>
      <w:r w:rsidR="00E51128">
        <w:rPr>
          <w:rFonts w:hint="cs"/>
          <w:rtl/>
        </w:rPr>
        <w:t xml:space="preserve">البته </w:t>
      </w:r>
      <w:r w:rsidR="00595BAC">
        <w:rPr>
          <w:rFonts w:hint="cs"/>
          <w:rtl/>
        </w:rPr>
        <w:t>مراد استعمالی از «علم</w:t>
      </w:r>
      <w:r w:rsidR="00F80876">
        <w:rPr>
          <w:rFonts w:hint="cs"/>
          <w:rtl/>
        </w:rPr>
        <w:t xml:space="preserve">» در موضوع اصول </w:t>
      </w:r>
      <w:r w:rsidR="00BF6837">
        <w:rPr>
          <w:rFonts w:hint="cs"/>
          <w:rtl/>
        </w:rPr>
        <w:t>علم وجدانی است</w:t>
      </w:r>
      <w:r w:rsidR="00D07E5B">
        <w:rPr>
          <w:rFonts w:hint="cs"/>
          <w:rtl/>
        </w:rPr>
        <w:t xml:space="preserve"> اما به قرینه اماریت مراد جدی از آن </w:t>
      </w:r>
      <w:r w:rsidR="00595BAC">
        <w:rPr>
          <w:rFonts w:hint="cs"/>
          <w:rtl/>
        </w:rPr>
        <w:t>أعمّ است .</w:t>
      </w:r>
    </w:p>
  </w:footnote>
  <w:footnote w:id="8">
    <w:p w:rsidR="002623D0" w:rsidRPr="002623D0" w:rsidRDefault="002623D0" w:rsidP="001C2DF7">
      <w:pPr>
        <w:pStyle w:val="FootnoteText"/>
        <w:jc w:val="both"/>
        <w:rPr>
          <w:rtl/>
        </w:rPr>
      </w:pPr>
      <w:r w:rsidRPr="002623D0">
        <w:rPr>
          <w:rStyle w:val="FootnoteReference"/>
          <w:vertAlign w:val="baseline"/>
        </w:rPr>
        <w:footnoteRef/>
      </w:r>
      <w:r w:rsidRPr="002623D0">
        <w:rPr>
          <w:rFonts w:hint="cs"/>
          <w:rtl/>
        </w:rPr>
        <w:t xml:space="preserve">. این مطلب نه </w:t>
      </w:r>
      <w:r w:rsidR="00A101C7">
        <w:rPr>
          <w:rFonts w:hint="cs"/>
          <w:rtl/>
        </w:rPr>
        <w:t xml:space="preserve">تنها </w:t>
      </w:r>
      <w:r w:rsidRPr="002623D0">
        <w:rPr>
          <w:rFonts w:hint="cs"/>
          <w:rtl/>
        </w:rPr>
        <w:t xml:space="preserve">بعید </w:t>
      </w:r>
      <w:r w:rsidR="00A101C7">
        <w:rPr>
          <w:rFonts w:hint="cs"/>
          <w:rtl/>
        </w:rPr>
        <w:t xml:space="preserve">نیست </w:t>
      </w:r>
      <w:r w:rsidRPr="002623D0">
        <w:rPr>
          <w:rFonts w:hint="cs"/>
          <w:rtl/>
        </w:rPr>
        <w:t>بلکه مخالف ن</w:t>
      </w:r>
      <w:r w:rsidR="007A6179">
        <w:rPr>
          <w:rFonts w:hint="cs"/>
          <w:rtl/>
        </w:rPr>
        <w:t>صّ کلام مرحوم نایینی است ؛ آن جا که</w:t>
      </w:r>
      <w:r w:rsidRPr="002623D0">
        <w:rPr>
          <w:rFonts w:hint="cs"/>
          <w:rtl/>
        </w:rPr>
        <w:t xml:space="preserve"> تقریبی شبیه به </w:t>
      </w:r>
      <w:r w:rsidR="00613684">
        <w:rPr>
          <w:rFonts w:hint="cs"/>
          <w:rtl/>
        </w:rPr>
        <w:t xml:space="preserve">این </w:t>
      </w:r>
      <w:r w:rsidRPr="002623D0">
        <w:rPr>
          <w:rFonts w:hint="cs"/>
          <w:rtl/>
        </w:rPr>
        <w:t xml:space="preserve">بیان را </w:t>
      </w:r>
      <w:r w:rsidR="00217CFE">
        <w:rPr>
          <w:rFonts w:hint="cs"/>
          <w:rtl/>
        </w:rPr>
        <w:t>به عنوان بهترین وجه ادعاء «ورود</w:t>
      </w:r>
      <w:r w:rsidRPr="002623D0">
        <w:rPr>
          <w:rFonts w:hint="cs"/>
          <w:rtl/>
        </w:rPr>
        <w:t xml:space="preserve">» بیان فرموده و </w:t>
      </w:r>
      <w:r w:rsidR="00EA333D">
        <w:rPr>
          <w:rFonts w:hint="cs"/>
          <w:rtl/>
        </w:rPr>
        <w:t xml:space="preserve">سپس </w:t>
      </w:r>
      <w:r w:rsidRPr="002623D0">
        <w:rPr>
          <w:rFonts w:hint="cs"/>
          <w:rtl/>
        </w:rPr>
        <w:t>به نقد آن نشسته اند</w:t>
      </w:r>
      <w:r w:rsidR="00EA333D">
        <w:rPr>
          <w:rFonts w:hint="cs"/>
          <w:rtl/>
        </w:rPr>
        <w:t xml:space="preserve"> ، با تکیه بر این نکته که</w:t>
      </w:r>
      <w:r w:rsidR="00217CFE">
        <w:rPr>
          <w:rFonts w:hint="cs"/>
          <w:rtl/>
        </w:rPr>
        <w:t xml:space="preserve"> موضوع استصحاب «مطلق احراز</w:t>
      </w:r>
      <w:r w:rsidR="00EA333D">
        <w:rPr>
          <w:rFonts w:hint="cs"/>
          <w:rtl/>
        </w:rPr>
        <w:t xml:space="preserve">» ، یعنی أعمّ از احراز وجدانی و تعبّدی ، نمی باشد . </w:t>
      </w:r>
      <w:r w:rsidR="006E2796">
        <w:rPr>
          <w:rFonts w:hint="cs"/>
          <w:rtl/>
        </w:rPr>
        <w:t xml:space="preserve"> </w:t>
      </w:r>
      <w:hyperlink r:id="rId1" w:history="1">
        <w:r w:rsidR="006E2796" w:rsidRPr="002623D0">
          <w:rPr>
            <w:rStyle w:val="Hyperlink"/>
            <w:rtl/>
          </w:rPr>
          <w:t>فوائد الاصول، محقق نا</w:t>
        </w:r>
        <w:r w:rsidR="006E2796" w:rsidRPr="002623D0">
          <w:rPr>
            <w:rStyle w:val="Hyperlink"/>
            <w:rFonts w:hint="cs"/>
            <w:rtl/>
          </w:rPr>
          <w:t>یی</w:t>
        </w:r>
        <w:r w:rsidR="006E2796" w:rsidRPr="002623D0">
          <w:rPr>
            <w:rStyle w:val="Hyperlink"/>
            <w:rFonts w:hint="eastAsia"/>
            <w:rtl/>
          </w:rPr>
          <w:t>ن</w:t>
        </w:r>
        <w:r w:rsidR="006E2796" w:rsidRPr="002623D0">
          <w:rPr>
            <w:rStyle w:val="Hyperlink"/>
            <w:rFonts w:hint="cs"/>
            <w:rtl/>
          </w:rPr>
          <w:t>ی</w:t>
        </w:r>
        <w:r w:rsidR="006E2796" w:rsidRPr="002623D0">
          <w:rPr>
            <w:rStyle w:val="Hyperlink"/>
            <w:rFonts w:hint="eastAsia"/>
            <w:rtl/>
          </w:rPr>
          <w:t>،</w:t>
        </w:r>
        <w:r w:rsidR="006E2796" w:rsidRPr="002623D0">
          <w:rPr>
            <w:rStyle w:val="Hyperlink"/>
            <w:rtl/>
          </w:rPr>
          <w:t xml:space="preserve"> ج4، ص599</w:t>
        </w:r>
        <w:r w:rsidR="006E2796" w:rsidRPr="002623D0">
          <w:rPr>
            <w:rStyle w:val="Hyperlink"/>
          </w:rPr>
          <w:t>.</w:t>
        </w:r>
      </w:hyperlink>
      <w:r w:rsidRPr="002623D0">
        <w:rPr>
          <w:rFonts w:hint="cs"/>
          <w:rtl/>
        </w:rPr>
        <w:t xml:space="preserve"> </w:t>
      </w:r>
      <w:r w:rsidR="00217CFE">
        <w:rPr>
          <w:rFonts w:hint="cs"/>
          <w:rtl/>
        </w:rPr>
        <w:t xml:space="preserve"> (مقرّر</w:t>
      </w:r>
      <w:r w:rsidR="006E2796">
        <w:rPr>
          <w:rFonts w:hint="cs"/>
          <w:rtl/>
        </w:rPr>
        <w:t>)</w:t>
      </w:r>
    </w:p>
  </w:footnote>
  <w:footnote w:id="9">
    <w:p w:rsidR="00205C0F" w:rsidRPr="00205C0F" w:rsidRDefault="00205C0F" w:rsidP="001C2DF7">
      <w:pPr>
        <w:pStyle w:val="FootnoteText"/>
        <w:jc w:val="both"/>
      </w:pPr>
      <w:r w:rsidRPr="00205C0F">
        <w:rPr>
          <w:rStyle w:val="FootnoteReference"/>
          <w:vertAlign w:val="baseline"/>
        </w:rPr>
        <w:footnoteRef/>
      </w:r>
      <w:r w:rsidRPr="00205C0F">
        <w:rPr>
          <w:rFonts w:hint="cs"/>
          <w:rtl/>
        </w:rPr>
        <w:t>. خلافا لمرحوم آخوند که قائل به « ورود » شدند .</w:t>
      </w:r>
    </w:p>
  </w:footnote>
  <w:footnote w:id="10">
    <w:p w:rsidR="003C32D2" w:rsidRPr="00D90ECD" w:rsidRDefault="003C32D2" w:rsidP="001C2DF7">
      <w:pPr>
        <w:pStyle w:val="FootnoteText"/>
        <w:jc w:val="both"/>
        <w:rPr>
          <w:rtl/>
        </w:rPr>
      </w:pPr>
      <w:r w:rsidRPr="00D90ECD">
        <w:rPr>
          <w:rStyle w:val="FootnoteReference"/>
          <w:vertAlign w:val="baseline"/>
        </w:rPr>
        <w:footnoteRef/>
      </w:r>
      <w:r w:rsidRPr="00D90ECD">
        <w:rPr>
          <w:rFonts w:hint="cs"/>
          <w:rtl/>
        </w:rPr>
        <w:t xml:space="preserve">. این مطلب غیر از آن است که </w:t>
      </w:r>
      <w:r w:rsidR="006A77A5" w:rsidRPr="00D90ECD">
        <w:rPr>
          <w:rFonts w:hint="cs"/>
          <w:rtl/>
        </w:rPr>
        <w:t>تنزیل به ملاک کاشفیت باشد تا</w:t>
      </w:r>
      <w:r w:rsidR="00D90ECD">
        <w:rPr>
          <w:rFonts w:hint="cs"/>
          <w:rtl/>
        </w:rPr>
        <w:t xml:space="preserve"> در نتیجه</w:t>
      </w:r>
      <w:r w:rsidR="00D90ECD" w:rsidRPr="00D90ECD">
        <w:rPr>
          <w:rFonts w:hint="cs"/>
          <w:rtl/>
        </w:rPr>
        <w:t xml:space="preserve"> استصحاب اماره شود .</w:t>
      </w:r>
    </w:p>
  </w:footnote>
  <w:footnote w:id="11">
    <w:p w:rsidR="001C2DF7" w:rsidRPr="001C2DF7" w:rsidRDefault="001C2DF7" w:rsidP="001C2DF7">
      <w:pPr>
        <w:pStyle w:val="FootnoteText"/>
        <w:jc w:val="both"/>
        <w:rPr>
          <w:rtl/>
        </w:rPr>
      </w:pPr>
      <w:r w:rsidRPr="001C2DF7">
        <w:rPr>
          <w:rStyle w:val="FootnoteReference"/>
          <w:vertAlign w:val="baseline"/>
        </w:rPr>
        <w:footnoteRef/>
      </w:r>
      <w:r w:rsidRPr="001C2DF7">
        <w:rPr>
          <w:rFonts w:hint="cs"/>
          <w:rtl/>
        </w:rPr>
        <w:t>. این تقریب مطلبی نو و غیر از تقریب مرحوم شیخ و مرحوم نایینی است .</w:t>
      </w:r>
    </w:p>
  </w:footnote>
  <w:footnote w:id="12">
    <w:p w:rsidR="00FA380C" w:rsidRPr="00FA380C" w:rsidRDefault="00FA380C" w:rsidP="001C2DF7">
      <w:pPr>
        <w:pStyle w:val="FootnoteText"/>
        <w:jc w:val="both"/>
      </w:pPr>
      <w:r w:rsidRPr="00FA380C">
        <w:rPr>
          <w:rStyle w:val="FootnoteReference"/>
          <w:vertAlign w:val="baseline"/>
        </w:rPr>
        <w:footnoteRef/>
      </w:r>
      <w:r w:rsidRPr="00FA380C">
        <w:rPr>
          <w:rFonts w:hint="cs"/>
          <w:rtl/>
        </w:rPr>
        <w:t>. که مستدعی جری عملی است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7" w:name="BokNum"/>
    <w:bookmarkEnd w:id="7"/>
    <w:r w:rsidR="00DC7A2C">
      <w:rPr>
        <w:b/>
        <w:bCs/>
        <w:sz w:val="20"/>
        <w:szCs w:val="24"/>
        <w:rtl/>
      </w:rPr>
      <w:t>029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8" w:name="Bokdars"/>
    <w:bookmarkEnd w:id="8"/>
    <w:r w:rsidR="00DC7A2C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9" w:name="Bokostad"/>
    <w:bookmarkEnd w:id="9"/>
    <w:r w:rsidR="00DC7A2C">
      <w:rPr>
        <w:b/>
        <w:bCs/>
        <w:color w:val="632423" w:themeColor="accent2" w:themeShade="80"/>
        <w:sz w:val="20"/>
        <w:szCs w:val="24"/>
        <w:rtl/>
      </w:rPr>
      <w:t>قائ</w:t>
    </w:r>
    <w:r w:rsidR="00DC7A2C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DC7A2C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DC7A2C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0" w:name="BokTarikh"/>
    <w:bookmarkEnd w:id="10"/>
    <w:r w:rsidR="00DC7A2C">
      <w:rPr>
        <w:sz w:val="24"/>
        <w:szCs w:val="24"/>
        <w:rtl/>
      </w:rPr>
      <w:t>29 /8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1" w:name="BokSabj"/>
    <w:bookmarkEnd w:id="11"/>
    <w:r w:rsidR="00DC7A2C">
      <w:rPr>
        <w:color w:val="000000" w:themeColor="text1"/>
        <w:sz w:val="24"/>
        <w:szCs w:val="24"/>
        <w:rtl/>
      </w:rPr>
      <w:t>تطب</w:t>
    </w:r>
    <w:r w:rsidR="00DC7A2C">
      <w:rPr>
        <w:rFonts w:hint="cs"/>
        <w:color w:val="000000" w:themeColor="text1"/>
        <w:sz w:val="24"/>
        <w:szCs w:val="24"/>
        <w:rtl/>
      </w:rPr>
      <w:t>ی</w:t>
    </w:r>
    <w:r w:rsidR="00DC7A2C">
      <w:rPr>
        <w:rFonts w:hint="eastAsia"/>
        <w:color w:val="000000" w:themeColor="text1"/>
        <w:sz w:val="24"/>
        <w:szCs w:val="24"/>
        <w:rtl/>
      </w:rPr>
      <w:t>قات</w:t>
    </w:r>
    <w:r w:rsidR="00DC7A2C">
      <w:rPr>
        <w:color w:val="000000" w:themeColor="text1"/>
        <w:sz w:val="24"/>
        <w:szCs w:val="24"/>
        <w:rtl/>
      </w:rPr>
      <w:t xml:space="preserve"> تعارض غ</w:t>
    </w:r>
    <w:r w:rsidR="00DC7A2C">
      <w:rPr>
        <w:rFonts w:hint="cs"/>
        <w:color w:val="000000" w:themeColor="text1"/>
        <w:sz w:val="24"/>
        <w:szCs w:val="24"/>
        <w:rtl/>
      </w:rPr>
      <w:t>ی</w:t>
    </w:r>
    <w:r w:rsidR="00DC7A2C">
      <w:rPr>
        <w:rFonts w:hint="eastAsia"/>
        <w:color w:val="000000" w:themeColor="text1"/>
        <w:sz w:val="24"/>
        <w:szCs w:val="24"/>
        <w:rtl/>
      </w:rPr>
      <w:t>ر</w:t>
    </w:r>
    <w:r w:rsidR="00DC7A2C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2" w:name="Bokmoqarer"/>
    <w:bookmarkEnd w:id="12"/>
    <w:r w:rsidR="00DC7A2C">
      <w:rPr>
        <w:sz w:val="24"/>
        <w:szCs w:val="24"/>
        <w:rtl/>
      </w:rPr>
      <w:t>عل</w:t>
    </w:r>
    <w:r w:rsidR="00DC7A2C">
      <w:rPr>
        <w:rFonts w:hint="cs"/>
        <w:sz w:val="24"/>
        <w:szCs w:val="24"/>
        <w:rtl/>
      </w:rPr>
      <w:t>ی</w:t>
    </w:r>
    <w:r w:rsidR="00DC7A2C">
      <w:rPr>
        <w:sz w:val="24"/>
        <w:szCs w:val="24"/>
        <w:rtl/>
      </w:rPr>
      <w:t xml:space="preserve"> بهادرزا</w:t>
    </w:r>
    <w:r w:rsidR="00DC7A2C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3" w:name="BokSabj2"/>
    <w:bookmarkEnd w:id="13"/>
    <w:r w:rsidR="00DC7A2C">
      <w:rPr>
        <w:sz w:val="24"/>
        <w:szCs w:val="24"/>
        <w:rtl/>
      </w:rPr>
      <w:t>رابطه استصحاب و برائت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157D0"/>
    <w:rsid w:val="00025129"/>
    <w:rsid w:val="00025777"/>
    <w:rsid w:val="00025B70"/>
    <w:rsid w:val="00035161"/>
    <w:rsid w:val="000353D7"/>
    <w:rsid w:val="00036F05"/>
    <w:rsid w:val="00041BAE"/>
    <w:rsid w:val="00055496"/>
    <w:rsid w:val="00071C7F"/>
    <w:rsid w:val="00080A41"/>
    <w:rsid w:val="0008299B"/>
    <w:rsid w:val="000913AA"/>
    <w:rsid w:val="00094847"/>
    <w:rsid w:val="000951FC"/>
    <w:rsid w:val="00096C63"/>
    <w:rsid w:val="000A7B95"/>
    <w:rsid w:val="000B1455"/>
    <w:rsid w:val="000B5DB5"/>
    <w:rsid w:val="000C2DC2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944"/>
    <w:rsid w:val="00116B2B"/>
    <w:rsid w:val="00124E3D"/>
    <w:rsid w:val="00127E95"/>
    <w:rsid w:val="00130659"/>
    <w:rsid w:val="001347C7"/>
    <w:rsid w:val="001356B0"/>
    <w:rsid w:val="00137777"/>
    <w:rsid w:val="00151937"/>
    <w:rsid w:val="001535C6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5875"/>
    <w:rsid w:val="001B6799"/>
    <w:rsid w:val="001C1362"/>
    <w:rsid w:val="001C2DF7"/>
    <w:rsid w:val="001D233B"/>
    <w:rsid w:val="001D2E9A"/>
    <w:rsid w:val="001D597F"/>
    <w:rsid w:val="001E3FD4"/>
    <w:rsid w:val="0020241A"/>
    <w:rsid w:val="00203821"/>
    <w:rsid w:val="002054E6"/>
    <w:rsid w:val="00205C0F"/>
    <w:rsid w:val="00211632"/>
    <w:rsid w:val="0021524F"/>
    <w:rsid w:val="0021630D"/>
    <w:rsid w:val="00217B07"/>
    <w:rsid w:val="00217CFE"/>
    <w:rsid w:val="00225E03"/>
    <w:rsid w:val="0024121B"/>
    <w:rsid w:val="00247D2F"/>
    <w:rsid w:val="00256560"/>
    <w:rsid w:val="002623D0"/>
    <w:rsid w:val="00275D47"/>
    <w:rsid w:val="0027605E"/>
    <w:rsid w:val="0027769B"/>
    <w:rsid w:val="00281E00"/>
    <w:rsid w:val="002849CA"/>
    <w:rsid w:val="00292DFD"/>
    <w:rsid w:val="00294A52"/>
    <w:rsid w:val="002A4280"/>
    <w:rsid w:val="002B39FA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22AD6"/>
    <w:rsid w:val="0033402C"/>
    <w:rsid w:val="00340521"/>
    <w:rsid w:val="00345C73"/>
    <w:rsid w:val="00354A99"/>
    <w:rsid w:val="003554C4"/>
    <w:rsid w:val="00360311"/>
    <w:rsid w:val="00361922"/>
    <w:rsid w:val="0036365F"/>
    <w:rsid w:val="0037339B"/>
    <w:rsid w:val="003747AB"/>
    <w:rsid w:val="00380370"/>
    <w:rsid w:val="00384EEA"/>
    <w:rsid w:val="00386C11"/>
    <w:rsid w:val="00397466"/>
    <w:rsid w:val="003A6148"/>
    <w:rsid w:val="003C32D2"/>
    <w:rsid w:val="003C33F6"/>
    <w:rsid w:val="003C3D2E"/>
    <w:rsid w:val="003C43A5"/>
    <w:rsid w:val="003E1C5C"/>
    <w:rsid w:val="003E3F37"/>
    <w:rsid w:val="003E6650"/>
    <w:rsid w:val="003E7595"/>
    <w:rsid w:val="003F5B46"/>
    <w:rsid w:val="004007DD"/>
    <w:rsid w:val="00401363"/>
    <w:rsid w:val="00402E47"/>
    <w:rsid w:val="00404D42"/>
    <w:rsid w:val="00413D54"/>
    <w:rsid w:val="00420940"/>
    <w:rsid w:val="0042454E"/>
    <w:rsid w:val="00425015"/>
    <w:rsid w:val="00430994"/>
    <w:rsid w:val="00435776"/>
    <w:rsid w:val="00441B6D"/>
    <w:rsid w:val="004556EF"/>
    <w:rsid w:val="00462B07"/>
    <w:rsid w:val="00465BD2"/>
    <w:rsid w:val="00465D23"/>
    <w:rsid w:val="004715C8"/>
    <w:rsid w:val="00473A3A"/>
    <w:rsid w:val="00481C31"/>
    <w:rsid w:val="00481D8E"/>
    <w:rsid w:val="00482FC1"/>
    <w:rsid w:val="00483027"/>
    <w:rsid w:val="004871AA"/>
    <w:rsid w:val="004918D7"/>
    <w:rsid w:val="004926E1"/>
    <w:rsid w:val="004938A9"/>
    <w:rsid w:val="004A2FEA"/>
    <w:rsid w:val="004C64CB"/>
    <w:rsid w:val="004D2DD7"/>
    <w:rsid w:val="004D75C5"/>
    <w:rsid w:val="004E2186"/>
    <w:rsid w:val="004E66FB"/>
    <w:rsid w:val="004F470A"/>
    <w:rsid w:val="004F4C59"/>
    <w:rsid w:val="00500C8F"/>
    <w:rsid w:val="00501909"/>
    <w:rsid w:val="00505B53"/>
    <w:rsid w:val="00507BBB"/>
    <w:rsid w:val="005128DF"/>
    <w:rsid w:val="0051592A"/>
    <w:rsid w:val="005206FE"/>
    <w:rsid w:val="005257ED"/>
    <w:rsid w:val="005306F8"/>
    <w:rsid w:val="0054023D"/>
    <w:rsid w:val="005426BF"/>
    <w:rsid w:val="005515CB"/>
    <w:rsid w:val="0056213C"/>
    <w:rsid w:val="00580C24"/>
    <w:rsid w:val="00592F8A"/>
    <w:rsid w:val="00595BAC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5F287B"/>
    <w:rsid w:val="005F2B0B"/>
    <w:rsid w:val="00601229"/>
    <w:rsid w:val="00603B67"/>
    <w:rsid w:val="00607290"/>
    <w:rsid w:val="00613684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67F5E"/>
    <w:rsid w:val="00695519"/>
    <w:rsid w:val="006A4134"/>
    <w:rsid w:val="006A5DDA"/>
    <w:rsid w:val="006A6701"/>
    <w:rsid w:val="006A77A5"/>
    <w:rsid w:val="006B21F4"/>
    <w:rsid w:val="006B3753"/>
    <w:rsid w:val="006B6337"/>
    <w:rsid w:val="006B7AD6"/>
    <w:rsid w:val="006B7F9F"/>
    <w:rsid w:val="006C50FD"/>
    <w:rsid w:val="006D1DD4"/>
    <w:rsid w:val="006D4014"/>
    <w:rsid w:val="006D44C1"/>
    <w:rsid w:val="006E2796"/>
    <w:rsid w:val="006E5651"/>
    <w:rsid w:val="006E5B85"/>
    <w:rsid w:val="006F026A"/>
    <w:rsid w:val="0070265B"/>
    <w:rsid w:val="00704813"/>
    <w:rsid w:val="0071671E"/>
    <w:rsid w:val="007223A5"/>
    <w:rsid w:val="0072290D"/>
    <w:rsid w:val="00723D6D"/>
    <w:rsid w:val="00724537"/>
    <w:rsid w:val="00731724"/>
    <w:rsid w:val="0073305D"/>
    <w:rsid w:val="0073433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6179"/>
    <w:rsid w:val="007A7B8C"/>
    <w:rsid w:val="007C6D9E"/>
    <w:rsid w:val="007D1C43"/>
    <w:rsid w:val="007D6C53"/>
    <w:rsid w:val="007E1564"/>
    <w:rsid w:val="007E1E87"/>
    <w:rsid w:val="007E393B"/>
    <w:rsid w:val="007E5B3F"/>
    <w:rsid w:val="007F2257"/>
    <w:rsid w:val="0080091D"/>
    <w:rsid w:val="00804108"/>
    <w:rsid w:val="00804FC4"/>
    <w:rsid w:val="00811CEE"/>
    <w:rsid w:val="0081446B"/>
    <w:rsid w:val="00816367"/>
    <w:rsid w:val="00816A0B"/>
    <w:rsid w:val="00824B22"/>
    <w:rsid w:val="00830C53"/>
    <w:rsid w:val="00837FAA"/>
    <w:rsid w:val="00841F77"/>
    <w:rsid w:val="0085276D"/>
    <w:rsid w:val="0085782E"/>
    <w:rsid w:val="00863390"/>
    <w:rsid w:val="0086385C"/>
    <w:rsid w:val="00871916"/>
    <w:rsid w:val="008936C2"/>
    <w:rsid w:val="00893CAF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3363"/>
    <w:rsid w:val="008F5B4D"/>
    <w:rsid w:val="008F5D62"/>
    <w:rsid w:val="00907425"/>
    <w:rsid w:val="009165C1"/>
    <w:rsid w:val="00922F1C"/>
    <w:rsid w:val="00923C34"/>
    <w:rsid w:val="00924152"/>
    <w:rsid w:val="0092513D"/>
    <w:rsid w:val="00927A9F"/>
    <w:rsid w:val="009335CC"/>
    <w:rsid w:val="009342E4"/>
    <w:rsid w:val="00935A55"/>
    <w:rsid w:val="00941CEB"/>
    <w:rsid w:val="0094720F"/>
    <w:rsid w:val="0095007D"/>
    <w:rsid w:val="00953B28"/>
    <w:rsid w:val="00954322"/>
    <w:rsid w:val="00957046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3DF"/>
    <w:rsid w:val="009D266A"/>
    <w:rsid w:val="009D293A"/>
    <w:rsid w:val="009E5272"/>
    <w:rsid w:val="009E70C3"/>
    <w:rsid w:val="009F27C0"/>
    <w:rsid w:val="009F7E07"/>
    <w:rsid w:val="00A01522"/>
    <w:rsid w:val="00A101C7"/>
    <w:rsid w:val="00A10A11"/>
    <w:rsid w:val="00A13C6A"/>
    <w:rsid w:val="00A16ACC"/>
    <w:rsid w:val="00A17B09"/>
    <w:rsid w:val="00A267D2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027"/>
    <w:rsid w:val="00AC6FE2"/>
    <w:rsid w:val="00AD191C"/>
    <w:rsid w:val="00AF3925"/>
    <w:rsid w:val="00B1296B"/>
    <w:rsid w:val="00B2292F"/>
    <w:rsid w:val="00B24E86"/>
    <w:rsid w:val="00B305BD"/>
    <w:rsid w:val="00B43169"/>
    <w:rsid w:val="00B501A8"/>
    <w:rsid w:val="00B53676"/>
    <w:rsid w:val="00B55AE4"/>
    <w:rsid w:val="00B70B46"/>
    <w:rsid w:val="00B739B0"/>
    <w:rsid w:val="00B761AE"/>
    <w:rsid w:val="00B814A3"/>
    <w:rsid w:val="00B96F38"/>
    <w:rsid w:val="00BC716B"/>
    <w:rsid w:val="00BD0E74"/>
    <w:rsid w:val="00BD5F8C"/>
    <w:rsid w:val="00BE29DD"/>
    <w:rsid w:val="00BF01F9"/>
    <w:rsid w:val="00BF370D"/>
    <w:rsid w:val="00BF5248"/>
    <w:rsid w:val="00BF6837"/>
    <w:rsid w:val="00C066AF"/>
    <w:rsid w:val="00C10E06"/>
    <w:rsid w:val="00C145B8"/>
    <w:rsid w:val="00C15460"/>
    <w:rsid w:val="00C2438F"/>
    <w:rsid w:val="00C31AF0"/>
    <w:rsid w:val="00C32A7E"/>
    <w:rsid w:val="00C34F28"/>
    <w:rsid w:val="00C368DF"/>
    <w:rsid w:val="00C442C5"/>
    <w:rsid w:val="00C523BA"/>
    <w:rsid w:val="00C57B5C"/>
    <w:rsid w:val="00C57C7C"/>
    <w:rsid w:val="00C61049"/>
    <w:rsid w:val="00C63FFE"/>
    <w:rsid w:val="00C743B2"/>
    <w:rsid w:val="00C8477B"/>
    <w:rsid w:val="00C91EB6"/>
    <w:rsid w:val="00C941C3"/>
    <w:rsid w:val="00C94722"/>
    <w:rsid w:val="00CA10B0"/>
    <w:rsid w:val="00CA2F8E"/>
    <w:rsid w:val="00CA3EE2"/>
    <w:rsid w:val="00CA7FD5"/>
    <w:rsid w:val="00CB054B"/>
    <w:rsid w:val="00CB3287"/>
    <w:rsid w:val="00CB33E2"/>
    <w:rsid w:val="00CB4E68"/>
    <w:rsid w:val="00CC2733"/>
    <w:rsid w:val="00CC287B"/>
    <w:rsid w:val="00CC2C49"/>
    <w:rsid w:val="00CD0050"/>
    <w:rsid w:val="00CD3CFE"/>
    <w:rsid w:val="00CD4E36"/>
    <w:rsid w:val="00CE589E"/>
    <w:rsid w:val="00CE7481"/>
    <w:rsid w:val="00CF0A8F"/>
    <w:rsid w:val="00CF4ED7"/>
    <w:rsid w:val="00D048CE"/>
    <w:rsid w:val="00D07E5B"/>
    <w:rsid w:val="00D10998"/>
    <w:rsid w:val="00D15CBD"/>
    <w:rsid w:val="00D221CB"/>
    <w:rsid w:val="00D2266D"/>
    <w:rsid w:val="00D23391"/>
    <w:rsid w:val="00D31805"/>
    <w:rsid w:val="00D412DB"/>
    <w:rsid w:val="00D552B9"/>
    <w:rsid w:val="00D57808"/>
    <w:rsid w:val="00D6739B"/>
    <w:rsid w:val="00D735B2"/>
    <w:rsid w:val="00D74021"/>
    <w:rsid w:val="00D76D01"/>
    <w:rsid w:val="00D85AF7"/>
    <w:rsid w:val="00D90ECD"/>
    <w:rsid w:val="00D922A9"/>
    <w:rsid w:val="00D926D8"/>
    <w:rsid w:val="00D9394A"/>
    <w:rsid w:val="00DA062A"/>
    <w:rsid w:val="00DA77E0"/>
    <w:rsid w:val="00DB0CBB"/>
    <w:rsid w:val="00DB67CC"/>
    <w:rsid w:val="00DC3783"/>
    <w:rsid w:val="00DC7A2C"/>
    <w:rsid w:val="00DD2584"/>
    <w:rsid w:val="00DE1070"/>
    <w:rsid w:val="00DF4FB3"/>
    <w:rsid w:val="00E00219"/>
    <w:rsid w:val="00E0316B"/>
    <w:rsid w:val="00E220E0"/>
    <w:rsid w:val="00E25E10"/>
    <w:rsid w:val="00E50B41"/>
    <w:rsid w:val="00E51128"/>
    <w:rsid w:val="00E5219B"/>
    <w:rsid w:val="00E52D07"/>
    <w:rsid w:val="00E5518B"/>
    <w:rsid w:val="00E609FE"/>
    <w:rsid w:val="00E630BE"/>
    <w:rsid w:val="00E75920"/>
    <w:rsid w:val="00E80D96"/>
    <w:rsid w:val="00E8266F"/>
    <w:rsid w:val="00E871FA"/>
    <w:rsid w:val="00E87684"/>
    <w:rsid w:val="00E90714"/>
    <w:rsid w:val="00E936A4"/>
    <w:rsid w:val="00E954BB"/>
    <w:rsid w:val="00EA333D"/>
    <w:rsid w:val="00EA45E7"/>
    <w:rsid w:val="00EB78E3"/>
    <w:rsid w:val="00EB7BE3"/>
    <w:rsid w:val="00EC1C4B"/>
    <w:rsid w:val="00EC735A"/>
    <w:rsid w:val="00ED5F38"/>
    <w:rsid w:val="00EE4278"/>
    <w:rsid w:val="00EF27FE"/>
    <w:rsid w:val="00F07FB6"/>
    <w:rsid w:val="00F149D0"/>
    <w:rsid w:val="00F16B53"/>
    <w:rsid w:val="00F173DD"/>
    <w:rsid w:val="00F25ECD"/>
    <w:rsid w:val="00F318BE"/>
    <w:rsid w:val="00F33297"/>
    <w:rsid w:val="00F343FB"/>
    <w:rsid w:val="00F359FE"/>
    <w:rsid w:val="00F42159"/>
    <w:rsid w:val="00F4256E"/>
    <w:rsid w:val="00F42EE1"/>
    <w:rsid w:val="00F546AA"/>
    <w:rsid w:val="00F60F1F"/>
    <w:rsid w:val="00F64141"/>
    <w:rsid w:val="00F66949"/>
    <w:rsid w:val="00F67508"/>
    <w:rsid w:val="00F71FC9"/>
    <w:rsid w:val="00F72135"/>
    <w:rsid w:val="00F73B48"/>
    <w:rsid w:val="00F74F51"/>
    <w:rsid w:val="00F80876"/>
    <w:rsid w:val="00F842AD"/>
    <w:rsid w:val="00F914EB"/>
    <w:rsid w:val="00F91B85"/>
    <w:rsid w:val="00F938E7"/>
    <w:rsid w:val="00FA380C"/>
    <w:rsid w:val="00FA3B17"/>
    <w:rsid w:val="00FA5E8D"/>
    <w:rsid w:val="00FA5F3D"/>
    <w:rsid w:val="00FB399E"/>
    <w:rsid w:val="00FB3D7D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3102/4/599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07A53-9F1B-4C2F-A659-89DC1E282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196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2205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139</cp:revision>
  <cp:lastPrinted>2018-11-20T20:33:00Z</cp:lastPrinted>
  <dcterms:created xsi:type="dcterms:W3CDTF">2018-11-20T17:17:00Z</dcterms:created>
  <dcterms:modified xsi:type="dcterms:W3CDTF">2018-11-20T20:33:00Z</dcterms:modified>
  <cp:contentStatus>ویرایش 2.5</cp:contentStatus>
  <cp:version>2.7</cp:version>
</cp:coreProperties>
</file>