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6236A" w:rsidRDefault="0026236A" w:rsidP="0026236A">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7713818" w:history="1">
        <w:r w:rsidRPr="00DE2C9B">
          <w:rPr>
            <w:rStyle w:val="Hyperlink"/>
            <w:noProof/>
            <w:rtl/>
          </w:rPr>
          <w:t>عدم اختصاص ورود به موارد ثبوت تکل</w:t>
        </w:r>
        <w:r w:rsidRPr="00DE2C9B">
          <w:rPr>
            <w:rStyle w:val="Hyperlink"/>
            <w:rFonts w:hint="cs"/>
            <w:noProof/>
            <w:rtl/>
          </w:rPr>
          <w:t>ی</w:t>
        </w:r>
        <w:r w:rsidRPr="00DE2C9B">
          <w:rPr>
            <w:rStyle w:val="Hyperlink"/>
            <w:rFonts w:hint="eastAsia"/>
            <w:noProof/>
            <w:rtl/>
          </w:rPr>
          <w:t>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Toc527713818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6236A" w:rsidRDefault="0026236A" w:rsidP="0026236A">
      <w:pPr>
        <w:pStyle w:val="TOC1"/>
        <w:rPr>
          <w:rFonts w:asciiTheme="minorHAnsi" w:eastAsiaTheme="minorEastAsia" w:hAnsiTheme="minorHAnsi" w:cstheme="minorBidi"/>
          <w:noProof/>
          <w:color w:val="auto"/>
          <w:szCs w:val="22"/>
          <w:rtl/>
        </w:rPr>
      </w:pPr>
      <w:hyperlink w:anchor="_Toc527713819" w:history="1">
        <w:r w:rsidRPr="00DE2C9B">
          <w:rPr>
            <w:rStyle w:val="Hyperlink"/>
            <w:noProof/>
            <w:rtl/>
          </w:rPr>
          <w:t>عدم اختصاص ورود به موارد تض</w:t>
        </w:r>
        <w:r w:rsidRPr="00DE2C9B">
          <w:rPr>
            <w:rStyle w:val="Hyperlink"/>
            <w:rFonts w:hint="cs"/>
            <w:noProof/>
            <w:rtl/>
          </w:rPr>
          <w:t>یی</w:t>
        </w:r>
        <w:r w:rsidRPr="00DE2C9B">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Toc527713819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6236A" w:rsidRDefault="0026236A" w:rsidP="0026236A">
      <w:pPr>
        <w:pStyle w:val="TOC1"/>
        <w:rPr>
          <w:rFonts w:asciiTheme="minorHAnsi" w:eastAsiaTheme="minorEastAsia" w:hAnsiTheme="minorHAnsi" w:cstheme="minorBidi"/>
          <w:noProof/>
          <w:color w:val="auto"/>
          <w:szCs w:val="22"/>
          <w:rtl/>
        </w:rPr>
      </w:pPr>
      <w:hyperlink w:anchor="_Toc527713820" w:history="1">
        <w:r w:rsidRPr="00DE2C9B">
          <w:rPr>
            <w:rStyle w:val="Hyperlink"/>
            <w:noProof/>
            <w:rtl/>
          </w:rPr>
          <w:t>ورود احکام اول</w:t>
        </w:r>
        <w:r w:rsidRPr="00DE2C9B">
          <w:rPr>
            <w:rStyle w:val="Hyperlink"/>
            <w:rFonts w:hint="cs"/>
            <w:noProof/>
            <w:rtl/>
          </w:rPr>
          <w:t>ی</w:t>
        </w:r>
        <w:r w:rsidRPr="00DE2C9B">
          <w:rPr>
            <w:rStyle w:val="Hyperlink"/>
            <w:noProof/>
            <w:rtl/>
          </w:rPr>
          <w:t xml:space="preserve"> بر احکام ثانو</w:t>
        </w:r>
        <w:r w:rsidRPr="00DE2C9B">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Toc527713820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343FB" w:rsidRPr="00A6366F" w:rsidRDefault="0026236A" w:rsidP="0026236A">
      <w:r>
        <w:fldChar w:fldCharType="end"/>
      </w:r>
      <w:r w:rsidR="00F842AD" w:rsidRPr="009C66D5">
        <w:rPr>
          <w:rStyle w:val="Emphasis"/>
          <w:rFonts w:hint="cs"/>
          <w:b/>
          <w:bCs w:val="0"/>
          <w:rtl/>
        </w:rPr>
        <w:t>موضوع</w:t>
      </w:r>
      <w:r w:rsidR="00F842AD" w:rsidRPr="009C66D5">
        <w:rPr>
          <w:rStyle w:val="Emphasis"/>
          <w:rFonts w:hint="cs"/>
          <w:rtl/>
        </w:rPr>
        <w:t>:</w:t>
      </w:r>
      <w:r w:rsidR="00A6366F" w:rsidRPr="00A6366F">
        <w:rPr>
          <w:rFonts w:hint="cs"/>
          <w:rtl/>
        </w:rPr>
        <w:t xml:space="preserve"> </w:t>
      </w:r>
      <w:bookmarkStart w:id="0" w:name="BokSabj2_d"/>
      <w:bookmarkEnd w:id="0"/>
      <w:r w:rsidR="00CB1F7A">
        <w:rPr>
          <w:rtl/>
        </w:rPr>
        <w:t>ورود</w:t>
      </w:r>
      <w:r w:rsidR="00025B70">
        <w:rPr>
          <w:rFonts w:hint="cs"/>
          <w:rtl/>
        </w:rPr>
        <w:t xml:space="preserve"> </w:t>
      </w:r>
      <w:r w:rsidR="00386C11" w:rsidRPr="00A6366F">
        <w:rPr>
          <w:rFonts w:hint="cs"/>
          <w:rtl/>
        </w:rPr>
        <w:t>/</w:t>
      </w:r>
      <w:bookmarkStart w:id="1" w:name="BokSabj_d"/>
      <w:bookmarkEnd w:id="1"/>
      <w:r w:rsidR="00CB1F7A">
        <w:rPr>
          <w:rtl/>
        </w:rPr>
        <w:t>تعارض غ</w:t>
      </w:r>
      <w:r w:rsidR="00CB1F7A">
        <w:rPr>
          <w:rFonts w:hint="cs"/>
          <w:rtl/>
        </w:rPr>
        <w:t>ی</w:t>
      </w:r>
      <w:r w:rsidR="00CB1F7A">
        <w:rPr>
          <w:rFonts w:hint="eastAsia"/>
          <w:rtl/>
        </w:rPr>
        <w:t>ر</w:t>
      </w:r>
      <w:r w:rsidR="00CB1F7A">
        <w:rPr>
          <w:rtl/>
        </w:rPr>
        <w:t xml:space="preserve"> مستقر</w:t>
      </w:r>
      <w:r w:rsidR="00386C11" w:rsidRPr="00A6366F">
        <w:rPr>
          <w:rFonts w:hint="cs"/>
          <w:rtl/>
        </w:rPr>
        <w:t xml:space="preserve"> /</w:t>
      </w:r>
      <w:bookmarkStart w:id="2" w:name="Bokkolli"/>
      <w:bookmarkEnd w:id="2"/>
      <w:r w:rsidR="00CB1F7A">
        <w:rPr>
          <w:rtl/>
        </w:rPr>
        <w:t>تعارض ادله</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4804FD" w:rsidP="004804FD">
      <w:pPr>
        <w:pBdr>
          <w:bottom w:val="double" w:sz="6" w:space="1" w:color="auto"/>
        </w:pBdr>
        <w:jc w:val="both"/>
      </w:pPr>
      <w:r>
        <w:rPr>
          <w:rFonts w:hint="cs"/>
          <w:rtl/>
        </w:rPr>
        <w:t xml:space="preserve">   </w:t>
      </w:r>
      <w:r>
        <w:rPr>
          <w:rFonts w:hint="cs"/>
          <w:rtl/>
        </w:rPr>
        <w:t>پنج قسم برای ورود در کلام مرحوم صدر ذکر شده بود که به بررسی تفصیلی آن ها پرداختیم . اما این بحث احتیاج به چند متمّم دارد که کلام را پیرامون آن ها منعقد می کنیم .</w:t>
      </w:r>
    </w:p>
    <w:p w:rsidR="0026236A" w:rsidRDefault="0026236A" w:rsidP="0026236A">
      <w:pPr>
        <w:pStyle w:val="Heading1"/>
        <w:rPr>
          <w:rtl/>
        </w:rPr>
      </w:pPr>
      <w:bookmarkStart w:id="3" w:name="_Toc526949831"/>
      <w:bookmarkStart w:id="4" w:name="_Toc526957752"/>
      <w:bookmarkStart w:id="5" w:name="_Toc527713818"/>
      <w:bookmarkStart w:id="6" w:name="_GoBack"/>
      <w:bookmarkEnd w:id="6"/>
      <w:r>
        <w:rPr>
          <w:rFonts w:hint="cs"/>
          <w:rtl/>
        </w:rPr>
        <w:t>عدم اختصاص ورود به موارد ثبوت تکلیف</w:t>
      </w:r>
      <w:bookmarkEnd w:id="3"/>
      <w:bookmarkEnd w:id="4"/>
      <w:bookmarkEnd w:id="5"/>
      <w:r>
        <w:rPr>
          <w:rFonts w:hint="cs"/>
          <w:rtl/>
        </w:rPr>
        <w:t xml:space="preserve"> </w:t>
      </w:r>
    </w:p>
    <w:p w:rsidR="0026236A" w:rsidRDefault="0026236A" w:rsidP="0026236A">
      <w:pPr>
        <w:jc w:val="both"/>
        <w:rPr>
          <w:rtl/>
        </w:rPr>
      </w:pPr>
      <w:r>
        <w:rPr>
          <w:rFonts w:hint="cs"/>
          <w:rtl/>
        </w:rPr>
        <w:t xml:space="preserve">  مطلب اول آن است که در مبنای تقسیم مذکور ظاهرا فرض شده بود خطابی که مستدعی تکلیف است به لحاظ یک مرتبه اش می تواند بر تکلیفی دیگر وارد باشد . اما باید دقت کرد ورود اختصاص به تکالیف ندارد ، ورود در معنایی عامّ از خطابات قابل تصویر است حتی اگر که خطاب متضمّن تکلیف نباشد . مطابق تحقیق اگر خطاب حتی متکفّل حکم ترخیصی باشد ، باز هم ورود در آن متصوّر است ؛ مانند</w:t>
      </w:r>
      <w:r w:rsidRPr="007A4C30">
        <w:rPr>
          <w:rFonts w:hint="cs"/>
          <w:rtl/>
        </w:rPr>
        <w:t xml:space="preserve"> مقیّد بودن دلیل </w:t>
      </w:r>
      <w:r>
        <w:rPr>
          <w:rFonts w:hint="cs"/>
          <w:rtl/>
        </w:rPr>
        <w:t xml:space="preserve">جواز </w:t>
      </w:r>
      <w:r w:rsidRPr="007A4C30">
        <w:rPr>
          <w:rFonts w:hint="cs"/>
          <w:rtl/>
        </w:rPr>
        <w:t>قصاص در ط</w:t>
      </w:r>
      <w:r>
        <w:rPr>
          <w:rFonts w:hint="cs"/>
          <w:rtl/>
        </w:rPr>
        <w:t>َ</w:t>
      </w:r>
      <w:r w:rsidRPr="007A4C30">
        <w:rPr>
          <w:rFonts w:hint="cs"/>
          <w:rtl/>
        </w:rPr>
        <w:t xml:space="preserve">رف به عدم مشروعیت قصاص در نفس </w:t>
      </w:r>
      <w:r>
        <w:rPr>
          <w:rFonts w:hint="cs"/>
          <w:rtl/>
        </w:rPr>
        <w:t xml:space="preserve">، </w:t>
      </w:r>
      <w:r w:rsidRPr="007A4C30">
        <w:rPr>
          <w:rFonts w:hint="cs"/>
          <w:rtl/>
        </w:rPr>
        <w:t>یعنی دلیل قصاص در طَرف</w:t>
      </w:r>
      <w:r>
        <w:rPr>
          <w:rFonts w:hint="cs"/>
          <w:rtl/>
        </w:rPr>
        <w:t xml:space="preserve"> :</w:t>
      </w:r>
      <w:r w:rsidRPr="007A4C30">
        <w:rPr>
          <w:rFonts w:hint="cs"/>
          <w:rtl/>
        </w:rPr>
        <w:t xml:space="preserve"> </w:t>
      </w:r>
      <w:r>
        <w:rPr>
          <w:rFonts w:ascii="Times New Roman" w:hAnsi="Times New Roman" w:cs="Times New Roman" w:hint="cs"/>
          <w:color w:val="008000"/>
          <w:rtl/>
        </w:rPr>
        <w:t>﴿</w:t>
      </w:r>
      <w:r w:rsidRPr="00E22103">
        <w:rPr>
          <w:rFonts w:hint="cs"/>
          <w:color w:val="008000"/>
          <w:rtl/>
        </w:rPr>
        <w:t xml:space="preserve"> الع</w:t>
      </w:r>
      <w:r>
        <w:rPr>
          <w:rFonts w:hint="cs"/>
          <w:color w:val="008000"/>
          <w:rtl/>
        </w:rPr>
        <w:t>َ</w:t>
      </w:r>
      <w:r w:rsidRPr="00E22103">
        <w:rPr>
          <w:rFonts w:hint="cs"/>
          <w:color w:val="008000"/>
          <w:rtl/>
        </w:rPr>
        <w:t>ین</w:t>
      </w:r>
      <w:r>
        <w:rPr>
          <w:rFonts w:hint="cs"/>
          <w:color w:val="008000"/>
          <w:rtl/>
        </w:rPr>
        <w:t>ُ</w:t>
      </w:r>
      <w:r w:rsidRPr="007A4C30">
        <w:rPr>
          <w:rFonts w:hint="cs"/>
          <w:color w:val="008000"/>
          <w:rtl/>
        </w:rPr>
        <w:t xml:space="preserve"> ب</w:t>
      </w:r>
      <w:r>
        <w:rPr>
          <w:rFonts w:hint="cs"/>
          <w:color w:val="008000"/>
          <w:rtl/>
        </w:rPr>
        <w:t>ِ</w:t>
      </w:r>
      <w:r w:rsidRPr="007A4C30">
        <w:rPr>
          <w:rFonts w:hint="cs"/>
          <w:color w:val="008000"/>
          <w:rtl/>
        </w:rPr>
        <w:t>الع</w:t>
      </w:r>
      <w:r>
        <w:rPr>
          <w:rFonts w:hint="cs"/>
          <w:color w:val="008000"/>
          <w:rtl/>
        </w:rPr>
        <w:t>َ</w:t>
      </w:r>
      <w:r w:rsidRPr="007A4C30">
        <w:rPr>
          <w:rFonts w:hint="cs"/>
          <w:color w:val="008000"/>
          <w:rtl/>
        </w:rPr>
        <w:t>ین</w:t>
      </w:r>
      <w:r>
        <w:rPr>
          <w:rFonts w:hint="cs"/>
          <w:color w:val="008000"/>
          <w:rtl/>
        </w:rPr>
        <w:t>ِ</w:t>
      </w:r>
      <w:r w:rsidRPr="007A4C30">
        <w:rPr>
          <w:rFonts w:hint="cs"/>
          <w:color w:val="008000"/>
          <w:rtl/>
        </w:rPr>
        <w:t xml:space="preserve"> </w:t>
      </w:r>
      <w:r w:rsidRPr="006F0F7F">
        <w:rPr>
          <w:rFonts w:ascii="Times New Roman" w:hAnsi="Times New Roman" w:cs="Times New Roman" w:hint="cs"/>
          <w:color w:val="008000"/>
          <w:rtl/>
        </w:rPr>
        <w:t>﴾</w:t>
      </w:r>
      <w:r>
        <w:rPr>
          <w:rFonts w:ascii="Times New Roman" w:hAnsi="Times New Roman" w:hint="cs"/>
          <w:color w:val="008000"/>
          <w:rtl/>
        </w:rPr>
        <w:t xml:space="preserve"> </w:t>
      </w:r>
      <w:r w:rsidRPr="007A4C30">
        <w:rPr>
          <w:rFonts w:ascii="Times New Roman" w:hAnsi="Times New Roman" w:hint="cs"/>
          <w:color w:val="000000"/>
          <w:rtl/>
        </w:rPr>
        <w:t>مق</w:t>
      </w:r>
      <w:r w:rsidRPr="007A4C30">
        <w:rPr>
          <w:rFonts w:hint="cs"/>
          <w:color w:val="000000"/>
          <w:rtl/>
        </w:rPr>
        <w:t>یّد</w:t>
      </w:r>
      <w:r w:rsidRPr="007A4C30">
        <w:rPr>
          <w:rFonts w:hint="cs"/>
          <w:rtl/>
        </w:rPr>
        <w:t xml:space="preserve"> است به آن جایی </w:t>
      </w:r>
      <w:r>
        <w:rPr>
          <w:rFonts w:hint="cs"/>
          <w:rtl/>
        </w:rPr>
        <w:t>که شخص موضوع جواز قصاص در نفس نباشد . پس</w:t>
      </w:r>
      <w:r w:rsidRPr="007A4C30">
        <w:rPr>
          <w:rFonts w:hint="cs"/>
          <w:rtl/>
        </w:rPr>
        <w:t xml:space="preserve"> اگر کسی مورد جنایت در عضوی از اعضایش قرار گرفت و آن جنایت به سبب سرایت موجب مرگش شد </w:t>
      </w:r>
      <w:r>
        <w:rPr>
          <w:rFonts w:hint="cs"/>
          <w:rtl/>
        </w:rPr>
        <w:t xml:space="preserve">، ولی دمّ نمی تواند نسبت به جانی مطالبه قصاص در طَرف کند ؛ زیرا مجنی علیه موضوع قصاص در نفس قرار گرفته است : </w:t>
      </w:r>
      <w:r>
        <w:rPr>
          <w:rFonts w:ascii="Times New Roman" w:hAnsi="Times New Roman" w:cs="Times New Roman" w:hint="cs"/>
          <w:color w:val="008000"/>
          <w:rtl/>
        </w:rPr>
        <w:t>﴿</w:t>
      </w:r>
      <w:r w:rsidRPr="006F0F7F">
        <w:rPr>
          <w:rFonts w:hint="cs"/>
          <w:color w:val="008000"/>
          <w:rtl/>
        </w:rPr>
        <w:t>مَن قُتِلَ مَظلُوماً فَقَد جَعَلنا لِوَلِیّهِ</w:t>
      </w:r>
      <w:r>
        <w:rPr>
          <w:rFonts w:hint="cs"/>
          <w:color w:val="008000"/>
          <w:rtl/>
        </w:rPr>
        <w:t xml:space="preserve"> سُلطاناً </w:t>
      </w:r>
      <w:r w:rsidRPr="006F0F7F">
        <w:rPr>
          <w:rFonts w:ascii="Times New Roman" w:hAnsi="Times New Roman" w:cs="Times New Roman" w:hint="cs"/>
          <w:color w:val="008000"/>
          <w:rtl/>
        </w:rPr>
        <w:t>﴾</w:t>
      </w:r>
      <w:r>
        <w:rPr>
          <w:rStyle w:val="FootnoteReference"/>
          <w:rFonts w:ascii="Times New Roman" w:hAnsi="Times New Roman" w:cs="Times New Roman"/>
          <w:color w:val="008000"/>
          <w:rtl/>
        </w:rPr>
        <w:footnoteReference w:id="1"/>
      </w:r>
      <w:r>
        <w:rPr>
          <w:rFonts w:ascii="Times New Roman" w:hAnsi="Times New Roman" w:cs="Times New Roman" w:hint="cs"/>
          <w:color w:val="008000"/>
          <w:rtl/>
        </w:rPr>
        <w:t xml:space="preserve"> </w:t>
      </w:r>
      <w:r>
        <w:rPr>
          <w:rFonts w:hint="cs"/>
          <w:rtl/>
        </w:rPr>
        <w:t>و به همین دلیل ، موضوع قصاص در طَرف منتفی شده است .</w:t>
      </w:r>
    </w:p>
    <w:p w:rsidR="0026236A" w:rsidRDefault="0026236A" w:rsidP="0026236A">
      <w:pPr>
        <w:jc w:val="both"/>
        <w:rPr>
          <w:rtl/>
        </w:rPr>
      </w:pPr>
      <w:r>
        <w:rPr>
          <w:rFonts w:hint="cs"/>
          <w:rtl/>
        </w:rPr>
        <w:t xml:space="preserve">   البته اگر قید را این دانستیم که «شخص مورد قصاص نگرفته نباشد» نه اینکه «موضوع قصاص در نفس قرار نگرفته باشد»، ولی می تواند از قصاص نفس بگذرد اما مطالبه قصاص در طَرف بکند.در این فرض «دلیل قصاصِ نفس» با وقوع متعلّق خود، موضوع «قصاص در طرف» را رفع می کند. اما اگر شک کردیم قید کدام است؟قدر متیقّن از تقیید دلیل قصاص در طرف،وقوع قصاص در نفس است و اطلاق آن برای شمولیت مواردی که فقط موضوع قصاص در نفس قرار گرفته است ، قصوری ندارد .</w:t>
      </w:r>
    </w:p>
    <w:p w:rsidR="0026236A" w:rsidRDefault="0026236A" w:rsidP="0026236A">
      <w:pPr>
        <w:jc w:val="both"/>
        <w:rPr>
          <w:rtl/>
        </w:rPr>
      </w:pPr>
      <w:r>
        <w:rPr>
          <w:rFonts w:hint="cs"/>
          <w:rtl/>
        </w:rPr>
        <w:t xml:space="preserve">تنبیه : ورود در احکام وضعی هم قابل تصویر است ، مانند تطبیق همین مثال در ناحیه « حقّ قصاص » . </w:t>
      </w:r>
    </w:p>
    <w:p w:rsidR="0026236A" w:rsidRDefault="0026236A" w:rsidP="0026236A">
      <w:pPr>
        <w:pStyle w:val="Heading1"/>
        <w:rPr>
          <w:rtl/>
        </w:rPr>
      </w:pPr>
      <w:bookmarkStart w:id="7" w:name="_Toc526949832"/>
      <w:bookmarkStart w:id="8" w:name="_Toc526957753"/>
      <w:bookmarkStart w:id="9" w:name="_Toc527713819"/>
      <w:r>
        <w:rPr>
          <w:rFonts w:hint="cs"/>
          <w:rtl/>
        </w:rPr>
        <w:lastRenderedPageBreak/>
        <w:t>عدم اختصاص ورود به موارد تضییق</w:t>
      </w:r>
      <w:bookmarkEnd w:id="7"/>
      <w:bookmarkEnd w:id="8"/>
      <w:bookmarkEnd w:id="9"/>
    </w:p>
    <w:p w:rsidR="0026236A" w:rsidRDefault="0026236A" w:rsidP="0026236A">
      <w:pPr>
        <w:jc w:val="both"/>
        <w:rPr>
          <w:color w:val="000000"/>
          <w:rtl/>
        </w:rPr>
      </w:pPr>
      <w:r>
        <w:rPr>
          <w:rFonts w:hint="cs"/>
          <w:rtl/>
        </w:rPr>
        <w:t xml:space="preserve">   مطلب دوم آن است که ورود همانند حکومت اختصاص به موارد تضییق ندارد ، بلکه مصادیق توسعه ای هم دارد . تمام آن چه سابقا گذشت ورود تضییقی بود ، اما توسعه ای مانند اینکه شارع حقیقتا شرط صلات را حجّت بر طهارت قرار دهد که أعمّ از طهارت واقعی است</w:t>
      </w:r>
      <w:r>
        <w:rPr>
          <w:rStyle w:val="FootnoteReference"/>
          <w:rtl/>
        </w:rPr>
        <w:footnoteReference w:id="2"/>
      </w:r>
      <w:r>
        <w:rPr>
          <w:rFonts w:hint="cs"/>
          <w:rtl/>
        </w:rPr>
        <w:t xml:space="preserve">، در این حال اگر مکلّف با تمسّک به قاعده طهارت یا استصحاب طهارت یا بیّنه اقامه صلات کرد ، حقیقتا شرط صلات را محقّق کرده است . بله اگر دلیل اشتراط طهارت در صلات متضمّن بر اشتراط طهارت واقعی باشد مانند </w:t>
      </w:r>
      <w:r w:rsidRPr="0048430E">
        <w:rPr>
          <w:rFonts w:hint="cs"/>
          <w:color w:val="008000"/>
          <w:rtl/>
        </w:rPr>
        <w:t>« لا صلاه الا بطهور »</w:t>
      </w:r>
      <w:r>
        <w:rPr>
          <w:rFonts w:hint="cs"/>
          <w:color w:val="008000"/>
          <w:rtl/>
        </w:rPr>
        <w:t xml:space="preserve"> </w:t>
      </w:r>
      <w:r>
        <w:rPr>
          <w:rStyle w:val="FootnoteReference"/>
          <w:color w:val="008000"/>
          <w:rtl/>
        </w:rPr>
        <w:footnoteReference w:id="3"/>
      </w:r>
      <w:r w:rsidRPr="00FF5952">
        <w:rPr>
          <w:rFonts w:hint="cs"/>
          <w:color w:val="000000" w:themeColor="text1"/>
          <w:rtl/>
        </w:rPr>
        <w:t>،</w:t>
      </w:r>
      <w:r>
        <w:rPr>
          <w:rFonts w:hint="cs"/>
          <w:color w:val="008000"/>
          <w:rtl/>
        </w:rPr>
        <w:t xml:space="preserve"> </w:t>
      </w:r>
      <w:r w:rsidRPr="00C9722D">
        <w:rPr>
          <w:rFonts w:hint="cs"/>
          <w:color w:val="000000" w:themeColor="text1"/>
          <w:rtl/>
        </w:rPr>
        <w:t>قاعده طهارت یا استصحاب</w:t>
      </w:r>
      <w:r>
        <w:rPr>
          <w:rFonts w:hint="cs"/>
          <w:color w:val="000000" w:themeColor="text1"/>
          <w:rtl/>
        </w:rPr>
        <w:t xml:space="preserve"> طهارت و یا هر حجت دیگر ، حاکم </w:t>
      </w:r>
      <w:r w:rsidRPr="00C9722D">
        <w:rPr>
          <w:rFonts w:hint="cs"/>
          <w:color w:val="000000" w:themeColor="text1"/>
          <w:rtl/>
        </w:rPr>
        <w:t>است البته</w:t>
      </w:r>
      <w:r>
        <w:rPr>
          <w:rFonts w:hint="cs"/>
          <w:color w:val="000000" w:themeColor="text1"/>
          <w:rtl/>
        </w:rPr>
        <w:t xml:space="preserve"> به نحو</w:t>
      </w:r>
      <w:r w:rsidRPr="00C9722D">
        <w:rPr>
          <w:rFonts w:hint="cs"/>
          <w:color w:val="000000" w:themeColor="text1"/>
          <w:rtl/>
        </w:rPr>
        <w:t xml:space="preserve"> حکومت واقعی .</w:t>
      </w:r>
      <w:r>
        <w:rPr>
          <w:rFonts w:hint="cs"/>
          <w:color w:val="000000" w:themeColor="text1"/>
          <w:rtl/>
        </w:rPr>
        <w:t xml:space="preserve"> </w:t>
      </w:r>
      <w:r>
        <w:rPr>
          <w:rStyle w:val="FootnoteReference"/>
          <w:color w:val="000000" w:themeColor="text1"/>
          <w:rtl/>
        </w:rPr>
        <w:footnoteReference w:id="4"/>
      </w:r>
    </w:p>
    <w:p w:rsidR="0026236A" w:rsidRDefault="0026236A" w:rsidP="0026236A">
      <w:pPr>
        <w:jc w:val="both"/>
        <w:rPr>
          <w:color w:val="000000"/>
          <w:rtl/>
        </w:rPr>
      </w:pPr>
      <w:r>
        <w:rPr>
          <w:rFonts w:hint="cs"/>
          <w:color w:val="000000"/>
          <w:rtl/>
        </w:rPr>
        <w:t xml:space="preserve">   به هر حال محصلّ مطلب ما این است که درموارد توسعه ای هم حقیقت ورود یعنی ثبوت حقیقی موضوع یک حکم به سبب تعبّد ، حاصل می شود حتی اگر اصطلاحا آن را ورود نام گذاری نکنیم و معتقد شویم ورود اختصاص به موارد نفی دارد .</w:t>
      </w:r>
    </w:p>
    <w:p w:rsidR="0026236A" w:rsidRDefault="0026236A" w:rsidP="0026236A">
      <w:pPr>
        <w:pStyle w:val="Heading1"/>
        <w:rPr>
          <w:rtl/>
        </w:rPr>
      </w:pPr>
      <w:bookmarkStart w:id="10" w:name="_Toc526957754"/>
      <w:bookmarkStart w:id="11" w:name="_Toc527713820"/>
      <w:r>
        <w:rPr>
          <w:rFonts w:hint="cs"/>
          <w:rtl/>
        </w:rPr>
        <w:t>ورود احکام اولی بر احکام ثانوی</w:t>
      </w:r>
      <w:bookmarkEnd w:id="10"/>
      <w:bookmarkEnd w:id="11"/>
      <w:r>
        <w:rPr>
          <w:rFonts w:hint="cs"/>
          <w:rtl/>
        </w:rPr>
        <w:t xml:space="preserve"> </w:t>
      </w:r>
    </w:p>
    <w:p w:rsidR="0026236A" w:rsidRDefault="0026236A" w:rsidP="0026236A">
      <w:pPr>
        <w:jc w:val="both"/>
        <w:rPr>
          <w:color w:val="000000"/>
          <w:rtl/>
        </w:rPr>
      </w:pPr>
      <w:r>
        <w:rPr>
          <w:rFonts w:hint="cs"/>
          <w:color w:val="000000"/>
          <w:rtl/>
        </w:rPr>
        <w:t xml:space="preserve">   آخرین مطلب هم آن است که گاهی حکمی مقیّد می شود به عدم حکم دیگر به نحو مطلق ، و گاهی مقیّد می شود به آن چه که در کلمات مرحوم صدر از آن تعبیر به « عدم لولایی » شده است . با این اختلاف در کیفیت لحاظ ، منافات میان گروه بزرگی از احکام یعنی احکام اولی و ثانوی رفع می شود .</w:t>
      </w:r>
    </w:p>
    <w:p w:rsidR="001A1EA5" w:rsidRPr="006162A2" w:rsidRDefault="0026236A" w:rsidP="0026236A">
      <w:pPr>
        <w:rPr>
          <w:rtl/>
        </w:rPr>
      </w:pPr>
      <w:r>
        <w:rPr>
          <w:rFonts w:hint="cs"/>
          <w:color w:val="000000"/>
          <w:rtl/>
        </w:rPr>
        <w:t xml:space="preserve">   توضیح آن که اگر دلیلی مقیّد شود به عدم مطلق دلیل دیگر و آن دلیل مقیّد شود به عدم خاص و لولایی ، تنافی میان آن دو وجود ندارد . مثال اصیل این قسم احکام اولی و ثانوی است ؛ مثلا دلیل وجوب حجّ و دلیل وجوب وفا به نذر . اگر کسی قبل از حصول استطاعت نذر کند روزعرفه زیارت حضرت سید الشهداء علیه السلام را انجام دهد ، آیا بعد از مستطیع شدن این دو وجوب با هم منافاتی دارند ؟ خیر ! زیرا ادله وجوب وفاء به نظر مقیّد است به « عدم وجوب تکلیف دیگری لولا وجوب وفاء به نذر »</w:t>
      </w:r>
      <w:r>
        <w:rPr>
          <w:rStyle w:val="FootnoteReference"/>
          <w:color w:val="000000"/>
          <w:rtl/>
        </w:rPr>
        <w:footnoteReference w:id="5"/>
      </w:r>
      <w:r>
        <w:rPr>
          <w:rFonts w:hint="cs"/>
          <w:color w:val="000000"/>
          <w:rtl/>
        </w:rPr>
        <w:t xml:space="preserve"> یعنی وفاء به نظر در جایی واجب است که اگر وجوب وفاء به نذر هم نبود ، تکلیف دیگری که در مثال حجّ است ، واجب نباشد ؛ بنابراین الان که حجّ واجب است وفاء به نذر واجب نیست و وجوب حجّ بر آن وارد است .</w:t>
      </w:r>
      <w:r>
        <w:rPr>
          <w:rStyle w:val="FootnoteReference"/>
          <w:color w:val="000000"/>
          <w:rtl/>
        </w:rPr>
        <w:footnoteReference w:id="6"/>
      </w:r>
      <w:r>
        <w:rPr>
          <w:rFonts w:hint="cs"/>
          <w:color w:val="000000"/>
          <w:rtl/>
        </w:rPr>
        <w:t xml:space="preserve"> البته اگر این قید نبود ، دلیل وجوب نذر وارد بود زیرا که قدرت شرعی در حج شرط است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AAE" w:rsidRDefault="00B34AAE" w:rsidP="008B750B">
      <w:pPr>
        <w:spacing w:line="240" w:lineRule="auto"/>
      </w:pPr>
      <w:r>
        <w:separator/>
      </w:r>
    </w:p>
  </w:endnote>
  <w:endnote w:type="continuationSeparator" w:id="0">
    <w:p w:rsidR="00B34AAE" w:rsidRDefault="00B34AA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6236A" w:rsidRPr="0026236A">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B1F7A" w:rsidP="001B6799">
          <w:pPr>
            <w:pStyle w:val="Footer"/>
            <w:bidi w:val="0"/>
            <w:rPr>
              <w:color w:val="808080" w:themeColor="background1" w:themeShade="80"/>
              <w:rtl/>
            </w:rPr>
          </w:pPr>
          <w:bookmarkStart w:id="19" w:name="BokAdres"/>
          <w:bookmarkEnd w:id="19"/>
          <w:r>
            <w:rPr>
              <w:color w:val="808080" w:themeColor="background1" w:themeShade="80"/>
            </w:rPr>
            <w:t>U1mq1_13970718-012_ab1_mfeb.ir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AAE" w:rsidRDefault="00B34AAE" w:rsidP="008B750B">
      <w:pPr>
        <w:spacing w:line="240" w:lineRule="auto"/>
      </w:pPr>
      <w:r>
        <w:separator/>
      </w:r>
    </w:p>
  </w:footnote>
  <w:footnote w:type="continuationSeparator" w:id="0">
    <w:p w:rsidR="00B34AAE" w:rsidRDefault="00B34AAE" w:rsidP="008B750B">
      <w:pPr>
        <w:spacing w:line="240" w:lineRule="auto"/>
      </w:pPr>
      <w:r>
        <w:continuationSeparator/>
      </w:r>
    </w:p>
  </w:footnote>
  <w:footnote w:id="1">
    <w:p w:rsidR="0026236A" w:rsidRPr="00A933AD" w:rsidRDefault="0026236A" w:rsidP="0026236A">
      <w:pPr>
        <w:pStyle w:val="FootnoteText"/>
        <w:jc w:val="both"/>
      </w:pPr>
      <w:r w:rsidRPr="00A933AD">
        <w:footnoteRef/>
      </w:r>
      <w:r w:rsidRPr="00A933AD">
        <w:rPr>
          <w:rFonts w:hint="cs"/>
          <w:rtl/>
        </w:rPr>
        <w:t>.</w:t>
      </w:r>
      <w:r w:rsidRPr="00A933AD">
        <w:rPr>
          <w:rtl/>
        </w:rPr>
        <w:t xml:space="preserve"> </w:t>
      </w:r>
      <w:r w:rsidRPr="00A933AD">
        <w:rPr>
          <w:rFonts w:hint="eastAsia"/>
          <w:rtl/>
        </w:rPr>
        <w:t>سوره</w:t>
      </w:r>
      <w:r w:rsidRPr="00A933AD">
        <w:rPr>
          <w:rtl/>
        </w:rPr>
        <w:t xml:space="preserve"> اسراء، آيه 33.</w:t>
      </w:r>
    </w:p>
  </w:footnote>
  <w:footnote w:id="2">
    <w:p w:rsidR="0026236A" w:rsidRPr="00A933AD" w:rsidRDefault="0026236A" w:rsidP="0026236A">
      <w:pPr>
        <w:pStyle w:val="FootnoteText"/>
        <w:jc w:val="both"/>
      </w:pPr>
      <w:r w:rsidRPr="00A933AD">
        <w:rPr>
          <w:rStyle w:val="FootnoteReference"/>
          <w:vertAlign w:val="baseline"/>
        </w:rPr>
        <w:footnoteRef/>
      </w:r>
      <w:r w:rsidRPr="00A933AD">
        <w:rPr>
          <w:rFonts w:hint="cs"/>
          <w:rtl/>
        </w:rPr>
        <w:t xml:space="preserve">. </w:t>
      </w:r>
      <w:r w:rsidRPr="00A933AD">
        <w:rPr>
          <w:rFonts w:hint="cs"/>
          <w:rtl/>
        </w:rPr>
        <w:t>این توسعه واقعی است ، پس کشف خلافی که بعدا ممکن است حاصل شود کشف خلاف در طهارت است نه در شرط صلات .</w:t>
      </w:r>
    </w:p>
  </w:footnote>
  <w:footnote w:id="3">
    <w:p w:rsidR="0026236A" w:rsidRPr="00A933AD" w:rsidRDefault="0026236A" w:rsidP="0026236A">
      <w:pPr>
        <w:pStyle w:val="FootnoteText"/>
        <w:jc w:val="both"/>
      </w:pPr>
      <w:r w:rsidRPr="00A933AD">
        <w:t>.</w:t>
      </w:r>
      <w:r w:rsidRPr="00A933AD">
        <w:footnoteRef/>
      </w:r>
      <w:r w:rsidRPr="00A933AD">
        <w:rPr>
          <w:rtl/>
        </w:rPr>
        <w:t xml:space="preserve"> </w:t>
      </w:r>
      <w:hyperlink r:id="rId1" w:history="1">
        <w:r w:rsidRPr="00A933AD">
          <w:rPr>
            <w:rStyle w:val="Hyperlink"/>
            <w:rtl/>
          </w:rPr>
          <w:t xml:space="preserve">من لا </w:t>
        </w:r>
        <w:r w:rsidRPr="00A933AD">
          <w:rPr>
            <w:rStyle w:val="Hyperlink"/>
            <w:rFonts w:hint="cs"/>
            <w:rtl/>
          </w:rPr>
          <w:t>ی</w:t>
        </w:r>
        <w:r w:rsidRPr="00A933AD">
          <w:rPr>
            <w:rStyle w:val="Hyperlink"/>
            <w:rFonts w:hint="eastAsia"/>
            <w:rtl/>
          </w:rPr>
          <w:t>حضره</w:t>
        </w:r>
        <w:r w:rsidRPr="00A933AD">
          <w:rPr>
            <w:rStyle w:val="Hyperlink"/>
            <w:rtl/>
          </w:rPr>
          <w:t xml:space="preserve"> الفق</w:t>
        </w:r>
        <w:r w:rsidRPr="00A933AD">
          <w:rPr>
            <w:rStyle w:val="Hyperlink"/>
            <w:rFonts w:hint="cs"/>
            <w:rtl/>
          </w:rPr>
          <w:t>ی</w:t>
        </w:r>
        <w:r w:rsidRPr="00A933AD">
          <w:rPr>
            <w:rStyle w:val="Hyperlink"/>
            <w:rFonts w:hint="eastAsia"/>
            <w:rtl/>
          </w:rPr>
          <w:t>ه،</w:t>
        </w:r>
        <w:r w:rsidRPr="00A933AD">
          <w:rPr>
            <w:rStyle w:val="Hyperlink"/>
            <w:rtl/>
          </w:rPr>
          <w:t xml:space="preserve"> ش</w:t>
        </w:r>
        <w:r w:rsidRPr="00A933AD">
          <w:rPr>
            <w:rStyle w:val="Hyperlink"/>
            <w:rFonts w:hint="cs"/>
            <w:rtl/>
          </w:rPr>
          <w:t>ی</w:t>
        </w:r>
        <w:r w:rsidRPr="00A933AD">
          <w:rPr>
            <w:rStyle w:val="Hyperlink"/>
            <w:rFonts w:hint="eastAsia"/>
            <w:rtl/>
          </w:rPr>
          <w:t>خ</w:t>
        </w:r>
        <w:r w:rsidRPr="00A933AD">
          <w:rPr>
            <w:rStyle w:val="Hyperlink"/>
            <w:rtl/>
          </w:rPr>
          <w:t xml:space="preserve"> صدوق، ج1، ص58</w:t>
        </w:r>
        <w:r w:rsidRPr="00A933AD">
          <w:rPr>
            <w:rStyle w:val="Hyperlink"/>
          </w:rPr>
          <w:t>.</w:t>
        </w:r>
      </w:hyperlink>
    </w:p>
  </w:footnote>
  <w:footnote w:id="4">
    <w:p w:rsidR="0026236A" w:rsidRPr="00A933AD" w:rsidRDefault="0026236A" w:rsidP="0026236A">
      <w:pPr>
        <w:pStyle w:val="FootnoteText"/>
        <w:jc w:val="both"/>
      </w:pPr>
      <w:r w:rsidRPr="00A933AD">
        <w:rPr>
          <w:rStyle w:val="FootnoteReference"/>
          <w:vertAlign w:val="baseline"/>
        </w:rPr>
        <w:footnoteRef/>
      </w:r>
      <w:r w:rsidRPr="00A933AD">
        <w:rPr>
          <w:rFonts w:hint="cs"/>
          <w:rtl/>
        </w:rPr>
        <w:t>. این موارد مصادیق حکومت توسعه ای هستند که سابقا گفته شد شارحیت در آن ها شرط نیست ؛ زیرا لسان آن ها لسان مستقلّی برای تشریع است .</w:t>
      </w:r>
    </w:p>
  </w:footnote>
  <w:footnote w:id="5">
    <w:p w:rsidR="0026236A" w:rsidRPr="00A933AD" w:rsidRDefault="0026236A" w:rsidP="0026236A">
      <w:pPr>
        <w:pStyle w:val="FootnoteText"/>
        <w:jc w:val="both"/>
        <w:rPr>
          <w:rtl/>
        </w:rPr>
      </w:pPr>
      <w:r w:rsidRPr="00A933AD">
        <w:rPr>
          <w:rStyle w:val="FootnoteReference"/>
          <w:vertAlign w:val="baseline"/>
        </w:rPr>
        <w:footnoteRef/>
      </w:r>
      <w:r w:rsidRPr="00A933AD">
        <w:rPr>
          <w:rFonts w:hint="cs"/>
          <w:rtl/>
        </w:rPr>
        <w:t xml:space="preserve">. </w:t>
      </w:r>
      <w:r w:rsidRPr="00A933AD">
        <w:rPr>
          <w:rFonts w:hint="cs"/>
          <w:rtl/>
        </w:rPr>
        <w:t>کیفیت أخذ و منشا ثبوت این قید بعدا طرح می شود .</w:t>
      </w:r>
    </w:p>
  </w:footnote>
  <w:footnote w:id="6">
    <w:p w:rsidR="0026236A" w:rsidRPr="00A933AD" w:rsidRDefault="0026236A" w:rsidP="0026236A">
      <w:pPr>
        <w:pStyle w:val="FootnoteText"/>
        <w:jc w:val="both"/>
      </w:pPr>
      <w:r w:rsidRPr="00A933AD">
        <w:rPr>
          <w:rStyle w:val="FootnoteReference"/>
          <w:vertAlign w:val="baseline"/>
        </w:rPr>
        <w:footnoteRef/>
      </w:r>
      <w:r w:rsidRPr="00A933AD">
        <w:rPr>
          <w:rFonts w:hint="cs"/>
          <w:rtl/>
        </w:rPr>
        <w:t xml:space="preserve">. </w:t>
      </w:r>
      <w:r w:rsidRPr="00A933AD">
        <w:rPr>
          <w:rFonts w:hint="cs"/>
          <w:rtl/>
        </w:rPr>
        <w:t>مرحوم صاح</w:t>
      </w:r>
      <w:r>
        <w:rPr>
          <w:rFonts w:hint="cs"/>
          <w:rtl/>
        </w:rPr>
        <w:t xml:space="preserve">ب جواهر با این امر مخالفند </w:t>
      </w:r>
      <w:r w:rsidRPr="00A933AD">
        <w:rPr>
          <w:rFonts w:hint="cs"/>
          <w:rtl/>
        </w:rPr>
        <w:t xml:space="preserve"> ، مطابق قاعده هم</w:t>
      </w:r>
      <w:r>
        <w:rPr>
          <w:rFonts w:hint="cs"/>
          <w:rtl/>
        </w:rPr>
        <w:t xml:space="preserve"> اگر این قید نبود نظر ایشان</w:t>
      </w:r>
      <w:r w:rsidRPr="00A933AD">
        <w:rPr>
          <w:rFonts w:hint="cs"/>
          <w:rtl/>
        </w:rPr>
        <w:t xml:space="preserve"> </w:t>
      </w:r>
      <w:r>
        <w:rPr>
          <w:rFonts w:hint="cs"/>
          <w:rtl/>
        </w:rPr>
        <w:t>صحیح است . به همین دلیل گفته شده</w:t>
      </w:r>
      <w:r w:rsidRPr="00A933AD">
        <w:rPr>
          <w:rFonts w:hint="cs"/>
          <w:rtl/>
        </w:rPr>
        <w:t xml:space="preserve"> بحث مقدمات مفوّته خلاف قاعده 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CB1F7A">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B1F7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B1F7A">
      <w:rPr>
        <w:b/>
        <w:bCs/>
        <w:color w:val="632423" w:themeColor="accent2" w:themeShade="80"/>
        <w:sz w:val="20"/>
        <w:szCs w:val="24"/>
        <w:rtl/>
      </w:rPr>
      <w:t>قائ</w:t>
    </w:r>
    <w:r w:rsidR="00CB1F7A">
      <w:rPr>
        <w:rFonts w:hint="cs"/>
        <w:b/>
        <w:bCs/>
        <w:color w:val="632423" w:themeColor="accent2" w:themeShade="80"/>
        <w:sz w:val="20"/>
        <w:szCs w:val="24"/>
        <w:rtl/>
      </w:rPr>
      <w:t>ی</w:t>
    </w:r>
    <w:r w:rsidR="00CB1F7A">
      <w:rPr>
        <w:rFonts w:hint="eastAsia"/>
        <w:b/>
        <w:bCs/>
        <w:color w:val="632423" w:themeColor="accent2" w:themeShade="80"/>
        <w:sz w:val="20"/>
        <w:szCs w:val="24"/>
        <w:rtl/>
      </w:rPr>
      <w:t>ن</w:t>
    </w:r>
    <w:r w:rsidR="00CB1F7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CB1F7A">
      <w:rPr>
        <w:sz w:val="24"/>
        <w:szCs w:val="24"/>
        <w:rtl/>
      </w:rPr>
      <w:t>18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CB1F7A">
      <w:rPr>
        <w:color w:val="000000" w:themeColor="text1"/>
        <w:sz w:val="24"/>
        <w:szCs w:val="24"/>
        <w:rtl/>
      </w:rPr>
      <w:t>تعارض غ</w:t>
    </w:r>
    <w:r w:rsidR="00CB1F7A">
      <w:rPr>
        <w:rFonts w:hint="cs"/>
        <w:color w:val="000000" w:themeColor="text1"/>
        <w:sz w:val="24"/>
        <w:szCs w:val="24"/>
        <w:rtl/>
      </w:rPr>
      <w:t>ی</w:t>
    </w:r>
    <w:r w:rsidR="00CB1F7A">
      <w:rPr>
        <w:rFonts w:hint="eastAsia"/>
        <w:color w:val="000000" w:themeColor="text1"/>
        <w:sz w:val="24"/>
        <w:szCs w:val="24"/>
        <w:rtl/>
      </w:rPr>
      <w:t>ر</w:t>
    </w:r>
    <w:r w:rsidR="00CB1F7A">
      <w:rPr>
        <w:color w:val="000000" w:themeColor="text1"/>
        <w:sz w:val="24"/>
        <w:szCs w:val="24"/>
        <w:rtl/>
      </w:rPr>
      <w:t xml:space="preserve"> مستقر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CB1F7A">
      <w:rPr>
        <w:sz w:val="24"/>
        <w:szCs w:val="24"/>
        <w:rtl/>
      </w:rPr>
      <w:t>عل</w:t>
    </w:r>
    <w:r w:rsidR="00CB1F7A">
      <w:rPr>
        <w:rFonts w:hint="cs"/>
        <w:sz w:val="24"/>
        <w:szCs w:val="24"/>
        <w:rtl/>
      </w:rPr>
      <w:t>ی</w:t>
    </w:r>
    <w:r w:rsidR="00CB1F7A">
      <w:rPr>
        <w:sz w:val="24"/>
        <w:szCs w:val="24"/>
        <w:rtl/>
      </w:rPr>
      <w:t xml:space="preserve"> بهادرزا</w:t>
    </w:r>
    <w:r w:rsidR="00CB1F7A">
      <w:rPr>
        <w:rFonts w:hint="cs"/>
        <w:sz w:val="24"/>
        <w:szCs w:val="24"/>
        <w:rtl/>
      </w:rPr>
      <w:t>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B1F7A">
      <w:rPr>
        <w:sz w:val="24"/>
        <w:szCs w:val="24"/>
        <w:rtl/>
      </w:rPr>
      <w:t>ورود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236A"/>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4FD"/>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4AAE"/>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F7A"/>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1/1/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EAA76-0DF7-4CB0-B010-EA7853F7D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2</Pages>
  <Words>563</Words>
  <Characters>3214</Characters>
  <Application>Microsoft Office Word</Application>
  <DocSecurity>0</DocSecurity>
  <Lines>26</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3770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bahadorzaei</cp:lastModifiedBy>
  <cp:revision>4</cp:revision>
  <dcterms:created xsi:type="dcterms:W3CDTF">2018-10-19T08:30:00Z</dcterms:created>
  <dcterms:modified xsi:type="dcterms:W3CDTF">2018-10-19T08:31:00Z</dcterms:modified>
  <cp:contentStatus>ویرایش 2.5</cp:contentStatus>
  <cp:version>2.7</cp:version>
</cp:coreProperties>
</file>