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DA5" w:rsidRDefault="00723DA5" w:rsidP="00723DA5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29016698" w:history="1">
        <w:r w:rsidRPr="008A120E">
          <w:rPr>
            <w:rStyle w:val="Hyperlink"/>
            <w:noProof/>
            <w:rtl/>
          </w:rPr>
          <w:t>قر</w:t>
        </w:r>
        <w:r w:rsidRPr="008A120E">
          <w:rPr>
            <w:rStyle w:val="Hyperlink"/>
            <w:rFonts w:hint="cs"/>
            <w:noProof/>
            <w:rtl/>
          </w:rPr>
          <w:t>ی</w:t>
        </w:r>
        <w:r w:rsidRPr="008A120E">
          <w:rPr>
            <w:rStyle w:val="Hyperlink"/>
            <w:rFonts w:hint="eastAsia"/>
            <w:noProof/>
            <w:rtl/>
          </w:rPr>
          <w:t>ن</w:t>
        </w:r>
        <w:r w:rsidRPr="008A120E">
          <w:rPr>
            <w:rStyle w:val="Hyperlink"/>
            <w:rFonts w:hint="cs"/>
            <w:noProof/>
            <w:rtl/>
          </w:rPr>
          <w:t>ی</w:t>
        </w:r>
        <w:r w:rsidRPr="008A120E">
          <w:rPr>
            <w:rStyle w:val="Hyperlink"/>
            <w:rFonts w:hint="eastAsia"/>
            <w:noProof/>
            <w:rtl/>
          </w:rPr>
          <w:t>ت</w:t>
        </w:r>
        <w:r w:rsidRPr="008A120E">
          <w:rPr>
            <w:rStyle w:val="Hyperlink"/>
            <w:noProof/>
            <w:rtl/>
          </w:rPr>
          <w:t xml:space="preserve"> انضمام</w:t>
        </w:r>
        <w:r w:rsidRPr="008A120E">
          <w:rPr>
            <w:rStyle w:val="Hyperlink"/>
            <w:rFonts w:hint="cs"/>
            <w:noProof/>
            <w:rtl/>
          </w:rPr>
          <w:t>ی</w:t>
        </w:r>
        <w:r w:rsidRPr="008A120E">
          <w:rPr>
            <w:rStyle w:val="Hyperlink"/>
            <w:noProof/>
            <w:rtl/>
          </w:rPr>
          <w:t xml:space="preserve"> متناف</w:t>
        </w:r>
        <w:r w:rsidRPr="008A120E">
          <w:rPr>
            <w:rStyle w:val="Hyperlink"/>
            <w:rFonts w:hint="cs"/>
            <w:noProof/>
            <w:rtl/>
          </w:rPr>
          <w:t>یی</w:t>
        </w:r>
        <w:r w:rsidRPr="008A120E">
          <w:rPr>
            <w:rStyle w:val="Hyperlink"/>
            <w:rFonts w:hint="eastAsia"/>
            <w:noProof/>
            <w:rtl/>
          </w:rPr>
          <w:t>ن</w:t>
        </w:r>
        <w:r w:rsidRPr="008A120E">
          <w:rPr>
            <w:rStyle w:val="Hyperlink"/>
            <w:noProof/>
            <w:rtl/>
          </w:rPr>
          <w:t xml:space="preserve"> در موارد توف</w:t>
        </w:r>
        <w:r w:rsidRPr="008A120E">
          <w:rPr>
            <w:rStyle w:val="Hyperlink"/>
            <w:rFonts w:hint="cs"/>
            <w:noProof/>
            <w:rtl/>
          </w:rPr>
          <w:t>ی</w:t>
        </w:r>
        <w:r w:rsidRPr="008A120E">
          <w:rPr>
            <w:rStyle w:val="Hyperlink"/>
            <w:rFonts w:hint="eastAsia"/>
            <w:noProof/>
            <w:rtl/>
          </w:rPr>
          <w:t>ق</w:t>
        </w:r>
        <w:r w:rsidRPr="008A120E">
          <w:rPr>
            <w:rStyle w:val="Hyperlink"/>
            <w:noProof/>
            <w:rtl/>
          </w:rPr>
          <w:t xml:space="preserve"> عرف</w:t>
        </w:r>
        <w:r w:rsidRPr="008A120E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Toc529016698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723DA5" w:rsidRDefault="00723DA5" w:rsidP="00723DA5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016699" w:history="1">
        <w:r w:rsidRPr="008A120E">
          <w:rPr>
            <w:rStyle w:val="Hyperlink"/>
            <w:noProof/>
            <w:rtl/>
          </w:rPr>
          <w:t>اختصاص حکومت به شرح و تفس</w:t>
        </w:r>
        <w:r w:rsidRPr="008A120E">
          <w:rPr>
            <w:rStyle w:val="Hyperlink"/>
            <w:rFonts w:hint="cs"/>
            <w:noProof/>
            <w:rtl/>
          </w:rPr>
          <w:t>ی</w:t>
        </w:r>
        <w:r w:rsidRPr="008A120E">
          <w:rPr>
            <w:rStyle w:val="Hyperlink"/>
            <w:rFonts w:hint="eastAsia"/>
            <w:noProof/>
            <w:rtl/>
          </w:rPr>
          <w:t>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Toc529016699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723DA5" w:rsidRDefault="00723DA5" w:rsidP="00723DA5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016700" w:history="1">
        <w:r w:rsidRPr="008A120E">
          <w:rPr>
            <w:rStyle w:val="Hyperlink"/>
            <w:noProof/>
            <w:rtl/>
          </w:rPr>
          <w:t>شارح</w:t>
        </w:r>
        <w:r w:rsidRPr="008A120E">
          <w:rPr>
            <w:rStyle w:val="Hyperlink"/>
            <w:rFonts w:hint="cs"/>
            <w:noProof/>
            <w:rtl/>
          </w:rPr>
          <w:t>ی</w:t>
        </w:r>
        <w:r w:rsidRPr="008A120E">
          <w:rPr>
            <w:rStyle w:val="Hyperlink"/>
            <w:rFonts w:hint="eastAsia"/>
            <w:noProof/>
            <w:rtl/>
          </w:rPr>
          <w:t>ت</w:t>
        </w:r>
        <w:r w:rsidRPr="008A120E">
          <w:rPr>
            <w:rStyle w:val="Hyperlink"/>
            <w:noProof/>
            <w:rtl/>
          </w:rPr>
          <w:t xml:space="preserve"> حاکم نسبت به مراد استعمال</w:t>
        </w:r>
        <w:r w:rsidRPr="008A120E">
          <w:rPr>
            <w:rStyle w:val="Hyperlink"/>
            <w:rFonts w:hint="cs"/>
            <w:noProof/>
            <w:rtl/>
          </w:rPr>
          <w:t>ی</w:t>
        </w:r>
        <w:r w:rsidRPr="008A120E">
          <w:rPr>
            <w:rStyle w:val="Hyperlink"/>
            <w:noProof/>
            <w:rtl/>
          </w:rPr>
          <w:t xml:space="preserve"> از محکوم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Toc529016700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23DA5" w:rsidRDefault="00723DA5" w:rsidP="00723DA5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016701" w:history="1">
        <w:r w:rsidRPr="008A120E">
          <w:rPr>
            <w:rStyle w:val="Hyperlink"/>
            <w:noProof/>
            <w:rtl/>
          </w:rPr>
          <w:t>مصاد</w:t>
        </w:r>
        <w:r w:rsidRPr="008A120E">
          <w:rPr>
            <w:rStyle w:val="Hyperlink"/>
            <w:rFonts w:hint="cs"/>
            <w:noProof/>
            <w:rtl/>
          </w:rPr>
          <w:t>ی</w:t>
        </w:r>
        <w:r w:rsidRPr="008A120E">
          <w:rPr>
            <w:rStyle w:val="Hyperlink"/>
            <w:rFonts w:hint="eastAsia"/>
            <w:noProof/>
            <w:rtl/>
          </w:rPr>
          <w:t>ق</w:t>
        </w:r>
        <w:r w:rsidRPr="008A120E">
          <w:rPr>
            <w:rStyle w:val="Hyperlink"/>
            <w:noProof/>
            <w:rtl/>
          </w:rPr>
          <w:t xml:space="preserve"> توف</w:t>
        </w:r>
        <w:r w:rsidRPr="008A120E">
          <w:rPr>
            <w:rStyle w:val="Hyperlink"/>
            <w:rFonts w:hint="cs"/>
            <w:noProof/>
            <w:rtl/>
          </w:rPr>
          <w:t>ی</w:t>
        </w:r>
        <w:r w:rsidRPr="008A120E">
          <w:rPr>
            <w:rStyle w:val="Hyperlink"/>
            <w:rFonts w:hint="eastAsia"/>
            <w:noProof/>
            <w:rtl/>
          </w:rPr>
          <w:t>ق</w:t>
        </w:r>
        <w:r w:rsidRPr="008A120E">
          <w:rPr>
            <w:rStyle w:val="Hyperlink"/>
            <w:noProof/>
            <w:rtl/>
          </w:rPr>
          <w:t xml:space="preserve"> عرف</w:t>
        </w:r>
        <w:r w:rsidRPr="008A120E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Toc529016701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723DA5" w:rsidRDefault="00723DA5" w:rsidP="00584E53">
      <w:pPr>
        <w:rPr>
          <w:rStyle w:val="Emphasis"/>
          <w:b/>
          <w:bCs w:val="0"/>
          <w:rtl/>
        </w:rPr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584E53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BE1DE4">
        <w:rPr>
          <w:rtl/>
        </w:rPr>
        <w:t>توف</w:t>
      </w:r>
      <w:r w:rsidR="00BE1DE4">
        <w:rPr>
          <w:rFonts w:hint="cs"/>
          <w:rtl/>
        </w:rPr>
        <w:t>ی</w:t>
      </w:r>
      <w:r w:rsidR="00BE1DE4">
        <w:rPr>
          <w:rFonts w:hint="eastAsia"/>
          <w:rtl/>
        </w:rPr>
        <w:t>ق</w:t>
      </w:r>
      <w:r w:rsidR="00BE1DE4">
        <w:rPr>
          <w:rtl/>
        </w:rPr>
        <w:t xml:space="preserve"> عرف</w:t>
      </w:r>
      <w:r w:rsidR="00BE1DE4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BE1DE4">
        <w:rPr>
          <w:rtl/>
        </w:rPr>
        <w:t>تعارض غ</w:t>
      </w:r>
      <w:r w:rsidR="00BE1DE4">
        <w:rPr>
          <w:rFonts w:hint="cs"/>
          <w:rtl/>
        </w:rPr>
        <w:t>ی</w:t>
      </w:r>
      <w:r w:rsidR="00BE1DE4">
        <w:rPr>
          <w:rFonts w:hint="eastAsia"/>
          <w:rtl/>
        </w:rPr>
        <w:t>ر</w:t>
      </w:r>
      <w:r w:rsidR="00BE1DE4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BE1DE4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584E53" w:rsidP="003A6148">
      <w:pPr>
        <w:pBdr>
          <w:bottom w:val="double" w:sz="6" w:space="1" w:color="auto"/>
        </w:pBdr>
      </w:pPr>
      <w:r w:rsidRPr="00EC4DCF">
        <w:rPr>
          <w:rFonts w:hint="cs"/>
          <w:rtl/>
        </w:rPr>
        <w:t>در بحث از موارد تنافی بدوی ، مرحوم آخوند به تبیین مفهومی توفیق عرفی و تفاوت آن با حکومت پرداختند .</w:t>
      </w:r>
    </w:p>
    <w:p w:rsidR="00584E53" w:rsidRPr="00591BB1" w:rsidRDefault="00584E53" w:rsidP="00584E53">
      <w:pPr>
        <w:pStyle w:val="Heading1"/>
      </w:pPr>
      <w:bookmarkStart w:id="3" w:name="_Toc527152302"/>
      <w:bookmarkStart w:id="4" w:name="_Toc527712796"/>
      <w:bookmarkStart w:id="5" w:name="_Toc529016698"/>
      <w:r w:rsidRPr="00591BB1">
        <w:rPr>
          <w:rFonts w:hint="cs"/>
          <w:rtl/>
        </w:rPr>
        <w:t>قرینیت انضمامی متنافیین در موارد توفیق عرفی</w:t>
      </w:r>
      <w:bookmarkEnd w:id="3"/>
      <w:bookmarkEnd w:id="4"/>
      <w:bookmarkEnd w:id="5"/>
    </w:p>
    <w:p w:rsidR="00584E53" w:rsidRPr="00591BB1" w:rsidRDefault="00584E53" w:rsidP="00584E53">
      <w:pPr>
        <w:jc w:val="both"/>
        <w:rPr>
          <w:rFonts w:eastAsia="Times New Roman"/>
        </w:rPr>
      </w:pPr>
      <w:r w:rsidRPr="00591BB1">
        <w:rPr>
          <w:rFonts w:eastAsia="Times New Roman" w:hint="cs"/>
          <w:rtl/>
        </w:rPr>
        <w:t xml:space="preserve">   </w:t>
      </w:r>
      <w:r w:rsidRPr="00591BB1">
        <w:rPr>
          <w:rFonts w:eastAsia="Times New Roman"/>
          <w:rtl/>
        </w:rPr>
        <w:t>م</w:t>
      </w:r>
      <w:r w:rsidR="00B05442">
        <w:rPr>
          <w:rFonts w:eastAsia="Times New Roman" w:hint="cs"/>
          <w:rtl/>
        </w:rPr>
        <w:t>حصّل کلام ایشان چن</w:t>
      </w:r>
      <w:r w:rsidRPr="00591BB1">
        <w:rPr>
          <w:rFonts w:eastAsia="Times New Roman" w:hint="cs"/>
          <w:rtl/>
        </w:rPr>
        <w:t xml:space="preserve">ین شد که در موارد تنافی بدوی </w:t>
      </w:r>
      <w:r w:rsidRPr="00591BB1">
        <w:rPr>
          <w:rStyle w:val="FootnoteReference"/>
          <w:rFonts w:ascii="Tahoma" w:hAnsi="Tahoma"/>
          <w:color w:val="000000"/>
          <w:sz w:val="28"/>
          <w:rtl/>
        </w:rPr>
        <w:footnoteReference w:id="1"/>
      </w:r>
      <w:r w:rsidRPr="00591BB1">
        <w:rPr>
          <w:rFonts w:eastAsia="Times New Roman" w:hint="cs"/>
          <w:rtl/>
        </w:rPr>
        <w:t xml:space="preserve">، اگر مجموع دو دلیل به وصف انضمام قرینیت داشته باشند برای تصرف </w:t>
      </w:r>
      <w:r w:rsidR="0081012D">
        <w:rPr>
          <w:rFonts w:eastAsia="Times New Roman" w:hint="cs"/>
          <w:rtl/>
        </w:rPr>
        <w:t xml:space="preserve">، حال </w:t>
      </w:r>
      <w:r w:rsidR="00A3330C">
        <w:rPr>
          <w:rFonts w:eastAsia="Times New Roman" w:hint="cs"/>
          <w:rtl/>
        </w:rPr>
        <w:t xml:space="preserve">تصرف </w:t>
      </w:r>
      <w:r w:rsidRPr="00591BB1">
        <w:rPr>
          <w:rFonts w:eastAsia="Times New Roman" w:hint="cs"/>
          <w:rtl/>
        </w:rPr>
        <w:t xml:space="preserve">در یکی </w:t>
      </w:r>
      <w:r w:rsidR="0081012D">
        <w:rPr>
          <w:rFonts w:eastAsia="Times New Roman" w:hint="cs"/>
          <w:rtl/>
        </w:rPr>
        <w:t xml:space="preserve">از آن ها </w:t>
      </w:r>
      <w:r w:rsidRPr="00591BB1">
        <w:rPr>
          <w:rFonts w:eastAsia="Times New Roman" w:hint="cs"/>
          <w:rtl/>
        </w:rPr>
        <w:t>یا هر دو</w:t>
      </w:r>
      <w:r w:rsidR="0081012D">
        <w:rPr>
          <w:rFonts w:eastAsia="Times New Roman" w:hint="cs"/>
          <w:rtl/>
        </w:rPr>
        <w:t>یشان</w:t>
      </w:r>
      <w:r w:rsidRPr="00591BB1">
        <w:rPr>
          <w:rFonts w:eastAsia="Times New Roman" w:hint="cs"/>
          <w:rtl/>
        </w:rPr>
        <w:t xml:space="preserve"> ، مصداق است برای توفیق عرفی . اما اگر تنها یکی از دو متنافی قرینه</w:t>
      </w:r>
      <w:r w:rsidR="0081012D">
        <w:rPr>
          <w:rFonts w:eastAsia="Times New Roman" w:hint="cs"/>
          <w:rtl/>
        </w:rPr>
        <w:t xml:space="preserve"> برای تصرف باشد </w:t>
      </w:r>
      <w:r w:rsidRPr="00591BB1">
        <w:rPr>
          <w:rFonts w:eastAsia="Times New Roman" w:hint="cs"/>
          <w:rtl/>
        </w:rPr>
        <w:t>، مورد جمع عرفی می باشد . وجه مشترک و جامع این دو آن است که هیچ یک از ادله</w:t>
      </w:r>
      <w:r w:rsidR="0081012D">
        <w:rPr>
          <w:rFonts w:eastAsia="Times New Roman" w:hint="cs"/>
          <w:rtl/>
        </w:rPr>
        <w:t xml:space="preserve"> ی موجب تصرف ، نظارت و شرح لفظی نسبت به دیگری ندارد </w:t>
      </w:r>
      <w:r w:rsidRPr="00591BB1">
        <w:rPr>
          <w:rFonts w:eastAsia="Times New Roman" w:hint="cs"/>
          <w:rtl/>
        </w:rPr>
        <w:t>، یعنی الفاظ آن ها در مقام استعمال ناظر به دیگری نمی باشند .</w:t>
      </w:r>
    </w:p>
    <w:p w:rsidR="00584E53" w:rsidRPr="00591BB1" w:rsidRDefault="00584E53" w:rsidP="00584E53">
      <w:pPr>
        <w:pStyle w:val="Heading1"/>
      </w:pPr>
      <w:bookmarkStart w:id="6" w:name="_Toc527152303"/>
      <w:bookmarkStart w:id="7" w:name="_Toc527712797"/>
      <w:bookmarkStart w:id="8" w:name="_Toc529016699"/>
      <w:r w:rsidRPr="00591BB1">
        <w:rPr>
          <w:rFonts w:hint="cs"/>
          <w:rtl/>
        </w:rPr>
        <w:t>اختصاص حکومت به شرح و تفسیر</w:t>
      </w:r>
      <w:bookmarkEnd w:id="6"/>
      <w:bookmarkEnd w:id="7"/>
      <w:bookmarkEnd w:id="8"/>
    </w:p>
    <w:p w:rsidR="00584E53" w:rsidRPr="00591BB1" w:rsidRDefault="00584E53" w:rsidP="00584E53">
      <w:pPr>
        <w:jc w:val="both"/>
        <w:rPr>
          <w:rtl/>
        </w:rPr>
      </w:pPr>
      <w:r w:rsidRPr="00591BB1">
        <w:rPr>
          <w:rFonts w:hint="cs"/>
          <w:rtl/>
        </w:rPr>
        <w:t xml:space="preserve">   همین مطلب هم وجه امتیاز آن ها از حکومت است ، و به همین دلیل مرحوم صدر </w:t>
      </w:r>
      <w:r w:rsidRPr="00591BB1">
        <w:rPr>
          <w:rStyle w:val="FootnoteReference"/>
          <w:rFonts w:ascii="Tahoma" w:hAnsi="Tahoma"/>
          <w:color w:val="000000"/>
          <w:sz w:val="28"/>
          <w:rtl/>
        </w:rPr>
        <w:footnoteReference w:id="2"/>
      </w:r>
      <w:r w:rsidRPr="00591BB1">
        <w:rPr>
          <w:rFonts w:hint="cs"/>
          <w:rtl/>
        </w:rPr>
        <w:t>از این موارد تعبیر به قرینیت نوعیه کرده اند . در مقابل حکومت که قرینیت آن شخصیه است یعنی خود لسان دلیل حاکم ، لسان تبیین است . البته باید دقت شود این تبیین اختصاص به صورتی ندارد که از ادواتی مانند «أعنی» یا «أقصد» استفاده شده باشد و اصلا شاید چنین حکومتی در شرع نداشته باشیم ، بلکه موارد لغویت را هم در بر می گیرد و تفصیل مرحوم خویی میان این دو نوع حکومت تفصیل مناسبی بود . موارد لغویت یعنی مواردی مانند « لا ربا بین الوالد و الولد » که اگر دلیل محکوم نباشد و در شریعت احکامی برای ربا فارغ از خصوصیت ولدیت وجود نداشته باشد ، صدور حاکم لغو است و تطبیق آن بر عالم تکوین هم خلاف واقع می باشد .</w:t>
      </w:r>
    </w:p>
    <w:p w:rsidR="00584E53" w:rsidRPr="00591BB1" w:rsidRDefault="00584E53" w:rsidP="00723DA5">
      <w:pPr>
        <w:pStyle w:val="Heading6"/>
      </w:pPr>
      <w:bookmarkStart w:id="9" w:name="_Toc529016700"/>
      <w:r w:rsidRPr="00591BB1">
        <w:rPr>
          <w:rFonts w:hint="cs"/>
          <w:rtl/>
        </w:rPr>
        <w:lastRenderedPageBreak/>
        <w:t>شارحیت حاکم نسبت به مراد استعمالی از محکوم</w:t>
      </w:r>
      <w:bookmarkEnd w:id="9"/>
    </w:p>
    <w:p w:rsidR="00584E53" w:rsidRPr="00591BB1" w:rsidRDefault="00584E53" w:rsidP="00584E53">
      <w:pPr>
        <w:jc w:val="both"/>
        <w:rPr>
          <w:rFonts w:eastAsia="Times New Roman"/>
          <w:rtl/>
        </w:rPr>
      </w:pPr>
      <w:r w:rsidRPr="00591BB1">
        <w:rPr>
          <w:rFonts w:eastAsia="Times New Roman" w:hint="cs"/>
          <w:rtl/>
        </w:rPr>
        <w:t xml:space="preserve">   بنابراین لسان حکومت همیشه لسان شرح و تفسیر است اما این شرح یا تفسیر با شارحیتی که در موارد جمع یا توفیق عرفی وجود دارد ، متفاوت است . در آن دو مورد عرف شرح می فهمد اما آن را به لحاظ مراد جدی متکلم می داند ، یعنی مثلا عرف می گوید عامّ در معنای خودش استعمال شده است و شامل موارد خاص هم هست اما مراد جدی از آن غیر موارد خاص می باشد . قرینه منفصله ی تخصیص یا تقیید هیچ گاه مراد استعمالی از ذی القرینه را تحدید نمی کند بلکه در حجیت مدلول استعمالی نسبت به کشف از واقع تصرف می کند و می گوید بیان عامّ به داعی جدّ نبوده است بلکه به تعبیر آخوند به داعی ضرب قاعده و قانون بوده است . </w:t>
      </w:r>
      <w:r w:rsidRPr="00591BB1">
        <w:rPr>
          <w:rStyle w:val="FootnoteReference"/>
          <w:rFonts w:ascii="Tahoma" w:hAnsi="Tahoma"/>
          <w:color w:val="000000"/>
          <w:sz w:val="28"/>
          <w:rtl/>
        </w:rPr>
        <w:footnoteReference w:id="3"/>
      </w:r>
    </w:p>
    <w:p w:rsidR="00584E53" w:rsidRPr="00591BB1" w:rsidRDefault="00584E53" w:rsidP="00584E53">
      <w:pPr>
        <w:jc w:val="both"/>
        <w:rPr>
          <w:rtl/>
        </w:rPr>
      </w:pPr>
      <w:r w:rsidRPr="00591BB1">
        <w:rPr>
          <w:rFonts w:eastAsia="Times New Roman" w:hint="cs"/>
          <w:rtl/>
        </w:rPr>
        <w:t xml:space="preserve">   اما در حکومت حاکم شارح مراد استعمالی است و از قبیل قرینه بر مجاز می باشد ، اما قرینه منفصل . یعنی </w:t>
      </w:r>
      <w:r w:rsidRPr="00591BB1">
        <w:rPr>
          <w:rFonts w:hint="cs"/>
          <w:rtl/>
        </w:rPr>
        <w:t xml:space="preserve">« لا ربا بین الوالد و الولد » بیان می کند که مدلول استعمالی در « حرّم الربا » اصلا ربای میان پدر و فرزند را در بر نمی گیرد ، همانگونه که اگر این مطلب را متصل به آن خطاب بیان می کرد و می فرمود « أعنی من حرّم الربا ، غیر الربا بین الوالد و الولد » چنین فهمیده می شد . </w:t>
      </w:r>
      <w:r w:rsidRPr="00591BB1">
        <w:rPr>
          <w:rStyle w:val="FootnoteReference"/>
          <w:rFonts w:ascii="Tahoma" w:hAnsi="Tahoma"/>
          <w:color w:val="000000"/>
          <w:sz w:val="28"/>
          <w:rtl/>
        </w:rPr>
        <w:footnoteReference w:id="4"/>
      </w:r>
      <w:r w:rsidRPr="00591BB1">
        <w:rPr>
          <w:rFonts w:hint="cs"/>
          <w:rtl/>
        </w:rPr>
        <w:t xml:space="preserve">منفصل بودن این قرینه هم قبحی ندارد ومی توان دواعی عقلایی برای آن تصویر کرد ، مثلا فایده ی « لا صلاه لمن جاره السمجد الا فی المسجد » ترغیب و تشویق به حضور در مساجد است . </w:t>
      </w:r>
    </w:p>
    <w:p w:rsidR="00584E53" w:rsidRPr="00591BB1" w:rsidRDefault="00584E53" w:rsidP="00584E53">
      <w:pPr>
        <w:pStyle w:val="Heading1"/>
        <w:rPr>
          <w:rtl/>
        </w:rPr>
      </w:pPr>
      <w:bookmarkStart w:id="10" w:name="_Toc527152304"/>
      <w:bookmarkStart w:id="11" w:name="_Toc527712798"/>
      <w:bookmarkStart w:id="12" w:name="_Toc529016701"/>
      <w:r>
        <w:rPr>
          <w:rFonts w:hint="cs"/>
          <w:rtl/>
        </w:rPr>
        <w:t>مصادیق</w:t>
      </w:r>
      <w:r w:rsidRPr="00591BB1">
        <w:rPr>
          <w:rFonts w:hint="cs"/>
          <w:rtl/>
        </w:rPr>
        <w:t xml:space="preserve"> توفیق عرفی</w:t>
      </w:r>
      <w:bookmarkEnd w:id="10"/>
      <w:bookmarkEnd w:id="11"/>
      <w:bookmarkEnd w:id="12"/>
    </w:p>
    <w:p w:rsidR="00584E53" w:rsidRPr="00591BB1" w:rsidRDefault="00584E53" w:rsidP="00DC7A42">
      <w:pPr>
        <w:jc w:val="both"/>
        <w:rPr>
          <w:shd w:val="clear" w:color="auto" w:fill="FFFFFF"/>
          <w:rtl/>
        </w:rPr>
      </w:pPr>
      <w:r w:rsidRPr="00591BB1">
        <w:rPr>
          <w:rFonts w:hint="cs"/>
          <w:shd w:val="clear" w:color="auto" w:fill="FFFFFF"/>
          <w:rtl/>
        </w:rPr>
        <w:t xml:space="preserve">   با توجه به همه ی این توضیحات روشن شد حکومت نامیدن موارد توفیق عرفی توسط مرحوم نایینی ، مطلب صحیحی نیست . هر دلیلی را که نه به ملاک اظهریت و نه با در نظر گرفتن نسبت با متنافی بدوی خود ، بر آن مقدم می شود را نمی توانیم حاکم بدانیم . صرف اشتراک اموری متفاوت در دسته ای از احکام</w:t>
      </w:r>
      <w:r w:rsidR="00DC7A42">
        <w:rPr>
          <w:rFonts w:hint="cs"/>
          <w:shd w:val="clear" w:color="auto" w:fill="FFFFFF"/>
          <w:rtl/>
        </w:rPr>
        <w:t xml:space="preserve"> </w:t>
      </w:r>
      <w:r w:rsidRPr="00591BB1">
        <w:rPr>
          <w:rFonts w:hint="cs"/>
          <w:shd w:val="clear" w:color="auto" w:fill="FFFFFF"/>
          <w:rtl/>
        </w:rPr>
        <w:t>باعث وحدت حقیقت آن ها نمی شود .</w:t>
      </w:r>
    </w:p>
    <w:p w:rsidR="00584E53" w:rsidRPr="00591BB1" w:rsidRDefault="00584E53" w:rsidP="00584E53">
      <w:pPr>
        <w:jc w:val="both"/>
        <w:rPr>
          <w:shd w:val="clear" w:color="auto" w:fill="FFFFFF"/>
          <w:rtl/>
        </w:rPr>
      </w:pPr>
      <w:r w:rsidRPr="00591BB1">
        <w:rPr>
          <w:rFonts w:hint="cs"/>
          <w:shd w:val="clear" w:color="auto" w:fill="FFFFFF"/>
          <w:rtl/>
        </w:rPr>
        <w:t xml:space="preserve">   حال مصادیق این توفیق عرفی کدامند ؟ یکی از مصادیق توفیق عرفی جمع میان ادله احکام اولی و ثانوی نزد عرف است . مرحوم آخوند می فرمایند مانند لا ضرر مقدّم بر ادله احکام اولی ست بدون این که شارح آن ها باشد ، حال به ادواتی مانند « أعنی » یا به ملاک لغویت ؛ کما مرّ مفصّلا ذیل قاعده لا ضرر . ایشان در ادامه می فرمایند « و یتفقّ فی غیرهما » ، به نظر ما مراد ایشان مواردی ست که واقع آن ها عنوان ثانوی می باشد مانند « لا یحلّ مال إمرئ مسلم إلا بطیبه نفسه » نسبت به « أحلّت لکم بهیمه الأنعام » . در این موارد هم تنافی محکّم نمی شود و عرف جمع می کند میان این دو که حکم فعلی تابع </w:t>
      </w:r>
      <w:r w:rsidRPr="00591BB1">
        <w:rPr>
          <w:rFonts w:hint="cs"/>
          <w:shd w:val="clear" w:color="auto" w:fill="FFFFFF"/>
          <w:rtl/>
        </w:rPr>
        <w:lastRenderedPageBreak/>
        <w:t>عنوان ثانوی است و حکم به عنوان اولی اقتضایی می باشد ، یعنی حکم ثابت است برای عنوان مذکور در لسان دلیل لولا عنوان طاری . عرف عنوان ثانوی را بر عنوان اولی مقدّم م</w:t>
      </w:r>
      <w:r w:rsidR="00DC7A42">
        <w:rPr>
          <w:rFonts w:hint="cs"/>
          <w:shd w:val="clear" w:color="auto" w:fill="FFFFFF"/>
          <w:rtl/>
        </w:rPr>
        <w:t>ی کند اما ملاکش أظهریت نیست ، به</w:t>
      </w:r>
      <w:r w:rsidRPr="00591BB1">
        <w:rPr>
          <w:rFonts w:hint="cs"/>
          <w:shd w:val="clear" w:color="auto" w:fill="FFFFFF"/>
          <w:rtl/>
        </w:rPr>
        <w:t xml:space="preserve"> همین جهت حتی اگر عنوان ثانوی مستفاد از اطلاق باشد اما عنوان اولی مدلول عموم ، باز هم آن را مقدّم می داند .</w:t>
      </w:r>
    </w:p>
    <w:p w:rsidR="00584E53" w:rsidRPr="00591BB1" w:rsidRDefault="00584E53" w:rsidP="00584E53">
      <w:pPr>
        <w:jc w:val="both"/>
        <w:rPr>
          <w:shd w:val="clear" w:color="auto" w:fill="FFFFFF"/>
          <w:rtl/>
        </w:rPr>
      </w:pPr>
      <w:r w:rsidRPr="00591BB1">
        <w:rPr>
          <w:rFonts w:hint="cs"/>
          <w:shd w:val="clear" w:color="auto" w:fill="FFFFFF"/>
          <w:rtl/>
        </w:rPr>
        <w:t xml:space="preserve">   حکم ثانوی به نظر ما دامنه ی وسیعی دارد که شامل مقدّم شدن « من کان یومن بالله و الیوم الآخر فلا یوذی جاره » بر « الناس مسلّطون علی أموالهم » هم می شود . مطابق تحلیل ما اولی یا ثانوی بودن نسبی است . در مثال مذکور « حرمت ایذاء جار » حکم اقتضایی است و « اباحه تصرف در اموال خود » حکم لا اقتضایی و عرف تنافی مستقری میان اقتضاء و لا اقتضاء نمی بیند . </w:t>
      </w:r>
      <w:r w:rsidRPr="00591BB1">
        <w:rPr>
          <w:rStyle w:val="FootnoteReference"/>
          <w:rFonts w:ascii="Tahoma" w:hAnsi="Tahoma"/>
          <w:color w:val="000000"/>
          <w:sz w:val="28"/>
          <w:shd w:val="clear" w:color="auto" w:fill="FFFFFF"/>
          <w:rtl/>
        </w:rPr>
        <w:footnoteReference w:id="5"/>
      </w:r>
    </w:p>
    <w:p w:rsidR="001A1EA5" w:rsidRPr="006162A2" w:rsidRDefault="00584E53" w:rsidP="00122897">
      <w:pPr>
        <w:jc w:val="both"/>
        <w:rPr>
          <w:rtl/>
        </w:rPr>
      </w:pPr>
      <w:r w:rsidRPr="00591BB1">
        <w:rPr>
          <w:rFonts w:hint="cs"/>
          <w:shd w:val="clear" w:color="auto" w:fill="FFFFFF"/>
          <w:rtl/>
        </w:rPr>
        <w:t xml:space="preserve">   مثال دیگر مرحوم آخوند برای</w:t>
      </w:r>
      <w:bookmarkStart w:id="13" w:name="_GoBack"/>
      <w:bookmarkEnd w:id="13"/>
      <w:r w:rsidRPr="00591BB1">
        <w:rPr>
          <w:rFonts w:hint="cs"/>
          <w:shd w:val="clear" w:color="auto" w:fill="FFFFFF"/>
          <w:rtl/>
        </w:rPr>
        <w:t xml:space="preserve"> توفیق عرفی رابطه ی میان امارات و اصول عملیه شرعی </w:t>
      </w:r>
      <w:r w:rsidRPr="00591BB1">
        <w:rPr>
          <w:rStyle w:val="FootnoteReference"/>
          <w:rFonts w:ascii="Tahoma" w:hAnsi="Tahoma"/>
          <w:color w:val="000000"/>
          <w:sz w:val="28"/>
          <w:shd w:val="clear" w:color="auto" w:fill="FFFFFF"/>
          <w:rtl/>
        </w:rPr>
        <w:footnoteReference w:id="6"/>
      </w:r>
      <w:r w:rsidRPr="00591BB1">
        <w:rPr>
          <w:rFonts w:hint="cs"/>
          <w:shd w:val="clear" w:color="auto" w:fill="FFFFFF"/>
          <w:rtl/>
        </w:rPr>
        <w:t>است که معتقدند قول به وجود حکومت میان آن ها ، صحیح نیست .</w:t>
      </w: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41F" w:rsidRDefault="004B341F" w:rsidP="008B750B">
      <w:pPr>
        <w:spacing w:line="240" w:lineRule="auto"/>
      </w:pPr>
      <w:r>
        <w:separator/>
      </w:r>
    </w:p>
  </w:endnote>
  <w:endnote w:type="continuationSeparator" w:id="0">
    <w:p w:rsidR="004B341F" w:rsidRDefault="004B341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22897" w:rsidRPr="00122897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BE1DE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1" w:name="BokAdres"/>
          <w:bookmarkEnd w:id="21"/>
          <w:r>
            <w:rPr>
              <w:color w:val="808080" w:themeColor="background1" w:themeShade="80"/>
            </w:rPr>
            <w:t>U1mq1_13970709-005_ab1_mfeb.ir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41F" w:rsidRDefault="004B341F" w:rsidP="008B750B">
      <w:pPr>
        <w:spacing w:line="240" w:lineRule="auto"/>
      </w:pPr>
      <w:r>
        <w:separator/>
      </w:r>
    </w:p>
  </w:footnote>
  <w:footnote w:type="continuationSeparator" w:id="0">
    <w:p w:rsidR="004B341F" w:rsidRDefault="004B341F" w:rsidP="008B750B">
      <w:pPr>
        <w:spacing w:line="240" w:lineRule="auto"/>
      </w:pPr>
      <w:r>
        <w:continuationSeparator/>
      </w:r>
    </w:p>
  </w:footnote>
  <w:footnote w:id="1">
    <w:p w:rsidR="00584E53" w:rsidRPr="00A9590C" w:rsidRDefault="00584E53" w:rsidP="00584E53">
      <w:pPr>
        <w:pStyle w:val="FootnoteText"/>
        <w:jc w:val="both"/>
        <w:rPr>
          <w:rFonts w:cs="B Lotus"/>
          <w:rtl/>
        </w:rPr>
      </w:pPr>
      <w:r w:rsidRPr="00A9590C">
        <w:rPr>
          <w:rStyle w:val="FootnoteReference"/>
          <w:rFonts w:cs="B Lotus"/>
          <w:vertAlign w:val="baseline"/>
        </w:rPr>
        <w:footnoteRef/>
      </w:r>
      <w:r w:rsidRPr="00A9590C">
        <w:rPr>
          <w:rFonts w:cs="B Lotus" w:hint="cs"/>
          <w:rtl/>
        </w:rPr>
        <w:t>. واضح است که تنافی أعم از تعارض می باشد ؛ زیرا تنافی یا بدوی ست و یا مستقرّ و فقط تنافی مستقرّ مصداق تعارض است .</w:t>
      </w:r>
    </w:p>
  </w:footnote>
  <w:footnote w:id="2">
    <w:p w:rsidR="00584E53" w:rsidRPr="00A9590C" w:rsidRDefault="00584E53" w:rsidP="00584E53">
      <w:pPr>
        <w:pStyle w:val="FootnoteText"/>
        <w:jc w:val="both"/>
        <w:rPr>
          <w:rFonts w:cs="B Lotus"/>
          <w:rtl/>
        </w:rPr>
      </w:pPr>
      <w:r w:rsidRPr="00A9590C">
        <w:rPr>
          <w:rStyle w:val="FootnoteReference"/>
          <w:rFonts w:cs="B Lotus"/>
          <w:vertAlign w:val="baseline"/>
        </w:rPr>
        <w:footnoteRef/>
      </w:r>
      <w:r w:rsidRPr="00A9590C">
        <w:rPr>
          <w:rFonts w:cs="B Lotus" w:hint="cs"/>
          <w:rtl/>
        </w:rPr>
        <w:t>. بحوث فی علم الأصول : 165/ 7</w:t>
      </w:r>
    </w:p>
  </w:footnote>
  <w:footnote w:id="3">
    <w:p w:rsidR="00584E53" w:rsidRPr="00A9590C" w:rsidRDefault="00584E53" w:rsidP="00584E53">
      <w:pPr>
        <w:pStyle w:val="FootnoteText"/>
        <w:jc w:val="both"/>
        <w:rPr>
          <w:rFonts w:cs="B Lotus"/>
        </w:rPr>
      </w:pPr>
      <w:r w:rsidRPr="00A9590C">
        <w:rPr>
          <w:rStyle w:val="FootnoteReference"/>
          <w:rFonts w:cs="B Lotus"/>
          <w:vertAlign w:val="baseline"/>
        </w:rPr>
        <w:footnoteRef/>
      </w:r>
      <w:r w:rsidRPr="00A9590C">
        <w:rPr>
          <w:rFonts w:cs="B Lotus" w:hint="cs"/>
          <w:rtl/>
        </w:rPr>
        <w:t>. کفایه الأصول : 248</w:t>
      </w:r>
    </w:p>
  </w:footnote>
  <w:footnote w:id="4">
    <w:p w:rsidR="00584E53" w:rsidRPr="00A9590C" w:rsidRDefault="00584E53" w:rsidP="00584E53">
      <w:pPr>
        <w:pStyle w:val="FootnoteText"/>
        <w:jc w:val="both"/>
        <w:rPr>
          <w:rFonts w:cs="B Lotus"/>
        </w:rPr>
      </w:pPr>
      <w:r w:rsidRPr="00A9590C">
        <w:rPr>
          <w:rStyle w:val="FootnoteReference"/>
          <w:rFonts w:cs="B Lotus"/>
          <w:vertAlign w:val="baseline"/>
        </w:rPr>
        <w:footnoteRef/>
      </w:r>
      <w:r w:rsidRPr="00A9590C">
        <w:rPr>
          <w:rFonts w:cs="B Lotus" w:hint="cs"/>
          <w:rtl/>
        </w:rPr>
        <w:t>. دقت شود که ظهوردلیل محکوم لا ینقلب عما هو علیه ! و دلیل ح</w:t>
      </w:r>
      <w:r>
        <w:rPr>
          <w:rFonts w:cs="B Lotus" w:hint="cs"/>
          <w:rtl/>
        </w:rPr>
        <w:t>اک</w:t>
      </w:r>
      <w:r w:rsidRPr="00A9590C">
        <w:rPr>
          <w:rFonts w:cs="B Lotus" w:hint="cs"/>
          <w:rtl/>
        </w:rPr>
        <w:t xml:space="preserve">م تنها می گوید آن ظهور مراد به استعمال نبوده است . </w:t>
      </w:r>
    </w:p>
  </w:footnote>
  <w:footnote w:id="5">
    <w:p w:rsidR="00584E53" w:rsidRPr="00A9590C" w:rsidRDefault="00584E53" w:rsidP="00584E53">
      <w:pPr>
        <w:pStyle w:val="FootnoteText"/>
        <w:jc w:val="both"/>
        <w:rPr>
          <w:rFonts w:cs="B Lotus"/>
        </w:rPr>
      </w:pPr>
      <w:r w:rsidRPr="00A9590C">
        <w:rPr>
          <w:rStyle w:val="FootnoteReference"/>
          <w:rFonts w:cs="B Lotus"/>
          <w:vertAlign w:val="baseline"/>
        </w:rPr>
        <w:footnoteRef/>
      </w:r>
      <w:r w:rsidRPr="00A9590C">
        <w:rPr>
          <w:rFonts w:cs="B Lotus" w:hint="cs"/>
          <w:rtl/>
        </w:rPr>
        <w:t>. مشهور برای حلّ این مساله سراغ « لا ضرر » رفته اند و مواجه با مشکلی شده اند که جریان « لا ضرر » مشروط به آن است که منافی با امتنان نباشد ، اما تطبیق آن در مقام موجب نهی شخص از تصرف در ملک خود است که سازگاری با امتنان ندارد . در هر صورت دقت شود در ماند این مثال حتی اگر دلیلی برای حرمت نداشته باشیم و تصرف مالک مطلقا جایز باشد ، منعی برای حکم به ضمان در صورت تحقّق موضوعش وجود ندارد ؛ زیرا جواز تکلیفی أعمّ از ضمان است مانند موردی که شخص مضطرّ به أکل مال غیر بدون رضایت اوست .</w:t>
      </w:r>
    </w:p>
  </w:footnote>
  <w:footnote w:id="6">
    <w:p w:rsidR="00584E53" w:rsidRPr="00A9590C" w:rsidRDefault="00584E53" w:rsidP="00584E53">
      <w:pPr>
        <w:pStyle w:val="FootnoteText"/>
        <w:jc w:val="both"/>
        <w:rPr>
          <w:rFonts w:cs="B Lotus"/>
        </w:rPr>
      </w:pPr>
      <w:r w:rsidRPr="00A9590C">
        <w:rPr>
          <w:rStyle w:val="FootnoteReference"/>
          <w:rFonts w:cs="B Lotus"/>
          <w:vertAlign w:val="baseline"/>
        </w:rPr>
        <w:footnoteRef/>
      </w:r>
      <w:r w:rsidRPr="00A9590C">
        <w:rPr>
          <w:rFonts w:cs="B Lotus" w:hint="cs"/>
          <w:rtl/>
        </w:rPr>
        <w:t>. در مورد اصول عملیه عقلی واضح است که رابطه ، ورود می باشد ؛ حتی مشهور هم که قائل به حکومتند مرادشان اصول عملیه شرعی است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4" w:name="BokNum"/>
    <w:bookmarkEnd w:id="14"/>
    <w:r w:rsidR="00BE1DE4">
      <w:rPr>
        <w:b/>
        <w:bCs/>
        <w:sz w:val="20"/>
        <w:szCs w:val="24"/>
        <w:rtl/>
      </w:rPr>
      <w:t>005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5" w:name="Bokdars"/>
    <w:bookmarkEnd w:id="15"/>
    <w:r w:rsidR="00BE1DE4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6" w:name="Bokostad"/>
    <w:bookmarkEnd w:id="16"/>
    <w:r w:rsidR="00BE1DE4">
      <w:rPr>
        <w:b/>
        <w:bCs/>
        <w:color w:val="632423" w:themeColor="accent2" w:themeShade="80"/>
        <w:sz w:val="20"/>
        <w:szCs w:val="24"/>
        <w:rtl/>
      </w:rPr>
      <w:t>قائ</w:t>
    </w:r>
    <w:r w:rsidR="00BE1DE4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BE1DE4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BE1DE4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7" w:name="BokTarikh"/>
    <w:bookmarkEnd w:id="17"/>
    <w:r w:rsidR="00BE1DE4">
      <w:rPr>
        <w:sz w:val="24"/>
        <w:szCs w:val="24"/>
        <w:rtl/>
      </w:rPr>
      <w:t>9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8" w:name="BokSabj"/>
    <w:bookmarkEnd w:id="18"/>
    <w:r w:rsidR="00BE1DE4">
      <w:rPr>
        <w:color w:val="000000" w:themeColor="text1"/>
        <w:sz w:val="24"/>
        <w:szCs w:val="24"/>
        <w:rtl/>
      </w:rPr>
      <w:t>تعارض غ</w:t>
    </w:r>
    <w:r w:rsidR="00BE1DE4">
      <w:rPr>
        <w:rFonts w:hint="cs"/>
        <w:color w:val="000000" w:themeColor="text1"/>
        <w:sz w:val="24"/>
        <w:szCs w:val="24"/>
        <w:rtl/>
      </w:rPr>
      <w:t>ی</w:t>
    </w:r>
    <w:r w:rsidR="00BE1DE4">
      <w:rPr>
        <w:rFonts w:hint="eastAsia"/>
        <w:color w:val="000000" w:themeColor="text1"/>
        <w:sz w:val="24"/>
        <w:szCs w:val="24"/>
        <w:rtl/>
      </w:rPr>
      <w:t>ر</w:t>
    </w:r>
    <w:r w:rsidR="00BE1DE4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9" w:name="Bokmoqarer"/>
    <w:bookmarkEnd w:id="19"/>
    <w:r w:rsidR="00BE1DE4">
      <w:rPr>
        <w:sz w:val="24"/>
        <w:szCs w:val="24"/>
        <w:rtl/>
      </w:rPr>
      <w:t>عل</w:t>
    </w:r>
    <w:r w:rsidR="00BE1DE4">
      <w:rPr>
        <w:rFonts w:hint="cs"/>
        <w:sz w:val="24"/>
        <w:szCs w:val="24"/>
        <w:rtl/>
      </w:rPr>
      <w:t>ی</w:t>
    </w:r>
    <w:r w:rsidR="00BE1DE4">
      <w:rPr>
        <w:sz w:val="24"/>
        <w:szCs w:val="24"/>
        <w:rtl/>
      </w:rPr>
      <w:t xml:space="preserve"> بهادرزا</w:t>
    </w:r>
    <w:r w:rsidR="00BE1DE4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0" w:name="BokSabj2"/>
    <w:bookmarkEnd w:id="20"/>
    <w:r w:rsidR="00BE1DE4">
      <w:rPr>
        <w:sz w:val="24"/>
        <w:szCs w:val="24"/>
        <w:rtl/>
      </w:rPr>
      <w:t>توف</w:t>
    </w:r>
    <w:r w:rsidR="00BE1DE4">
      <w:rPr>
        <w:rFonts w:hint="cs"/>
        <w:sz w:val="24"/>
        <w:szCs w:val="24"/>
        <w:rtl/>
      </w:rPr>
      <w:t>ی</w:t>
    </w:r>
    <w:r w:rsidR="00BE1DE4">
      <w:rPr>
        <w:rFonts w:hint="eastAsia"/>
        <w:sz w:val="24"/>
        <w:szCs w:val="24"/>
        <w:rtl/>
      </w:rPr>
      <w:t>ق</w:t>
    </w:r>
    <w:r w:rsidR="00BE1DE4">
      <w:rPr>
        <w:sz w:val="24"/>
        <w:szCs w:val="24"/>
        <w:rtl/>
      </w:rPr>
      <w:t xml:space="preserve"> عرف</w:t>
    </w:r>
    <w:r w:rsidR="00BE1DE4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973B4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2897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B341F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84E53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3DA5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012D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3330C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05442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1DE4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C7A42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0B1D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59C48-3416-4352-834B-97964D395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8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4586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10</cp:revision>
  <dcterms:created xsi:type="dcterms:W3CDTF">2018-10-19T08:13:00Z</dcterms:created>
  <dcterms:modified xsi:type="dcterms:W3CDTF">2018-11-03T10:29:00Z</dcterms:modified>
  <cp:contentStatus>ویرایش 2.5</cp:contentStatus>
  <cp:version>2.7</cp:version>
</cp:coreProperties>
</file>