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A228B" w:rsidRDefault="003A228B" w:rsidP="003A228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43817" w:history="1">
        <w:r w:rsidRPr="00AA503E">
          <w:rPr>
            <w:rStyle w:val="Hyperlink"/>
            <w:noProof/>
            <w:rtl/>
          </w:rPr>
          <w:t>وجوه تقد</w:t>
        </w:r>
        <w:r w:rsidRPr="00AA503E">
          <w:rPr>
            <w:rStyle w:val="Hyperlink"/>
            <w:rFonts w:hint="cs"/>
            <w:noProof/>
            <w:rtl/>
          </w:rPr>
          <w:t>ی</w:t>
        </w:r>
        <w:r w:rsidRPr="00AA503E">
          <w:rPr>
            <w:rStyle w:val="Hyperlink"/>
            <w:rFonts w:hint="eastAsia"/>
            <w:noProof/>
            <w:rtl/>
          </w:rPr>
          <w:t>م</w:t>
        </w:r>
        <w:r w:rsidRPr="00AA503E">
          <w:rPr>
            <w:rStyle w:val="Hyperlink"/>
            <w:noProof/>
            <w:rtl/>
          </w:rPr>
          <w:t xml:space="preserve"> اصل سبب</w:t>
        </w:r>
        <w:r w:rsidRPr="00AA503E">
          <w:rPr>
            <w:rStyle w:val="Hyperlink"/>
            <w:rFonts w:hint="cs"/>
            <w:noProof/>
            <w:rtl/>
          </w:rPr>
          <w:t>ی</w:t>
        </w:r>
        <w:r w:rsidRPr="00AA503E">
          <w:rPr>
            <w:rStyle w:val="Hyperlink"/>
            <w:noProof/>
            <w:rtl/>
          </w:rPr>
          <w:t xml:space="preserve"> بر مسبب</w:t>
        </w:r>
        <w:r w:rsidRPr="00AA50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532943817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A228B" w:rsidRDefault="003A228B" w:rsidP="003A228B">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43818" w:history="1">
        <w:r w:rsidRPr="00AA503E">
          <w:rPr>
            <w:rStyle w:val="Hyperlink"/>
            <w:noProof/>
            <w:rtl/>
          </w:rPr>
          <w:t>کلام محقق حائر</w:t>
        </w:r>
        <w:r w:rsidRPr="00AA503E">
          <w:rPr>
            <w:rStyle w:val="Hyperlink"/>
            <w:rFonts w:hint="cs"/>
            <w:noProof/>
            <w:rtl/>
          </w:rPr>
          <w:t>ی</w:t>
        </w:r>
        <w:r w:rsidRPr="00AA50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532943818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A228B" w:rsidRDefault="003A228B" w:rsidP="003A228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43819" w:history="1">
        <w:r w:rsidRPr="00AA503E">
          <w:rPr>
            <w:rStyle w:val="Hyperlink"/>
            <w:noProof/>
            <w:rtl/>
          </w:rPr>
          <w:t>ب</w:t>
        </w:r>
        <w:r w:rsidRPr="00AA503E">
          <w:rPr>
            <w:rStyle w:val="Hyperlink"/>
            <w:rFonts w:hint="cs"/>
            <w:noProof/>
            <w:rtl/>
          </w:rPr>
          <w:t>ی</w:t>
        </w:r>
        <w:r w:rsidRPr="00AA503E">
          <w:rPr>
            <w:rStyle w:val="Hyperlink"/>
            <w:rFonts w:hint="eastAsia"/>
            <w:noProof/>
            <w:rtl/>
          </w:rPr>
          <w:t>ان</w:t>
        </w:r>
        <w:r w:rsidRPr="00AA503E">
          <w:rPr>
            <w:rStyle w:val="Hyperlink"/>
            <w:noProof/>
            <w:rtl/>
          </w:rPr>
          <w:t xml:space="preserve"> محقق اصفهان</w:t>
        </w:r>
        <w:r w:rsidRPr="00AA503E">
          <w:rPr>
            <w:rStyle w:val="Hyperlink"/>
            <w:rFonts w:hint="cs"/>
            <w:noProof/>
            <w:rtl/>
          </w:rPr>
          <w:t>ی</w:t>
        </w:r>
        <w:r w:rsidRPr="00AA503E">
          <w:rPr>
            <w:rStyle w:val="Hyperlink"/>
            <w:noProof/>
            <w:rtl/>
          </w:rPr>
          <w:t xml:space="preserve"> از کلام محقق حائر</w:t>
        </w:r>
        <w:r w:rsidRPr="00AA503E">
          <w:rPr>
            <w:rStyle w:val="Hyperlink"/>
            <w:rFonts w:hint="cs"/>
            <w:noProof/>
            <w:rtl/>
          </w:rPr>
          <w:t>ی</w:t>
        </w:r>
        <w:r w:rsidRPr="00AA503E">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532943819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A228B" w:rsidRDefault="003A228B" w:rsidP="003A228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43820" w:history="1">
        <w:r w:rsidRPr="00AA503E">
          <w:rPr>
            <w:rStyle w:val="Hyperlink"/>
            <w:noProof/>
            <w:rtl/>
          </w:rPr>
          <w:t>اشکالات محقق اصفهان</w:t>
        </w:r>
        <w:r w:rsidRPr="00AA503E">
          <w:rPr>
            <w:rStyle w:val="Hyperlink"/>
            <w:rFonts w:hint="cs"/>
            <w:noProof/>
            <w:rtl/>
          </w:rPr>
          <w:t>ی</w:t>
        </w:r>
        <w:r w:rsidRPr="00AA503E">
          <w:rPr>
            <w:rStyle w:val="Hyperlink"/>
            <w:noProof/>
            <w:rtl/>
          </w:rPr>
          <w:t xml:space="preserve"> به کلام محقق حائر</w:t>
        </w:r>
        <w:r w:rsidRPr="00AA503E">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532943820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A228B" w:rsidRDefault="003A228B" w:rsidP="003A228B">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43821" w:history="1">
        <w:r w:rsidRPr="00AA503E">
          <w:rPr>
            <w:rStyle w:val="Hyperlink"/>
            <w:noProof/>
            <w:rtl/>
          </w:rPr>
          <w:t>اشکال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532943821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A228B" w:rsidRDefault="003A228B" w:rsidP="003A228B">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43822" w:history="1">
        <w:r w:rsidRPr="00AA503E">
          <w:rPr>
            <w:rStyle w:val="Hyperlink"/>
            <w:noProof/>
            <w:rtl/>
          </w:rPr>
          <w:t>اشکال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532943822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3A228B" w:rsidP="00C91EB6">
      <w:r>
        <w:rPr>
          <w:rFonts w:cs="B Titr"/>
          <w:noProof/>
          <w:webHidden/>
          <w:color w:val="632423" w:themeColor="accent2" w:themeShade="80"/>
          <w:szCs w:val="24"/>
          <w:rtl/>
        </w:rPr>
        <w:fldChar w:fldCharType="end"/>
      </w:r>
      <w:bookmarkStart w:id="0" w:name="_GoBack"/>
      <w:bookmarkEnd w:id="0"/>
    </w:p>
    <w:p w:rsidR="003A228B" w:rsidRPr="00A6366F" w:rsidRDefault="003A228B" w:rsidP="003A228B">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1" w:name="BokSabj2_d"/>
      <w:bookmarkEnd w:id="1"/>
      <w:r>
        <w:rPr>
          <w:rtl/>
        </w:rPr>
        <w:t>استصحاب سبب</w:t>
      </w:r>
      <w:r>
        <w:rPr>
          <w:rFonts w:hint="cs"/>
          <w:rtl/>
        </w:rPr>
        <w:t>ی</w:t>
      </w:r>
      <w:r>
        <w:rPr>
          <w:rtl/>
        </w:rPr>
        <w:t xml:space="preserve"> و مسبب</w:t>
      </w:r>
      <w:r>
        <w:rPr>
          <w:rFonts w:hint="cs"/>
          <w:rtl/>
        </w:rPr>
        <w:t xml:space="preserve">ی </w:t>
      </w:r>
      <w:r w:rsidRPr="00A6366F">
        <w:rPr>
          <w:rFonts w:hint="cs"/>
          <w:rtl/>
        </w:rPr>
        <w:t>/</w:t>
      </w:r>
      <w:bookmarkStart w:id="2" w:name="BokSabj_d"/>
      <w:bookmarkEnd w:id="2"/>
      <w:r>
        <w:rPr>
          <w:rtl/>
        </w:rPr>
        <w:t>تعارض استصحاب</w:t>
      </w:r>
      <w:r>
        <w:rPr>
          <w:rFonts w:hint="cs"/>
          <w:rtl/>
        </w:rPr>
        <w:t>ی</w:t>
      </w:r>
      <w:r>
        <w:rPr>
          <w:rFonts w:hint="eastAsia"/>
          <w:rtl/>
        </w:rPr>
        <w:t>ن</w:t>
      </w:r>
      <w:r w:rsidRPr="00A6366F">
        <w:rPr>
          <w:rFonts w:hint="cs"/>
          <w:rtl/>
        </w:rPr>
        <w:t xml:space="preserve"> /</w:t>
      </w:r>
      <w:bookmarkStart w:id="3" w:name="Bokkolli"/>
      <w:bookmarkEnd w:id="3"/>
      <w:r>
        <w:rPr>
          <w:rtl/>
        </w:rPr>
        <w:t>تعادل و تراج</w:t>
      </w:r>
      <w:r>
        <w:rPr>
          <w:rFonts w:hint="cs"/>
          <w:rtl/>
        </w:rPr>
        <w:t>ی</w:t>
      </w:r>
      <w:r>
        <w:rPr>
          <w:rFonts w:hint="eastAsia"/>
          <w:rtl/>
        </w:rPr>
        <w:t>ح</w:t>
      </w:r>
      <w:r w:rsidRPr="00A6366F">
        <w:rPr>
          <w:rFonts w:hint="cs"/>
          <w:rtl/>
        </w:rPr>
        <w:t xml:space="preserve"> </w:t>
      </w:r>
    </w:p>
    <w:p w:rsidR="003A228B" w:rsidRPr="009C66D5" w:rsidRDefault="003A228B" w:rsidP="003A228B">
      <w:pPr>
        <w:rPr>
          <w:rStyle w:val="Emphasis"/>
          <w:b/>
          <w:bCs w:val="0"/>
          <w:rtl/>
        </w:rPr>
      </w:pPr>
      <w:r w:rsidRPr="009C66D5">
        <w:rPr>
          <w:rStyle w:val="Emphasis"/>
          <w:rFonts w:hint="cs"/>
          <w:b/>
          <w:bCs w:val="0"/>
          <w:rtl/>
        </w:rPr>
        <w:t>خلاصه مباحث گذشته:</w:t>
      </w:r>
    </w:p>
    <w:p w:rsidR="003A228B" w:rsidRPr="003A6148" w:rsidRDefault="003A228B" w:rsidP="003A228B">
      <w:pPr>
        <w:pBdr>
          <w:bottom w:val="double" w:sz="6" w:space="1" w:color="auto"/>
        </w:pBdr>
      </w:pPr>
      <w:r>
        <w:rPr>
          <w:rFonts w:cs="B Lotus" w:hint="cs"/>
          <w:sz w:val="28"/>
          <w:rtl/>
        </w:rPr>
        <w:t xml:space="preserve">بحث در وجوه تقدیم اصل سببی بر مسببی بود و کلام محقق حائری در وجه تقدیم اصل سببی بر اصل مسببی بیان شد  </w:t>
      </w:r>
    </w:p>
    <w:p w:rsidR="003A228B" w:rsidRDefault="003A228B" w:rsidP="003A228B"/>
    <w:p w:rsidR="003A228B" w:rsidRPr="00B36CDC" w:rsidRDefault="003A228B" w:rsidP="003A228B">
      <w:pPr>
        <w:pStyle w:val="Heading1"/>
        <w:rPr>
          <w:sz w:val="28"/>
          <w:rtl/>
        </w:rPr>
      </w:pPr>
      <w:bookmarkStart w:id="4" w:name="_Toc532939239"/>
      <w:bookmarkStart w:id="5" w:name="_Toc532943817"/>
      <w:r>
        <w:rPr>
          <w:rFonts w:hint="cs"/>
          <w:rtl/>
        </w:rPr>
        <w:t>وجوه تقدیم اصل سببی بر مسببی</w:t>
      </w:r>
      <w:bookmarkEnd w:id="4"/>
      <w:bookmarkEnd w:id="5"/>
    </w:p>
    <w:p w:rsidR="003A228B" w:rsidRDefault="003A228B" w:rsidP="003A228B">
      <w:pPr>
        <w:pStyle w:val="Heading2"/>
        <w:rPr>
          <w:rtl/>
        </w:rPr>
      </w:pPr>
      <w:bookmarkStart w:id="6" w:name="_Toc532939240"/>
      <w:bookmarkStart w:id="7" w:name="_Toc532943818"/>
      <w:r>
        <w:rPr>
          <w:rtl/>
        </w:rPr>
        <w:t>کلام محقق حائری:</w:t>
      </w:r>
      <w:r>
        <w:rPr>
          <w:rStyle w:val="FootnoteReference"/>
          <w:rtl/>
        </w:rPr>
        <w:footnoteReference w:id="1"/>
      </w:r>
      <w:bookmarkEnd w:id="6"/>
      <w:bookmarkEnd w:id="7"/>
    </w:p>
    <w:p w:rsidR="003A228B" w:rsidRDefault="003A228B" w:rsidP="003A228B">
      <w:pPr>
        <w:jc w:val="both"/>
        <w:rPr>
          <w:rFonts w:cs="B Lotus"/>
          <w:sz w:val="28"/>
          <w:rtl/>
        </w:rPr>
      </w:pPr>
      <w:r>
        <w:rPr>
          <w:rFonts w:cs="B Lotus" w:hint="cs"/>
          <w:sz w:val="28"/>
          <w:rtl/>
        </w:rPr>
        <w:t xml:space="preserve"> بیان ایشان به نظر ما مطابق بیان شیخ انصاری می باشد هرچند که محقق اصفهانی این مطلب را به شیخ نسبت می دهند و بیانی دیگر از محقق حائری ارائه می دهند</w:t>
      </w:r>
    </w:p>
    <w:p w:rsidR="003A228B" w:rsidRDefault="003A228B" w:rsidP="003A228B">
      <w:pPr>
        <w:jc w:val="both"/>
        <w:rPr>
          <w:rFonts w:cs="B Lotus"/>
          <w:sz w:val="28"/>
          <w:rtl/>
        </w:rPr>
      </w:pPr>
      <w:r>
        <w:rPr>
          <w:rFonts w:cs="B Lotus" w:hint="cs"/>
          <w:sz w:val="28"/>
          <w:rtl/>
        </w:rPr>
        <w:t>ایشان می فرمایند اصل سببی تقدم رتبی و طبعی براصل مسسبی دارد؛ زیرا در رتبه شک سببی شک مسببی وجود ندارد و شک مسببی معلول شک در سبب و متاخر ازآن است.</w:t>
      </w:r>
    </w:p>
    <w:p w:rsidR="003A228B" w:rsidRDefault="003A228B" w:rsidP="003A228B">
      <w:pPr>
        <w:jc w:val="both"/>
        <w:rPr>
          <w:rFonts w:cs="B Lotus"/>
          <w:sz w:val="28"/>
          <w:rtl/>
        </w:rPr>
      </w:pPr>
      <w:r>
        <w:rPr>
          <w:rFonts w:cs="B Lotus" w:hint="cs"/>
          <w:sz w:val="28"/>
          <w:rtl/>
        </w:rPr>
        <w:t>شک در مسبب هم رتبه و متحد با حکم شک در سبب که همان استصحاب سببی است، می باشد و از آنجا که در رتبه سابق، شک مسببی وجود ندارد، با جریان استصحاب در سبب، به جهت ورود یا حکومت بر اصل مسببی، شکی در ناحیه مسبب باقی نمی ماند و تعارضی صورت نمی گیرد.</w:t>
      </w:r>
    </w:p>
    <w:p w:rsidR="003A228B" w:rsidRDefault="003A228B" w:rsidP="003A228B">
      <w:pPr>
        <w:pStyle w:val="Heading3"/>
        <w:rPr>
          <w:rtl/>
        </w:rPr>
      </w:pPr>
      <w:bookmarkStart w:id="8" w:name="_Toc532939241"/>
      <w:bookmarkStart w:id="9" w:name="_Toc532943819"/>
      <w:r>
        <w:rPr>
          <w:rtl/>
        </w:rPr>
        <w:lastRenderedPageBreak/>
        <w:t>بیان محقق اصفهانی از کلام محقق حائری:</w:t>
      </w:r>
      <w:r>
        <w:rPr>
          <w:rStyle w:val="FootnoteReference"/>
          <w:rtl/>
        </w:rPr>
        <w:footnoteReference w:id="2"/>
      </w:r>
      <w:bookmarkEnd w:id="8"/>
      <w:bookmarkEnd w:id="9"/>
    </w:p>
    <w:p w:rsidR="003A228B" w:rsidRDefault="003A228B" w:rsidP="003A228B">
      <w:pPr>
        <w:jc w:val="both"/>
        <w:rPr>
          <w:rFonts w:cs="B Lotus"/>
          <w:sz w:val="28"/>
          <w:rtl/>
        </w:rPr>
      </w:pPr>
      <w:r>
        <w:rPr>
          <w:rFonts w:cs="B Lotus" w:hint="cs"/>
          <w:sz w:val="28"/>
          <w:rtl/>
        </w:rPr>
        <w:t>محقق اصفهانی در تبیین مراد محقق حائری می فرمایند: با جریان اصل در ناحیه سبب، به جهت تمانع اصل سببی و مسببی، نوبت به اصل مسببی نمیرسد؛ زیرا از آنجا که در رتبه اصل سببی، اصل مسببی وجود ندارد، جریان اصل سببی در رتبه خودش مانعی نداشت.</w:t>
      </w:r>
    </w:p>
    <w:p w:rsidR="003A228B" w:rsidRDefault="003A228B" w:rsidP="003A228B">
      <w:pPr>
        <w:jc w:val="both"/>
        <w:rPr>
          <w:rFonts w:cs="B Lotus"/>
          <w:sz w:val="28"/>
          <w:rtl/>
        </w:rPr>
      </w:pPr>
      <w:r>
        <w:rPr>
          <w:rFonts w:cs="B Lotus" w:hint="cs"/>
          <w:sz w:val="28"/>
          <w:rtl/>
        </w:rPr>
        <w:t>مبنای هر دو بیان بر پایه تفاوت رتبه شک سببی و مسببی است؛ ولی در بیان شیخ انصاری شک مسببی منتفی می شود و از بین می رود؛ ولی در بیان مرحوم اصفهانی از کلام محقق حائری استصحاب مسببی موضوع دارد ولی به جهت وجود مانع تخصیص خورده و جاری نمی شود.</w:t>
      </w:r>
    </w:p>
    <w:p w:rsidR="003A228B" w:rsidRDefault="003A228B" w:rsidP="003A228B">
      <w:pPr>
        <w:pStyle w:val="Heading3"/>
        <w:rPr>
          <w:rtl/>
        </w:rPr>
      </w:pPr>
      <w:bookmarkStart w:id="10" w:name="_Toc532939242"/>
      <w:bookmarkStart w:id="11" w:name="_Toc532943820"/>
      <w:r>
        <w:rPr>
          <w:rtl/>
        </w:rPr>
        <w:t>اشکالات محقق اصفهانی به کلام محقق حائری</w:t>
      </w:r>
      <w:bookmarkEnd w:id="10"/>
      <w:bookmarkEnd w:id="11"/>
    </w:p>
    <w:p w:rsidR="003A228B" w:rsidRDefault="003A228B" w:rsidP="003A228B">
      <w:pPr>
        <w:jc w:val="both"/>
        <w:rPr>
          <w:rFonts w:cs="B Lotus"/>
          <w:sz w:val="28"/>
          <w:rtl/>
        </w:rPr>
      </w:pPr>
      <w:r>
        <w:rPr>
          <w:rFonts w:cs="B Lotus" w:hint="cs"/>
          <w:sz w:val="28"/>
          <w:rtl/>
        </w:rPr>
        <w:t>محقق اصفهانی اشکالات متعددی به تقدم اصل سببی بر مسببی به جهت تفاوت رتبی و طبعی آن وارد کرده است که این اشکالات مشترک بین نظر محقق حائری و شیخ انصاری می باشد.</w:t>
      </w:r>
    </w:p>
    <w:p w:rsidR="003A228B" w:rsidRDefault="003A228B" w:rsidP="003A228B">
      <w:pPr>
        <w:pStyle w:val="Heading4"/>
        <w:rPr>
          <w:rtl/>
        </w:rPr>
      </w:pPr>
      <w:bookmarkStart w:id="12" w:name="_Toc532939243"/>
      <w:bookmarkStart w:id="13" w:name="_Toc532943821"/>
      <w:r>
        <w:rPr>
          <w:rtl/>
        </w:rPr>
        <w:t>اشکال اول</w:t>
      </w:r>
      <w:r>
        <w:rPr>
          <w:rStyle w:val="FootnoteReference"/>
          <w:rtl/>
        </w:rPr>
        <w:footnoteReference w:id="3"/>
      </w:r>
      <w:r>
        <w:rPr>
          <w:rtl/>
        </w:rPr>
        <w:t>:</w:t>
      </w:r>
      <w:bookmarkEnd w:id="12"/>
      <w:bookmarkEnd w:id="13"/>
    </w:p>
    <w:p w:rsidR="003A228B" w:rsidRDefault="003A228B" w:rsidP="003A228B">
      <w:pPr>
        <w:jc w:val="both"/>
        <w:rPr>
          <w:rFonts w:cs="B Lotus"/>
          <w:sz w:val="28"/>
          <w:rtl/>
        </w:rPr>
      </w:pPr>
      <w:r>
        <w:rPr>
          <w:rFonts w:cs="B Lotus" w:hint="cs"/>
          <w:sz w:val="28"/>
          <w:rtl/>
        </w:rPr>
        <w:t>مراد از سبب و مسبب، سببیت شرعی است نه تکوینی و به همین جهت است که در استصحاب حیات که نفقه ثابت می شود، اثر شرعی نفقه که وجوب فطریه است ثابت می شود زیرا شارع ایندو را بر هم مترتب کرده است و فرموده است من تجب نفقته تجب فطرته ولی در تکوینیات ملازمات بیشتری وجود دارد که جاری نمی شود و اصل نسبت به اثبات آنها مثبت می باشد اما هرچند که خود مسبب اثر شرعی سبب است، ولی شک در مسبب اثر شرعی شک در سبب نمی باشد؛ بلکه ملازمه تکوینی بین شک در ایندو وجود دارد؛ زیرا اینگونه نیست که شارع گفته باشد بین شک در ایندو و یا یقین و ظن ایندو ملازمه ای وجود دارد؛ بلکه ملازمه شرعی بین وجود واقعی سبب و مسبب است مثلا بین طهارت آب و طهارت لباس ملازمه وجود دارد ولی بین شک در سبب و شک در مسبب ملازمه ای وجود ندارد.</w:t>
      </w:r>
    </w:p>
    <w:p w:rsidR="003A228B" w:rsidRDefault="003A228B" w:rsidP="003A228B">
      <w:pPr>
        <w:jc w:val="both"/>
        <w:rPr>
          <w:rFonts w:cs="B Lotus"/>
          <w:sz w:val="28"/>
          <w:rtl/>
        </w:rPr>
      </w:pPr>
      <w:r>
        <w:rPr>
          <w:rFonts w:cs="B Lotus" w:hint="cs"/>
          <w:sz w:val="28"/>
          <w:rtl/>
        </w:rPr>
        <w:t>بنابر این جریان اصل در شک سببی مقدم بر جریان اصل در ناحیه مسبب نمی باشد بلکه هردو در عرض هم جاری میشوند</w:t>
      </w:r>
    </w:p>
    <w:p w:rsidR="003A228B" w:rsidRDefault="003A228B" w:rsidP="003A228B">
      <w:pPr>
        <w:pStyle w:val="Heading4"/>
        <w:rPr>
          <w:rtl/>
        </w:rPr>
      </w:pPr>
      <w:bookmarkStart w:id="14" w:name="_Toc532939244"/>
      <w:bookmarkStart w:id="15" w:name="_Toc532943822"/>
      <w:r>
        <w:rPr>
          <w:rtl/>
        </w:rPr>
        <w:lastRenderedPageBreak/>
        <w:t>اشکال دوم:</w:t>
      </w:r>
      <w:r>
        <w:rPr>
          <w:rStyle w:val="FootnoteReference"/>
          <w:rtl/>
        </w:rPr>
        <w:footnoteReference w:id="4"/>
      </w:r>
      <w:bookmarkEnd w:id="14"/>
      <w:bookmarkEnd w:id="15"/>
    </w:p>
    <w:p w:rsidR="003A228B" w:rsidRDefault="003A228B" w:rsidP="003A228B">
      <w:pPr>
        <w:jc w:val="both"/>
        <w:rPr>
          <w:rFonts w:cs="B Lotus"/>
          <w:sz w:val="28"/>
          <w:rtl/>
        </w:rPr>
      </w:pPr>
      <w:r>
        <w:rPr>
          <w:rFonts w:cs="B Lotus" w:hint="cs"/>
          <w:sz w:val="28"/>
          <w:rtl/>
        </w:rPr>
        <w:t xml:space="preserve">حکم برای موضوع از قبیل عرض است برای ماهیت است نه عرض برای وجود و به عبارت دیگر، ماهیت اشیاء موضوع احکام می باشند نه وجودات خارجیه آنها؛ بنابر این وجود عنوانی و مفهوم ذهنی شک سببی و شک مسببی موضوع جعل و حکم شارع است و وجود خارجی و فعلی شک، موضوع جعل شرعی نمی باشد زیرا وجود درجعل شارع لحاظ نشده است. و روشن است که وجود ذهنی شک در (ذات) مسبب، متاخر از شک در (ذات) سبب نیست؛  بلکه مقارن است و ترتب تنها بین وجودات خارجی ایندو تصور میشود. (وجود ذهنی سبب به وصف سببیت بر وجود ذهنی مسبب به وصف مسببیت مترتب است) </w:t>
      </w:r>
    </w:p>
    <w:p w:rsidR="001A1EA5" w:rsidRPr="003A228B" w:rsidRDefault="003A228B" w:rsidP="003A228B">
      <w:pPr>
        <w:jc w:val="both"/>
        <w:rPr>
          <w:rFonts w:cs="B Lotus"/>
          <w:sz w:val="28"/>
          <w:rtl/>
        </w:rPr>
      </w:pPr>
      <w:r>
        <w:rPr>
          <w:rFonts w:cs="B Lotus" w:hint="cs"/>
          <w:sz w:val="28"/>
          <w:rtl/>
        </w:rPr>
        <w:t>بنابر این عنوان جامع شک از آنجا که لحاظ رفض القیدی شده است، شامل همه موارد شک در یک رتبه می شود. در ناحیه فعلیت نیز هیچکدام بر دیگری مقدم نیست و صرف تقدم زمانی یا تقدم رتبی شک سببی بر شک مسببی باعث نمی شود شمول جعل نسبت به اصل سببی مقدم بر اصل مسببی باشد.</w:t>
      </w:r>
      <w:r>
        <w:rPr>
          <w:rStyle w:val="FootnoteReference"/>
          <w:rFonts w:cs="B Lotus"/>
          <w:sz w:val="28"/>
          <w:rtl/>
        </w:rPr>
        <w:footnoteReference w:id="5"/>
      </w:r>
    </w:p>
    <w:sectPr w:rsidR="001A1EA5" w:rsidRPr="003A228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82C" w:rsidRDefault="00B9382C" w:rsidP="008B750B">
      <w:pPr>
        <w:spacing w:line="240" w:lineRule="auto"/>
      </w:pPr>
      <w:r>
        <w:separator/>
      </w:r>
    </w:p>
  </w:endnote>
  <w:endnote w:type="continuationSeparator" w:id="0">
    <w:p w:rsidR="00B9382C" w:rsidRDefault="00B9382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A228B" w:rsidRPr="003A228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D103B" w:rsidP="001B6799">
          <w:pPr>
            <w:pStyle w:val="Footer"/>
            <w:bidi w:val="0"/>
            <w:rPr>
              <w:color w:val="808080" w:themeColor="background1" w:themeShade="80"/>
              <w:rtl/>
            </w:rPr>
          </w:pPr>
          <w:bookmarkStart w:id="23" w:name="BokAdres"/>
          <w:bookmarkEnd w:id="23"/>
          <w:r>
            <w:rPr>
              <w:color w:val="808080" w:themeColor="background1" w:themeShade="80"/>
            </w:rPr>
            <w:t>U1mq1_13970919-042_hs2_mfeb.ir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82C" w:rsidRDefault="00B9382C" w:rsidP="008B750B">
      <w:pPr>
        <w:spacing w:line="240" w:lineRule="auto"/>
      </w:pPr>
      <w:r>
        <w:separator/>
      </w:r>
    </w:p>
  </w:footnote>
  <w:footnote w:type="continuationSeparator" w:id="0">
    <w:p w:rsidR="00B9382C" w:rsidRDefault="00B9382C" w:rsidP="008B750B">
      <w:pPr>
        <w:spacing w:line="240" w:lineRule="auto"/>
      </w:pPr>
      <w:r>
        <w:continuationSeparator/>
      </w:r>
    </w:p>
  </w:footnote>
  <w:footnote w:id="1">
    <w:p w:rsidR="003A228B" w:rsidRPr="00351AC2" w:rsidRDefault="003A228B" w:rsidP="003A228B">
      <w:pPr>
        <w:pStyle w:val="FootnoteText"/>
        <w:jc w:val="both"/>
        <w:rPr>
          <w:sz w:val="22"/>
          <w:szCs w:val="22"/>
          <w:rtl/>
        </w:rPr>
      </w:pPr>
      <w:r w:rsidRPr="00351AC2">
        <w:rPr>
          <w:rStyle w:val="FootnoteReference"/>
          <w:sz w:val="22"/>
          <w:szCs w:val="22"/>
        </w:rPr>
        <w:footnoteRef/>
      </w:r>
      <w:r w:rsidRPr="00351AC2">
        <w:rPr>
          <w:sz w:val="22"/>
          <w:szCs w:val="22"/>
        </w:rPr>
        <w:t xml:space="preserve"> </w:t>
      </w:r>
      <w:hyperlink r:id="rId1" w:history="1">
        <w:r w:rsidRPr="00CB1CDE">
          <w:rPr>
            <w:rStyle w:val="Hyperlink"/>
            <w:rtl/>
          </w:rPr>
          <w:t>درر الفوائد، عبدالکر</w:t>
        </w:r>
        <w:r w:rsidRPr="00CB1CDE">
          <w:rPr>
            <w:rStyle w:val="Hyperlink"/>
            <w:rFonts w:hint="cs"/>
            <w:rtl/>
          </w:rPr>
          <w:t>ی</w:t>
        </w:r>
        <w:r w:rsidRPr="00CB1CDE">
          <w:rPr>
            <w:rStyle w:val="Hyperlink"/>
            <w:rFonts w:hint="eastAsia"/>
            <w:rtl/>
          </w:rPr>
          <w:t>م</w:t>
        </w:r>
        <w:r w:rsidRPr="00CB1CDE">
          <w:rPr>
            <w:rStyle w:val="Hyperlink"/>
            <w:rtl/>
          </w:rPr>
          <w:t xml:space="preserve"> حائر</w:t>
        </w:r>
        <w:r w:rsidRPr="00CB1CDE">
          <w:rPr>
            <w:rStyle w:val="Hyperlink"/>
            <w:rFonts w:hint="cs"/>
            <w:rtl/>
          </w:rPr>
          <w:t>ی</w:t>
        </w:r>
        <w:r w:rsidRPr="00CB1CDE">
          <w:rPr>
            <w:rStyle w:val="Hyperlink"/>
            <w:rFonts w:hint="eastAsia"/>
            <w:rtl/>
          </w:rPr>
          <w:t>،</w:t>
        </w:r>
        <w:r w:rsidRPr="00CB1CDE">
          <w:rPr>
            <w:rStyle w:val="Hyperlink"/>
            <w:rtl/>
          </w:rPr>
          <w:t xml:space="preserve"> ج2، ص258.</w:t>
        </w:r>
      </w:hyperlink>
      <w:r w:rsidRPr="00351AC2">
        <w:rPr>
          <w:sz w:val="22"/>
          <w:szCs w:val="22"/>
          <w:rtl/>
        </w:rPr>
        <w:t xml:space="preserve"> </w:t>
      </w:r>
    </w:p>
    <w:p w:rsidR="003A228B" w:rsidRPr="00351AC2" w:rsidRDefault="003A228B" w:rsidP="003A228B">
      <w:pPr>
        <w:pStyle w:val="FootnoteText"/>
        <w:jc w:val="both"/>
        <w:rPr>
          <w:sz w:val="22"/>
          <w:szCs w:val="22"/>
          <w:rtl/>
        </w:rPr>
      </w:pPr>
    </w:p>
  </w:footnote>
  <w:footnote w:id="2">
    <w:p w:rsidR="003A228B" w:rsidRPr="00351AC2" w:rsidRDefault="003A228B" w:rsidP="003A228B">
      <w:pPr>
        <w:pStyle w:val="FootnoteText"/>
        <w:jc w:val="both"/>
        <w:rPr>
          <w:sz w:val="22"/>
          <w:szCs w:val="22"/>
        </w:rPr>
      </w:pPr>
      <w:r w:rsidRPr="00351AC2">
        <w:rPr>
          <w:rStyle w:val="FootnoteReference"/>
          <w:sz w:val="22"/>
          <w:szCs w:val="22"/>
        </w:rPr>
        <w:footnoteRef/>
      </w:r>
      <w:r w:rsidRPr="00351AC2">
        <w:rPr>
          <w:sz w:val="22"/>
          <w:szCs w:val="22"/>
        </w:rPr>
        <w:t xml:space="preserve"> </w:t>
      </w:r>
      <w:r w:rsidRPr="0065033A">
        <w:rPr>
          <w:rtl/>
        </w:rPr>
        <w:t xml:space="preserve"> </w:t>
      </w:r>
      <w:hyperlink r:id="rId2"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ص299.</w:t>
        </w:r>
      </w:hyperlink>
    </w:p>
  </w:footnote>
  <w:footnote w:id="3">
    <w:p w:rsidR="003A228B" w:rsidRPr="00351AC2" w:rsidRDefault="003A228B" w:rsidP="003A228B">
      <w:pPr>
        <w:pStyle w:val="FootnoteText"/>
        <w:jc w:val="both"/>
        <w:rPr>
          <w:sz w:val="22"/>
          <w:szCs w:val="22"/>
        </w:rPr>
      </w:pPr>
      <w:r w:rsidRPr="00351AC2">
        <w:rPr>
          <w:rStyle w:val="FootnoteReference"/>
          <w:sz w:val="22"/>
          <w:szCs w:val="22"/>
        </w:rPr>
        <w:footnoteRef/>
      </w:r>
      <w:r w:rsidRPr="00351AC2">
        <w:rPr>
          <w:sz w:val="22"/>
          <w:szCs w:val="22"/>
        </w:rPr>
        <w:t xml:space="preserve"> </w:t>
      </w:r>
      <w:hyperlink r:id="rId3"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ص294.</w:t>
        </w:r>
      </w:hyperlink>
    </w:p>
  </w:footnote>
  <w:footnote w:id="4">
    <w:p w:rsidR="003A228B" w:rsidRPr="00351AC2" w:rsidRDefault="003A228B" w:rsidP="003A228B">
      <w:pPr>
        <w:autoSpaceDE w:val="0"/>
        <w:autoSpaceDN w:val="0"/>
        <w:adjustRightInd w:val="0"/>
        <w:spacing w:line="240" w:lineRule="auto"/>
        <w:jc w:val="both"/>
        <w:rPr>
          <w:szCs w:val="22"/>
        </w:rPr>
      </w:pPr>
      <w:r w:rsidRPr="00351AC2">
        <w:rPr>
          <w:rStyle w:val="FootnoteReference"/>
        </w:rPr>
        <w:footnoteRef/>
      </w:r>
      <w:r w:rsidRPr="00351AC2">
        <w:t xml:space="preserve"> </w:t>
      </w:r>
      <w:r w:rsidRPr="0065033A">
        <w:rPr>
          <w:rtl/>
        </w:rPr>
        <w:t xml:space="preserve"> </w:t>
      </w:r>
      <w:hyperlink r:id="rId4"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ص295.</w:t>
        </w:r>
      </w:hyperlink>
    </w:p>
    <w:p w:rsidR="003A228B" w:rsidRPr="00351AC2" w:rsidRDefault="003A228B" w:rsidP="003A228B">
      <w:pPr>
        <w:pStyle w:val="FootnoteText"/>
        <w:jc w:val="both"/>
        <w:rPr>
          <w:sz w:val="22"/>
          <w:szCs w:val="22"/>
          <w:rtl/>
        </w:rPr>
      </w:pPr>
    </w:p>
  </w:footnote>
  <w:footnote w:id="5">
    <w:p w:rsidR="003A228B" w:rsidRPr="00351AC2" w:rsidRDefault="003A228B" w:rsidP="003A228B">
      <w:pPr>
        <w:pStyle w:val="FootnoteText"/>
        <w:jc w:val="both"/>
        <w:rPr>
          <w:sz w:val="22"/>
          <w:szCs w:val="22"/>
          <w:rtl/>
        </w:rPr>
      </w:pPr>
      <w:r w:rsidRPr="00351AC2">
        <w:rPr>
          <w:rStyle w:val="FootnoteReference"/>
          <w:sz w:val="22"/>
          <w:szCs w:val="22"/>
        </w:rPr>
        <w:footnoteRef/>
      </w:r>
      <w:r w:rsidRPr="00351AC2">
        <w:rPr>
          <w:sz w:val="22"/>
          <w:szCs w:val="22"/>
        </w:rPr>
        <w:t xml:space="preserve"> </w:t>
      </w:r>
      <w:hyperlink r:id="rId5"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4D103B">
      <w:rPr>
        <w:b/>
        <w:bCs/>
        <w:sz w:val="20"/>
        <w:szCs w:val="24"/>
        <w:rtl/>
      </w:rPr>
      <w:t>042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4D103B">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4D103B">
      <w:rPr>
        <w:b/>
        <w:bCs/>
        <w:color w:val="632423" w:themeColor="accent2" w:themeShade="80"/>
        <w:sz w:val="20"/>
        <w:szCs w:val="24"/>
        <w:rtl/>
      </w:rPr>
      <w:t>قائ</w:t>
    </w:r>
    <w:r w:rsidR="004D103B">
      <w:rPr>
        <w:rFonts w:hint="cs"/>
        <w:b/>
        <w:bCs/>
        <w:color w:val="632423" w:themeColor="accent2" w:themeShade="80"/>
        <w:sz w:val="20"/>
        <w:szCs w:val="24"/>
        <w:rtl/>
      </w:rPr>
      <w:t>ی</w:t>
    </w:r>
    <w:r w:rsidR="004D103B">
      <w:rPr>
        <w:rFonts w:hint="eastAsia"/>
        <w:b/>
        <w:bCs/>
        <w:color w:val="632423" w:themeColor="accent2" w:themeShade="80"/>
        <w:sz w:val="20"/>
        <w:szCs w:val="24"/>
        <w:rtl/>
      </w:rPr>
      <w:t>ن</w:t>
    </w:r>
    <w:r w:rsidR="004D103B">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4D103B">
      <w:rPr>
        <w:sz w:val="24"/>
        <w:szCs w:val="24"/>
        <w:rtl/>
      </w:rPr>
      <w:t>19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4D103B">
      <w:rPr>
        <w:color w:val="000000" w:themeColor="text1"/>
        <w:sz w:val="24"/>
        <w:szCs w:val="24"/>
        <w:rtl/>
      </w:rPr>
      <w:t>تعارض استصحاب</w:t>
    </w:r>
    <w:r w:rsidR="004D103B">
      <w:rPr>
        <w:rFonts w:hint="cs"/>
        <w:color w:val="000000" w:themeColor="text1"/>
        <w:sz w:val="24"/>
        <w:szCs w:val="24"/>
        <w:rtl/>
      </w:rPr>
      <w:t>ی</w:t>
    </w:r>
    <w:r w:rsidR="004D103B">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4D103B">
      <w:rPr>
        <w:sz w:val="24"/>
        <w:szCs w:val="24"/>
        <w:rtl/>
      </w:rPr>
      <w:t>حس</w:t>
    </w:r>
    <w:r w:rsidR="004D103B">
      <w:rPr>
        <w:rFonts w:hint="cs"/>
        <w:sz w:val="24"/>
        <w:szCs w:val="24"/>
        <w:rtl/>
      </w:rPr>
      <w:t>ی</w:t>
    </w:r>
    <w:r w:rsidR="004D103B">
      <w:rPr>
        <w:rFonts w:hint="eastAsia"/>
        <w:sz w:val="24"/>
        <w:szCs w:val="24"/>
        <w:rtl/>
      </w:rPr>
      <w:t>ن</w:t>
    </w:r>
    <w:r w:rsidR="004D103B">
      <w:rPr>
        <w:sz w:val="24"/>
        <w:szCs w:val="24"/>
        <w:rtl/>
      </w:rPr>
      <w:t xml:space="preserve"> سل</w:t>
    </w:r>
    <w:r w:rsidR="004D103B">
      <w:rPr>
        <w:rFonts w:hint="cs"/>
        <w:sz w:val="24"/>
        <w:szCs w:val="24"/>
        <w:rtl/>
      </w:rPr>
      <w:t>ی</w:t>
    </w:r>
    <w:r w:rsidR="004D103B">
      <w:rPr>
        <w:rFonts w:hint="eastAsia"/>
        <w:sz w:val="24"/>
        <w:szCs w:val="24"/>
        <w:rtl/>
      </w:rPr>
      <w:t>م</w:t>
    </w:r>
    <w:r w:rsidR="004D103B">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4D103B">
      <w:rPr>
        <w:sz w:val="24"/>
        <w:szCs w:val="24"/>
        <w:rtl/>
      </w:rPr>
      <w:t>استصحاب سبب</w:t>
    </w:r>
    <w:r w:rsidR="004D103B">
      <w:rPr>
        <w:rFonts w:hint="cs"/>
        <w:sz w:val="24"/>
        <w:szCs w:val="24"/>
        <w:rtl/>
      </w:rPr>
      <w:t>ی</w:t>
    </w:r>
    <w:r w:rsidR="004D103B">
      <w:rPr>
        <w:sz w:val="24"/>
        <w:szCs w:val="24"/>
        <w:rtl/>
      </w:rPr>
      <w:t xml:space="preserve"> و مسبب</w:t>
    </w:r>
    <w:r w:rsidR="004D103B">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228B"/>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103B"/>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382C"/>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D4DB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3/294/&#1604;&#1575;%20&#1578;&#1601;&#1585;&#1593;" TargetMode="External"/><Relationship Id="rId2" Type="http://schemas.openxmlformats.org/officeDocument/2006/relationships/hyperlink" Target="http://lib.eshia.ir/27897/3/299/&#1575;&#1580;&#1604;&#1607;%20&#1575;&#1604;&#1593;&#1589;&#1585;" TargetMode="External"/><Relationship Id="rId1" Type="http://schemas.openxmlformats.org/officeDocument/2006/relationships/hyperlink" Target="http://lib.eshia.ir/13098/2/258/&#1591;&#1576;&#1593;&#1575;" TargetMode="External"/><Relationship Id="rId5" Type="http://schemas.openxmlformats.org/officeDocument/2006/relationships/hyperlink" Target="http://lib.eshia.ir/27897/3/299/&#1575;&#1580;&#1604;&#1607;%20&#1575;&#1604;&#1593;&#1589;&#1585;" TargetMode="External"/><Relationship Id="rId4" Type="http://schemas.openxmlformats.org/officeDocument/2006/relationships/hyperlink" Target="http://lib.eshia.ir/27897/3/295/&#1593;&#1608;&#1575;&#1585;&#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51B5E-52B5-4D74-8B31-DB52CB7CC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541</Words>
  <Characters>3085</Characters>
  <Application>Microsoft Office Word</Application>
  <DocSecurity>0</DocSecurity>
  <Lines>25</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3619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cp:revision>
  <dcterms:created xsi:type="dcterms:W3CDTF">2018-12-18T21:17:00Z</dcterms:created>
  <dcterms:modified xsi:type="dcterms:W3CDTF">2018-12-18T21:18:00Z</dcterms:modified>
  <cp:contentStatus>ویرایش 2.5</cp:contentStatus>
  <cp:version>2.7</cp:version>
</cp:coreProperties>
</file>