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5B72" w:rsidRDefault="00175B72" w:rsidP="00175B7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27713538" w:history="1">
        <w:r w:rsidRPr="009D21A1">
          <w:rPr>
            <w:rStyle w:val="Hyperlink"/>
            <w:noProof/>
            <w:rtl/>
          </w:rPr>
          <w:t>تفاوت تخصّص با ورود و حکومت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Toc527713538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175B72" w:rsidRDefault="00175B72" w:rsidP="00175B7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539" w:history="1">
        <w:r w:rsidRPr="009D21A1">
          <w:rPr>
            <w:rStyle w:val="Hyperlink"/>
            <w:noProof/>
            <w:rtl/>
          </w:rPr>
          <w:t>اقسام ورود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Toc527713539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175B72" w:rsidRDefault="00175B72" w:rsidP="00175B7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540" w:history="1">
        <w:r w:rsidRPr="009D21A1">
          <w:rPr>
            <w:rStyle w:val="Hyperlink"/>
            <w:noProof/>
            <w:rtl/>
          </w:rPr>
          <w:t>قسم اول : ورود به لحاظ جعل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Toc527713540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75B72" w:rsidRDefault="00175B72" w:rsidP="00175B7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541" w:history="1">
        <w:r w:rsidRPr="009D21A1">
          <w:rPr>
            <w:rStyle w:val="Hyperlink"/>
            <w:noProof/>
            <w:rtl/>
          </w:rPr>
          <w:t>قسم دوم : ورود به لحاظ فعل</w:t>
        </w:r>
        <w:r w:rsidRPr="009D21A1">
          <w:rPr>
            <w:rStyle w:val="Hyperlink"/>
            <w:rFonts w:hint="cs"/>
            <w:noProof/>
            <w:rtl/>
          </w:rPr>
          <w:t>یّ</w:t>
        </w:r>
        <w:r w:rsidRPr="009D21A1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Toc527713541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175B72" w:rsidRDefault="00175B72" w:rsidP="00175B7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542" w:history="1">
        <w:r w:rsidRPr="009D21A1">
          <w:rPr>
            <w:rStyle w:val="Hyperlink"/>
            <w:noProof/>
            <w:rtl/>
          </w:rPr>
          <w:t>قسم سوم : ورود به لحاظ وصول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Toc527713542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75B72" w:rsidP="00C91EB6">
      <w:r>
        <w:fldChar w:fldCharType="end"/>
      </w:r>
      <w:bookmarkStart w:id="0" w:name="_GoBack"/>
      <w:bookmarkEnd w:id="0"/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2356B6">
        <w:rPr>
          <w:rtl/>
        </w:rPr>
        <w:t>اقسام ورود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2356B6">
        <w:rPr>
          <w:rtl/>
        </w:rPr>
        <w:t>تعارض غ</w:t>
      </w:r>
      <w:r w:rsidR="002356B6">
        <w:rPr>
          <w:rFonts w:hint="cs"/>
          <w:rtl/>
        </w:rPr>
        <w:t>ی</w:t>
      </w:r>
      <w:r w:rsidR="002356B6">
        <w:rPr>
          <w:rFonts w:hint="eastAsia"/>
          <w:rtl/>
        </w:rPr>
        <w:t>ر</w:t>
      </w:r>
      <w:r w:rsidR="002356B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2356B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6E5DB0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   </w:t>
      </w:r>
      <w:r>
        <w:rPr>
          <w:rFonts w:hint="cs"/>
          <w:rtl/>
        </w:rPr>
        <w:t>« ورود » یعنی یک دلیل به واسطه تعبّد ، موضوع دلیل دیگر را حقیقتا منتفی کند . مرحوم آخوند خروج « ورود » از بحث تعارض را مفروغ عنه دانسته اند و از این رو متعرّض آن نشدند ، اما لازم است چند نکته پیرامون آن را تبیین کنیم 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175B72" w:rsidRPr="00A421B5" w:rsidRDefault="00175B72" w:rsidP="00175B72">
      <w:pPr>
        <w:pStyle w:val="Heading1"/>
        <w:rPr>
          <w:rtl/>
        </w:rPr>
      </w:pPr>
      <w:bookmarkStart w:id="4" w:name="_Toc526775306"/>
      <w:bookmarkStart w:id="5" w:name="_Toc526775999"/>
      <w:bookmarkStart w:id="6" w:name="_Toc527713538"/>
      <w:r>
        <w:rPr>
          <w:rFonts w:hint="cs"/>
          <w:rtl/>
        </w:rPr>
        <w:t>تفاوت تخصّص با ورود و حکومت</w:t>
      </w:r>
      <w:bookmarkEnd w:id="4"/>
      <w:bookmarkEnd w:id="5"/>
      <w:bookmarkEnd w:id="6"/>
    </w:p>
    <w:p w:rsidR="00175B72" w:rsidRDefault="00175B72" w:rsidP="00175B72">
      <w:pPr>
        <w:jc w:val="both"/>
        <w:rPr>
          <w:rtl/>
        </w:rPr>
      </w:pPr>
      <w:r w:rsidRPr="00A421B5">
        <w:rPr>
          <w:rFonts w:hint="cs"/>
          <w:rtl/>
        </w:rPr>
        <w:t xml:space="preserve">   </w:t>
      </w:r>
      <w:r>
        <w:rPr>
          <w:rFonts w:hint="cs"/>
          <w:rtl/>
        </w:rPr>
        <w:t>با توجّه به تعریف ما برای « ورود » ، تفاوت آن با « تخصّص » روشن شد ؛ زیرا هر چند که ایندو در منتفی کردن حقیقی موضوع دلیل دیگر مشترکند ، اما یکی نیازمند به وقوع تعبّد است و دیگری مستغنی از آن می باشد . همین نقطه اشتراک ایندو ، نقطه افتراقشان از حکومت هم است چه آن که موضوع دلیل محکوم حتّی بعد از تعبّد به دلیل حاکم ، باقی می ماند .</w:t>
      </w:r>
    </w:p>
    <w:p w:rsidR="00175B72" w:rsidRPr="00A421B5" w:rsidRDefault="00175B72" w:rsidP="00175B72">
      <w:pPr>
        <w:pStyle w:val="Heading1"/>
        <w:jc w:val="both"/>
        <w:rPr>
          <w:rtl/>
        </w:rPr>
      </w:pPr>
      <w:bookmarkStart w:id="7" w:name="_Toc526775307"/>
      <w:bookmarkStart w:id="8" w:name="_Toc526776000"/>
      <w:bookmarkStart w:id="9" w:name="_Toc527713539"/>
      <w:r>
        <w:rPr>
          <w:rFonts w:hint="cs"/>
          <w:rtl/>
        </w:rPr>
        <w:t>اقسام ورود</w:t>
      </w:r>
      <w:bookmarkEnd w:id="7"/>
      <w:bookmarkEnd w:id="8"/>
      <w:bookmarkEnd w:id="9"/>
    </w:p>
    <w:p w:rsidR="00175B72" w:rsidRDefault="00175B72" w:rsidP="00175B72">
      <w:pPr>
        <w:jc w:val="both"/>
        <w:rPr>
          <w:rtl/>
        </w:rPr>
      </w:pPr>
      <w:r>
        <w:rPr>
          <w:rFonts w:hint="cs"/>
          <w:rtl/>
        </w:rPr>
        <w:t xml:space="preserve">   مرحوم صدر 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تقریبی در اقسام ورود 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دارند که مناسب است به بیان آن بپردازیم . ایشان فرموده اند ورود گاهی از جانب یکی از ادله است و گاهی از جانب هر دو ، که « توارد » است . و در هر دو صورت بر پنج وجه تصویر می شود 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: 1 ) ورود به لحاظ جعل 2 ) ورود به لحاظ فعلیّت 3 ) ورود به لحاظ وصول 4 ) ورود به لحاظ تنجّز 5 ) ورود به لحاظ امتثال .</w:t>
      </w:r>
    </w:p>
    <w:p w:rsidR="00175B72" w:rsidRDefault="00175B72" w:rsidP="00175B72">
      <w:pPr>
        <w:pStyle w:val="Heading6"/>
        <w:rPr>
          <w:rtl/>
        </w:rPr>
      </w:pPr>
      <w:bookmarkStart w:id="10" w:name="_Toc526775308"/>
      <w:bookmarkStart w:id="11" w:name="_Toc526776001"/>
      <w:bookmarkStart w:id="12" w:name="_Toc527713540"/>
      <w:r>
        <w:rPr>
          <w:rFonts w:hint="cs"/>
          <w:rtl/>
        </w:rPr>
        <w:lastRenderedPageBreak/>
        <w:t>قسم اول : ورود به لحاظ جعل</w:t>
      </w:r>
      <w:bookmarkEnd w:id="10"/>
      <w:bookmarkEnd w:id="11"/>
      <w:bookmarkEnd w:id="12"/>
    </w:p>
    <w:p w:rsidR="00175B72" w:rsidRDefault="00175B72" w:rsidP="00175B72">
      <w:pPr>
        <w:jc w:val="both"/>
        <w:rPr>
          <w:rtl/>
        </w:rPr>
      </w:pPr>
      <w:r>
        <w:rPr>
          <w:rFonts w:hint="cs"/>
          <w:rtl/>
        </w:rPr>
        <w:t xml:space="preserve">   قسم اوّل آن موردی است که جعل یک حکم باعث شود موضوع حکم دیگر حقیقتا منتفی شود . و این هنگامی رخ می دهد که موضوع حکم دیگر مقیّد به عدم جعل حکم اوّل باشد . مثال فقهی این صنف از ورود در مبحث زکات قابل تطبیق است .</w:t>
      </w:r>
    </w:p>
    <w:p w:rsidR="00175B72" w:rsidRDefault="00175B72" w:rsidP="00175B72">
      <w:pPr>
        <w:jc w:val="both"/>
        <w:rPr>
          <w:rtl/>
        </w:rPr>
      </w:pPr>
      <w:r>
        <w:rPr>
          <w:rFonts w:hint="cs"/>
          <w:rtl/>
        </w:rPr>
        <w:t xml:space="preserve">  توضیح آن که در مورد زکات از ادله چنین استفاده می شود که شروع دو نصاب از یک مال ، در یک سال محقّق نمی شود . پس اگر شخصی مثلا مالک نصاب چهارم زکات شتر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20 شتر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شد ، از روز مالکیت آن ها سال شروع می شود ، حال اگر بعد از شش ماه شتر ها وارد نصاب پنجم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25 شتر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شدند ما باید شش ماه بعد که یک سال از تملّک نصاب چهارم گذشته ، زکات آن ها را بپردازیم .اما آیا بعد از سپری شدن شش ماه سوم و با رسیدن یک سالگی تملّک نصاب پنجم ، پرداختن زکاتِ نصاب پنجم واجب است ؟ پاسخ منفی است زیرا شروع احتساب حَوَلانِ حَول دو بار در یک سال رخ نمی دهد و اگر الان فتوا دهیم پرداخت زکات نصاب پنجم واجب است ، لازمه اش آن است که نسبت به 20 شتر از 25 شتر ، دو بار در یک سال ، سال زکاتی شروع شده باشد که مطابق فرض صحیح نیست . بنابراین نصاب پنجم باید بعد پایان دو سال از تملّک نصاب چهارم پرداخت شود نه یک سال و نیم .</w:t>
      </w:r>
    </w:p>
    <w:p w:rsidR="00175B72" w:rsidRDefault="00175B72" w:rsidP="00175B72">
      <w:pPr>
        <w:jc w:val="both"/>
        <w:rPr>
          <w:rtl/>
        </w:rPr>
      </w:pPr>
      <w:r>
        <w:rPr>
          <w:rFonts w:hint="cs"/>
          <w:rtl/>
        </w:rPr>
        <w:t xml:space="preserve">   مطابق توضیح بالا خطاب نصاب چهارم در شش ماهگی با اینکه نه فعلیت 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>دارد و نه تنجّز ، بلکه تنها حکمی مجعول به نحو قضیه حقیقیه است ؛ موضوع خطاب زکات نصاب پنجم را منتفی می کند . پس شروع حول خطاب نصاب پنجم مشروط به عدم خطاب نصاب چهارم است و موضوعش با جعل آن منتفی می شود ، و این یعنی مورود آن می باشد . این قسم ورود از اقسامی است که توارد در آن منتفی می باشد ؛ زیرا لازمه توارد آن است که هیچ یک از دو خطاب هیچ گاه فعلی نشوند .</w:t>
      </w:r>
    </w:p>
    <w:p w:rsidR="00175B72" w:rsidRDefault="00175B72" w:rsidP="00175B72">
      <w:pPr>
        <w:pStyle w:val="Heading6"/>
        <w:rPr>
          <w:rtl/>
        </w:rPr>
      </w:pPr>
      <w:bookmarkStart w:id="13" w:name="_Toc526775309"/>
      <w:bookmarkStart w:id="14" w:name="_Toc526776002"/>
      <w:bookmarkStart w:id="15" w:name="_Toc527713541"/>
      <w:r>
        <w:rPr>
          <w:rFonts w:hint="cs"/>
          <w:rtl/>
        </w:rPr>
        <w:t>قسم دوم : ورود به لحاظ فعلیّت</w:t>
      </w:r>
      <w:bookmarkEnd w:id="13"/>
      <w:bookmarkEnd w:id="14"/>
      <w:bookmarkEnd w:id="15"/>
    </w:p>
    <w:p w:rsidR="00175B72" w:rsidRPr="00E946C4" w:rsidRDefault="00175B72" w:rsidP="00175B72">
      <w:pPr>
        <w:pStyle w:val="NormalWeb"/>
        <w:bidi/>
        <w:spacing w:line="276" w:lineRule="auto"/>
        <w:jc w:val="both"/>
        <w:rPr>
          <w:rFonts w:ascii="Traditional Arabic" w:hAnsi="Traditional Arabic"/>
          <w:color w:val="000000"/>
          <w:sz w:val="30"/>
          <w:szCs w:val="30"/>
          <w:rtl/>
        </w:rPr>
      </w:pPr>
      <w:r>
        <w:rPr>
          <w:rFonts w:hint="cs"/>
          <w:rtl/>
        </w:rPr>
        <w:t xml:space="preserve">   </w:t>
      </w:r>
      <w:r>
        <w:rPr>
          <w:rFonts w:cs="B Badr" w:hint="cs"/>
          <w:sz w:val="28"/>
          <w:szCs w:val="28"/>
          <w:rtl/>
        </w:rPr>
        <w:t xml:space="preserve">یعنی دلیلی متکفّل حکمی باشد که فعلیّت آن حکم ، رافع موضوع حکمی دیگر باشد . پس </w:t>
      </w:r>
      <w:r w:rsidRPr="00E946C4">
        <w:rPr>
          <w:rFonts w:cs="B Badr" w:hint="cs"/>
          <w:sz w:val="28"/>
          <w:szCs w:val="28"/>
          <w:rtl/>
        </w:rPr>
        <w:t xml:space="preserve">اگر اماره معتبری دلالت </w:t>
      </w:r>
      <w:r w:rsidRPr="00E946C4">
        <w:rPr>
          <w:rFonts w:cs="B Badr" w:hint="cs"/>
          <w:color w:val="000000" w:themeColor="text1"/>
          <w:sz w:val="28"/>
          <w:szCs w:val="28"/>
          <w:rtl/>
        </w:rPr>
        <w:t>بر حرمت فعلی داشت ، نسبت به « المومنون عند شروطهم إلا شرط خالف الکتاب أو السنه » وارد است ، بنا بر این که مراد از مخالفت را مخالفت با دلالت کتاب یا سنت بدانیم ، أعمّ از آن که مقطوع باشد یا مظنون اما برآمده از اماره ای معتبر .</w:t>
      </w:r>
      <w:r>
        <w:rPr>
          <w:rFonts w:cs="B Badr" w:hint="cs"/>
          <w:color w:val="000000" w:themeColor="text1"/>
          <w:sz w:val="28"/>
          <w:szCs w:val="28"/>
          <w:rtl/>
        </w:rPr>
        <w:t xml:space="preserve"> در این صورت</w:t>
      </w:r>
      <w:r w:rsidRPr="00E946C4">
        <w:rPr>
          <w:rFonts w:cs="B Badr" w:hint="cs"/>
          <w:color w:val="000000" w:themeColor="text1"/>
          <w:sz w:val="28"/>
          <w:szCs w:val="28"/>
          <w:rtl/>
        </w:rPr>
        <w:t xml:space="preserve"> موضوع وجوب وفاء به شرط حقیقتا با قیام حجت می تواند منتفی شود . مگر این که مدرک وجوب وفا را </w:t>
      </w:r>
      <w:r w:rsidRPr="00E946C4">
        <w:rPr>
          <w:rFonts w:cs="B Badr" w:hint="cs"/>
          <w:color w:val="008000"/>
          <w:sz w:val="28"/>
          <w:szCs w:val="28"/>
          <w:rtl/>
        </w:rPr>
        <w:t xml:space="preserve">« </w:t>
      </w:r>
      <w:r w:rsidRPr="00E946C4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َإِنَّ </w:t>
      </w:r>
      <w:r w:rsidRPr="00E946C4">
        <w:rPr>
          <w:rFonts w:ascii="Traditional Arabic" w:hAnsi="Traditional Arabic" w:cs="B Badr" w:hint="cs"/>
          <w:color w:val="008000"/>
          <w:sz w:val="28"/>
          <w:szCs w:val="28"/>
          <w:rtl/>
        </w:rPr>
        <w:lastRenderedPageBreak/>
        <w:t>الْمُسْلِمِينَ عِنْدَ شُرُوطِهِمْ إِلَّا شَرْطاً حَرَّمَ‏ حَلَالًا أَوْ أَحَلَّ حَرَاما</w:t>
      </w:r>
      <w:r w:rsidRPr="00E946C4">
        <w:rPr>
          <w:rFonts w:ascii="Traditional Arabic" w:hAnsi="Traditional Arabic" w:cs="B Badr"/>
          <w:color w:val="008000"/>
          <w:sz w:val="28"/>
          <w:szCs w:val="28"/>
        </w:rPr>
        <w:t xml:space="preserve"> </w:t>
      </w:r>
      <w:r w:rsidRPr="00E946C4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» </w:t>
      </w:r>
      <w:r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5"/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بدانیم ، که در این حال چون موضوع وجوب وفاء به حسب مدلول وضعی « حکم واقعی » است ، یعنی شرط مقیّد است به عدم تحریم حلال یا تحلیل حرام واقعی ، می گوییم ادله اعتبار اماره حاکم بر آنند و نه وارد .</w:t>
      </w:r>
    </w:p>
    <w:p w:rsidR="00175B72" w:rsidRDefault="00175B72" w:rsidP="00175B72">
      <w:pPr>
        <w:pStyle w:val="Heading6"/>
        <w:rPr>
          <w:rtl/>
        </w:rPr>
      </w:pPr>
      <w:bookmarkStart w:id="16" w:name="_Toc526775310"/>
      <w:bookmarkStart w:id="17" w:name="_Toc526776003"/>
      <w:bookmarkStart w:id="18" w:name="_Toc527713542"/>
      <w:r>
        <w:rPr>
          <w:rFonts w:hint="cs"/>
          <w:rtl/>
        </w:rPr>
        <w:t>قسم سوم : ورود به لحاظ وصول</w:t>
      </w:r>
      <w:bookmarkEnd w:id="16"/>
      <w:bookmarkEnd w:id="17"/>
      <w:bookmarkEnd w:id="18"/>
    </w:p>
    <w:p w:rsidR="001A1EA5" w:rsidRPr="006162A2" w:rsidRDefault="00175B72" w:rsidP="00175B72">
      <w:pPr>
        <w:jc w:val="both"/>
        <w:rPr>
          <w:rtl/>
        </w:rPr>
      </w:pPr>
      <w:r>
        <w:rPr>
          <w:rFonts w:hint="cs"/>
          <w:rtl/>
        </w:rPr>
        <w:t xml:space="preserve">   مراد از وصول « علم » است . و این قسم در مواردی است که علم به یک دلیل باعث ورود آن بر دلیل دیگر شود . مانند این که دلیلی با وصف مقطوعیت سند و منصوصیت دلالت اقامه برحرمت شیء ای شود ، که در این حال وارد بر « رفع ما لا یعلمون » می باشد . 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B4A" w:rsidRDefault="00784B4A" w:rsidP="008B750B">
      <w:pPr>
        <w:spacing w:line="240" w:lineRule="auto"/>
      </w:pPr>
      <w:r>
        <w:separator/>
      </w:r>
    </w:p>
  </w:endnote>
  <w:endnote w:type="continuationSeparator" w:id="0">
    <w:p w:rsidR="00784B4A" w:rsidRDefault="00784B4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75B72" w:rsidRPr="00175B72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356B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6" w:name="BokAdres"/>
          <w:bookmarkEnd w:id="26"/>
          <w:r>
            <w:rPr>
              <w:color w:val="808080" w:themeColor="background1" w:themeShade="80"/>
            </w:rPr>
            <w:t>U1mq1_13970716-010_ab1_mfeb.ir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B4A" w:rsidRDefault="00784B4A" w:rsidP="008B750B">
      <w:pPr>
        <w:spacing w:line="240" w:lineRule="auto"/>
      </w:pPr>
      <w:r>
        <w:separator/>
      </w:r>
    </w:p>
  </w:footnote>
  <w:footnote w:type="continuationSeparator" w:id="0">
    <w:p w:rsidR="00784B4A" w:rsidRDefault="00784B4A" w:rsidP="008B750B">
      <w:pPr>
        <w:spacing w:line="240" w:lineRule="auto"/>
      </w:pPr>
      <w:r>
        <w:continuationSeparator/>
      </w:r>
    </w:p>
  </w:footnote>
  <w:footnote w:id="1">
    <w:p w:rsidR="00175B72" w:rsidRPr="00C204D1" w:rsidRDefault="00175B72" w:rsidP="00175B72">
      <w:pPr>
        <w:pStyle w:val="FootnoteText"/>
        <w:rPr>
          <w:rtl/>
        </w:rPr>
      </w:pPr>
      <w:r w:rsidRPr="00C204D1">
        <w:footnoteRef/>
      </w:r>
      <w:r>
        <w:rPr>
          <w:rFonts w:hint="cs"/>
          <w:rtl/>
        </w:rPr>
        <w:t>.</w:t>
      </w:r>
      <w:r w:rsidRPr="00C204D1">
        <w:rPr>
          <w:rtl/>
        </w:rPr>
        <w:t xml:space="preserve"> </w:t>
      </w:r>
      <w:hyperlink r:id="rId1" w:history="1">
        <w:r w:rsidRPr="00C204D1">
          <w:rPr>
            <w:rStyle w:val="Hyperlink"/>
            <w:rtl/>
          </w:rPr>
          <w:t>بحوث ف</w:t>
        </w:r>
        <w:r w:rsidRPr="00C204D1">
          <w:rPr>
            <w:rStyle w:val="Hyperlink"/>
            <w:rFonts w:hint="cs"/>
            <w:rtl/>
          </w:rPr>
          <w:t>ی</w:t>
        </w:r>
        <w:r w:rsidRPr="00C204D1">
          <w:rPr>
            <w:rStyle w:val="Hyperlink"/>
            <w:rtl/>
          </w:rPr>
          <w:t xml:space="preserve"> علم الأصول، الس</w:t>
        </w:r>
        <w:r w:rsidRPr="00C204D1">
          <w:rPr>
            <w:rStyle w:val="Hyperlink"/>
            <w:rFonts w:hint="cs"/>
            <w:rtl/>
          </w:rPr>
          <w:t>ی</w:t>
        </w:r>
        <w:r w:rsidRPr="00C204D1">
          <w:rPr>
            <w:rStyle w:val="Hyperlink"/>
            <w:rFonts w:hint="eastAsia"/>
            <w:rtl/>
          </w:rPr>
          <w:t>د</w:t>
        </w:r>
        <w:r w:rsidRPr="00C204D1">
          <w:rPr>
            <w:rStyle w:val="Hyperlink"/>
            <w:rtl/>
          </w:rPr>
          <w:t xml:space="preserve"> محمد باقر الصدر، ج7، ص50.</w:t>
        </w:r>
      </w:hyperlink>
    </w:p>
  </w:footnote>
  <w:footnote w:id="2">
    <w:p w:rsidR="00175B72" w:rsidRPr="00DA4818" w:rsidRDefault="00175B72" w:rsidP="00175B72">
      <w:pPr>
        <w:pStyle w:val="FootnoteText"/>
        <w:jc w:val="both"/>
      </w:pPr>
      <w:r w:rsidRPr="00DA4818">
        <w:rPr>
          <w:rStyle w:val="FootnoteReference"/>
          <w:vertAlign w:val="baseline"/>
        </w:rPr>
        <w:footnoteRef/>
      </w:r>
      <w:r w:rsidRPr="00DA4818">
        <w:rPr>
          <w:rFonts w:hint="cs"/>
          <w:rtl/>
        </w:rPr>
        <w:t xml:space="preserve">. </w:t>
      </w:r>
      <w:r w:rsidRPr="00DA4818">
        <w:rPr>
          <w:rFonts w:hint="cs"/>
          <w:rtl/>
        </w:rPr>
        <w:t>این اقسام برای ورود به معنای عامّ است که « تخصّص » را هم در بر می گیرد .</w:t>
      </w:r>
    </w:p>
  </w:footnote>
  <w:footnote w:id="3">
    <w:p w:rsidR="00175B72" w:rsidRPr="00DA4818" w:rsidRDefault="00175B72" w:rsidP="00175B72">
      <w:pPr>
        <w:pStyle w:val="FootnoteText"/>
        <w:jc w:val="both"/>
      </w:pPr>
      <w:r w:rsidRPr="00DA4818">
        <w:rPr>
          <w:rStyle w:val="FootnoteReference"/>
          <w:vertAlign w:val="baseline"/>
        </w:rPr>
        <w:footnoteRef/>
      </w:r>
      <w:r w:rsidRPr="00DA4818">
        <w:rPr>
          <w:rFonts w:hint="cs"/>
          <w:rtl/>
        </w:rPr>
        <w:t xml:space="preserve">. </w:t>
      </w:r>
      <w:r w:rsidRPr="00DA4818">
        <w:rPr>
          <w:rFonts w:hint="cs"/>
          <w:rtl/>
        </w:rPr>
        <w:t>البته برخی از این صُوَر در « توارد » ممتنع می باشند ، که در آینده آن ها را مشخّص می کنیم .</w:t>
      </w:r>
    </w:p>
  </w:footnote>
  <w:footnote w:id="4">
    <w:p w:rsidR="00175B72" w:rsidRPr="00DA4818" w:rsidRDefault="00175B72" w:rsidP="00175B72">
      <w:pPr>
        <w:pStyle w:val="FootnoteText"/>
        <w:jc w:val="both"/>
        <w:rPr>
          <w:rtl/>
        </w:rPr>
      </w:pPr>
      <w:r w:rsidRPr="00DA4818">
        <w:rPr>
          <w:rStyle w:val="FootnoteReference"/>
          <w:vertAlign w:val="baseline"/>
        </w:rPr>
        <w:footnoteRef/>
      </w:r>
      <w:r w:rsidRPr="00DA4818">
        <w:rPr>
          <w:rFonts w:hint="cs"/>
          <w:rtl/>
        </w:rPr>
        <w:t xml:space="preserve">. </w:t>
      </w:r>
      <w:r w:rsidRPr="00DA4818">
        <w:rPr>
          <w:rFonts w:hint="cs"/>
          <w:rtl/>
        </w:rPr>
        <w:t>فعلیّت ندارد زیرا موضوع حکم وجوب پرداخت زکات ، علاوه بر تملّک نصاب ، متضمّن بر حولان حول هم هست و پایان حول جزء آن می باشد . این حولان حول شرط مقارن برای وجوب زکات است نه شرط متاخر ، بر خلاف همین حولان حول در مورد خمس که شرط متاخر است و خمس به محض ظهور فایده فعلیت می یابد و از همین رو اگر قبل از رسیدن سال پرداخت شود ، خطاب خمس امتثال شده .</w:t>
      </w:r>
    </w:p>
  </w:footnote>
  <w:footnote w:id="5">
    <w:p w:rsidR="00175B72" w:rsidRPr="00BF34EC" w:rsidRDefault="00175B72" w:rsidP="00175B72">
      <w:pPr>
        <w:pStyle w:val="FootnoteText"/>
        <w:rPr>
          <w:rtl/>
        </w:rPr>
      </w:pPr>
      <w:r>
        <w:t>.</w:t>
      </w:r>
      <w:r w:rsidRPr="00BF34EC">
        <w:footnoteRef/>
      </w:r>
      <w:r w:rsidRPr="00BF34EC">
        <w:rPr>
          <w:rtl/>
        </w:rPr>
        <w:t xml:space="preserve"> </w:t>
      </w:r>
      <w:hyperlink r:id="rId2" w:history="1">
        <w:r w:rsidRPr="00BF34EC">
          <w:rPr>
            <w:rStyle w:val="Hyperlink"/>
            <w:rtl/>
          </w:rPr>
          <w:t>تهذ</w:t>
        </w:r>
        <w:r w:rsidRPr="00BF34EC">
          <w:rPr>
            <w:rStyle w:val="Hyperlink"/>
            <w:rFonts w:hint="cs"/>
            <w:rtl/>
          </w:rPr>
          <w:t>ی</w:t>
        </w:r>
        <w:r w:rsidRPr="00BF34EC">
          <w:rPr>
            <w:rStyle w:val="Hyperlink"/>
            <w:rFonts w:hint="eastAsia"/>
            <w:rtl/>
          </w:rPr>
          <w:t>ب</w:t>
        </w:r>
        <w:r w:rsidRPr="00BF34EC">
          <w:rPr>
            <w:rStyle w:val="Hyperlink"/>
            <w:rtl/>
          </w:rPr>
          <w:t xml:space="preserve"> الاحکام، ش</w:t>
        </w:r>
        <w:r w:rsidRPr="00BF34EC">
          <w:rPr>
            <w:rStyle w:val="Hyperlink"/>
            <w:rFonts w:hint="cs"/>
            <w:rtl/>
          </w:rPr>
          <w:t>ی</w:t>
        </w:r>
        <w:r w:rsidRPr="00BF34EC">
          <w:rPr>
            <w:rStyle w:val="Hyperlink"/>
            <w:rFonts w:hint="eastAsia"/>
            <w:rtl/>
          </w:rPr>
          <w:t>خ</w:t>
        </w:r>
        <w:r w:rsidRPr="00BF34EC">
          <w:rPr>
            <w:rStyle w:val="Hyperlink"/>
            <w:rtl/>
          </w:rPr>
          <w:t xml:space="preserve"> طوس</w:t>
        </w:r>
        <w:r w:rsidRPr="00BF34EC">
          <w:rPr>
            <w:rStyle w:val="Hyperlink"/>
            <w:rFonts w:hint="cs"/>
            <w:rtl/>
          </w:rPr>
          <w:t>ی</w:t>
        </w:r>
        <w:r w:rsidRPr="00BF34EC">
          <w:rPr>
            <w:rStyle w:val="Hyperlink"/>
            <w:rFonts w:hint="eastAsia"/>
            <w:rtl/>
          </w:rPr>
          <w:t>،</w:t>
        </w:r>
        <w:r w:rsidRPr="00BF34EC">
          <w:rPr>
            <w:rStyle w:val="Hyperlink"/>
            <w:rtl/>
          </w:rPr>
          <w:t xml:space="preserve"> ج7، ص467.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9" w:name="BokNum"/>
    <w:bookmarkEnd w:id="19"/>
    <w:r w:rsidR="002356B6">
      <w:rPr>
        <w:b/>
        <w:bCs/>
        <w:sz w:val="20"/>
        <w:szCs w:val="24"/>
        <w:rtl/>
      </w:rPr>
      <w:t>010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0" w:name="Bokdars"/>
    <w:bookmarkEnd w:id="20"/>
    <w:r w:rsidR="002356B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1" w:name="Bokostad"/>
    <w:bookmarkEnd w:id="21"/>
    <w:r w:rsidR="002356B6">
      <w:rPr>
        <w:b/>
        <w:bCs/>
        <w:color w:val="632423" w:themeColor="accent2" w:themeShade="80"/>
        <w:sz w:val="20"/>
        <w:szCs w:val="24"/>
        <w:rtl/>
      </w:rPr>
      <w:t>قائ</w:t>
    </w:r>
    <w:r w:rsidR="002356B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2356B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2356B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2" w:name="BokTarikh"/>
    <w:bookmarkEnd w:id="22"/>
    <w:r w:rsidR="002356B6">
      <w:rPr>
        <w:sz w:val="24"/>
        <w:szCs w:val="24"/>
        <w:rtl/>
      </w:rPr>
      <w:t>16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3" w:name="BokSabj"/>
    <w:bookmarkEnd w:id="23"/>
    <w:r w:rsidR="002356B6">
      <w:rPr>
        <w:color w:val="000000" w:themeColor="text1"/>
        <w:sz w:val="24"/>
        <w:szCs w:val="24"/>
        <w:rtl/>
      </w:rPr>
      <w:t>تعارض غ</w:t>
    </w:r>
    <w:r w:rsidR="002356B6">
      <w:rPr>
        <w:rFonts w:hint="cs"/>
        <w:color w:val="000000" w:themeColor="text1"/>
        <w:sz w:val="24"/>
        <w:szCs w:val="24"/>
        <w:rtl/>
      </w:rPr>
      <w:t>ی</w:t>
    </w:r>
    <w:r w:rsidR="002356B6">
      <w:rPr>
        <w:rFonts w:hint="eastAsia"/>
        <w:color w:val="000000" w:themeColor="text1"/>
        <w:sz w:val="24"/>
        <w:szCs w:val="24"/>
        <w:rtl/>
      </w:rPr>
      <w:t>ر</w:t>
    </w:r>
    <w:r w:rsidR="002356B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4" w:name="Bokmoqarer"/>
    <w:bookmarkEnd w:id="24"/>
    <w:r w:rsidR="002356B6">
      <w:rPr>
        <w:sz w:val="24"/>
        <w:szCs w:val="24"/>
        <w:rtl/>
      </w:rPr>
      <w:t>عل</w:t>
    </w:r>
    <w:r w:rsidR="002356B6">
      <w:rPr>
        <w:rFonts w:hint="cs"/>
        <w:sz w:val="24"/>
        <w:szCs w:val="24"/>
        <w:rtl/>
      </w:rPr>
      <w:t>ی</w:t>
    </w:r>
    <w:r w:rsidR="002356B6">
      <w:rPr>
        <w:sz w:val="24"/>
        <w:szCs w:val="24"/>
        <w:rtl/>
      </w:rPr>
      <w:t xml:space="preserve"> بهادرزا</w:t>
    </w:r>
    <w:r w:rsidR="002356B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5" w:name="BokSabj2"/>
    <w:bookmarkEnd w:id="25"/>
    <w:r w:rsidR="002356B6">
      <w:rPr>
        <w:sz w:val="24"/>
        <w:szCs w:val="24"/>
        <w:rtl/>
      </w:rPr>
      <w:t>اقسام ورود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75B72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356B6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E5DB0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4B4A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83/7/467/" TargetMode="External"/><Relationship Id="rId1" Type="http://schemas.openxmlformats.org/officeDocument/2006/relationships/hyperlink" Target="http://lib.eshia.ir/13064/7/5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E5109-5F17-4096-AADB-30FBEF94D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0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3941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4</cp:revision>
  <dcterms:created xsi:type="dcterms:W3CDTF">2018-10-19T08:25:00Z</dcterms:created>
  <dcterms:modified xsi:type="dcterms:W3CDTF">2018-10-19T08:26:00Z</dcterms:modified>
  <cp:contentStatus>ویرایش 2.5</cp:contentStatus>
  <cp:version>2.7</cp:version>
</cp:coreProperties>
</file>