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B89" w:rsidRDefault="00FE5B89" w:rsidP="00FE5B8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29018105" w:history="1">
        <w:r w:rsidRPr="00242475">
          <w:rPr>
            <w:rStyle w:val="Hyperlink"/>
            <w:noProof/>
            <w:rtl/>
          </w:rPr>
          <w:t>بررس</w:t>
        </w:r>
        <w:r w:rsidRPr="00242475">
          <w:rPr>
            <w:rStyle w:val="Hyperlink"/>
            <w:rFonts w:hint="cs"/>
            <w:noProof/>
            <w:rtl/>
          </w:rPr>
          <w:t>ی</w:t>
        </w:r>
        <w:r w:rsidRPr="00242475">
          <w:rPr>
            <w:rStyle w:val="Hyperlink"/>
            <w:noProof/>
            <w:rtl/>
          </w:rPr>
          <w:t xml:space="preserve"> عبارت کفا</w:t>
        </w:r>
        <w:r w:rsidRPr="00242475">
          <w:rPr>
            <w:rStyle w:val="Hyperlink"/>
            <w:rFonts w:hint="cs"/>
            <w:noProof/>
            <w:rtl/>
          </w:rPr>
          <w:t>ی</w:t>
        </w:r>
        <w:r w:rsidRPr="00242475">
          <w:rPr>
            <w:rStyle w:val="Hyperlink"/>
            <w:rFonts w:hint="eastAsia"/>
            <w:noProof/>
            <w:rtl/>
          </w:rPr>
          <w:t>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Toc529018105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FE5B89" w:rsidRDefault="00FE5B89" w:rsidP="00FE5B8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018106" w:history="1">
        <w:r w:rsidRPr="00242475">
          <w:rPr>
            <w:rStyle w:val="Hyperlink"/>
            <w:noProof/>
            <w:rtl/>
          </w:rPr>
          <w:t>دفع اشکال مرحوم خو</w:t>
        </w:r>
        <w:r w:rsidRPr="00242475">
          <w:rPr>
            <w:rStyle w:val="Hyperlink"/>
            <w:rFonts w:hint="cs"/>
            <w:noProof/>
            <w:rtl/>
          </w:rPr>
          <w:t>یی</w:t>
        </w:r>
        <w:r w:rsidRPr="00242475">
          <w:rPr>
            <w:rStyle w:val="Hyperlink"/>
            <w:noProof/>
            <w:rtl/>
          </w:rPr>
          <w:t xml:space="preserve"> : انحصار موارد حکومت در شارح</w:t>
        </w:r>
        <w:r w:rsidRPr="00242475">
          <w:rPr>
            <w:rStyle w:val="Hyperlink"/>
            <w:rFonts w:hint="cs"/>
            <w:noProof/>
            <w:rtl/>
          </w:rPr>
          <w:t>ی</w:t>
        </w:r>
        <w:r w:rsidRPr="00242475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Toc529018106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E5B89" w:rsidRDefault="00FE5B89" w:rsidP="00FE5B8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018107" w:history="1">
        <w:r w:rsidRPr="00242475">
          <w:rPr>
            <w:rStyle w:val="Hyperlink"/>
            <w:noProof/>
            <w:rtl/>
          </w:rPr>
          <w:t>مرحوم صدر : قوام حکومت به شارح</w:t>
        </w:r>
        <w:r w:rsidRPr="00242475">
          <w:rPr>
            <w:rStyle w:val="Hyperlink"/>
            <w:rFonts w:hint="cs"/>
            <w:noProof/>
            <w:rtl/>
          </w:rPr>
          <w:t>ی</w:t>
        </w:r>
        <w:r w:rsidRPr="00242475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Toc529018107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E5B89" w:rsidRDefault="00FE5B89" w:rsidP="00FE5B8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018108" w:history="1">
        <w:r w:rsidRPr="00242475">
          <w:rPr>
            <w:rStyle w:val="Hyperlink"/>
            <w:noProof/>
            <w:rtl/>
          </w:rPr>
          <w:t>مختار آخوند در رابطه امارات و اصول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Toc529018108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E5B89" w:rsidRDefault="00FE5B89" w:rsidP="00FE5B8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018109" w:history="1">
        <w:r w:rsidRPr="00242475">
          <w:rPr>
            <w:rStyle w:val="Hyperlink"/>
            <w:noProof/>
            <w:rtl/>
          </w:rPr>
          <w:t>استثناء سوم از تعارض : جمع عرف</w:t>
        </w:r>
        <w:r w:rsidRPr="00242475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Toc529018109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E5B89" w:rsidRDefault="00FE5B89" w:rsidP="00FE5B8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018110" w:history="1">
        <w:r w:rsidRPr="00242475">
          <w:rPr>
            <w:rStyle w:val="Hyperlink"/>
            <w:noProof/>
            <w:rtl/>
          </w:rPr>
          <w:t>ملاک تقد</w:t>
        </w:r>
        <w:r w:rsidRPr="00242475">
          <w:rPr>
            <w:rStyle w:val="Hyperlink"/>
            <w:rFonts w:hint="cs"/>
            <w:noProof/>
            <w:rtl/>
          </w:rPr>
          <w:t>ی</w:t>
        </w:r>
        <w:r w:rsidRPr="00242475">
          <w:rPr>
            <w:rStyle w:val="Hyperlink"/>
            <w:rFonts w:hint="eastAsia"/>
            <w:noProof/>
            <w:rtl/>
          </w:rPr>
          <w:t>م</w:t>
        </w:r>
        <w:r w:rsidRPr="00242475">
          <w:rPr>
            <w:rStyle w:val="Hyperlink"/>
            <w:noProof/>
            <w:rtl/>
          </w:rPr>
          <w:t xml:space="preserve"> در جمع عرف</w:t>
        </w:r>
        <w:r w:rsidRPr="00242475">
          <w:rPr>
            <w:rStyle w:val="Hyperlink"/>
            <w:rFonts w:hint="cs"/>
            <w:noProof/>
            <w:rtl/>
          </w:rPr>
          <w:t>ی</w:t>
        </w:r>
        <w:r w:rsidRPr="00242475">
          <w:rPr>
            <w:rStyle w:val="Hyperlink"/>
            <w:noProof/>
            <w:rtl/>
          </w:rPr>
          <w:t xml:space="preserve"> : قر</w:t>
        </w:r>
        <w:r w:rsidRPr="00242475">
          <w:rPr>
            <w:rStyle w:val="Hyperlink"/>
            <w:rFonts w:hint="cs"/>
            <w:noProof/>
            <w:rtl/>
          </w:rPr>
          <w:t>ی</w:t>
        </w:r>
        <w:r w:rsidRPr="00242475">
          <w:rPr>
            <w:rStyle w:val="Hyperlink"/>
            <w:rFonts w:hint="eastAsia"/>
            <w:noProof/>
            <w:rtl/>
          </w:rPr>
          <w:t>ن</w:t>
        </w:r>
        <w:r w:rsidRPr="00242475">
          <w:rPr>
            <w:rStyle w:val="Hyperlink"/>
            <w:rFonts w:hint="cs"/>
            <w:noProof/>
            <w:rtl/>
          </w:rPr>
          <w:t>ی</w:t>
        </w:r>
        <w:r w:rsidRPr="00242475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Toc529018110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E5B89" w:rsidRDefault="00FE5B89" w:rsidP="00FE5B8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018111" w:history="1">
        <w:r w:rsidRPr="00242475">
          <w:rPr>
            <w:rStyle w:val="Hyperlink"/>
            <w:noProof/>
            <w:rtl/>
          </w:rPr>
          <w:t>موارد تعارض</w:t>
        </w:r>
        <w:r w:rsidRPr="00242475">
          <w:rPr>
            <w:rStyle w:val="Hyperlink"/>
            <w:noProof/>
            <w:shd w:val="clear" w:color="auto" w:fill="FFFFFF"/>
            <w:rtl/>
          </w:rPr>
          <w:t xml:space="preserve"> مستقرّ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Toc529018111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FE5B89" w:rsidP="00BF757F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C003EE">
        <w:rPr>
          <w:rtl/>
        </w:rPr>
        <w:t>حکومت - جمع عرف</w:t>
      </w:r>
      <w:r w:rsidR="00C003EE">
        <w:rPr>
          <w:rFonts w:hint="cs"/>
          <w:rtl/>
        </w:rPr>
        <w:t>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C003EE">
        <w:rPr>
          <w:rtl/>
        </w:rPr>
        <w:t>تعارض غ</w:t>
      </w:r>
      <w:r w:rsidR="00C003EE">
        <w:rPr>
          <w:rFonts w:hint="cs"/>
          <w:rtl/>
        </w:rPr>
        <w:t>ی</w:t>
      </w:r>
      <w:r w:rsidR="00C003EE">
        <w:rPr>
          <w:rFonts w:hint="eastAsia"/>
          <w:rtl/>
        </w:rPr>
        <w:t>ر</w:t>
      </w:r>
      <w:r w:rsidR="00C003EE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C003EE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F62CFD" w:rsidP="00F62CFD">
      <w:pPr>
        <w:pBdr>
          <w:bottom w:val="double" w:sz="6" w:space="1" w:color="auto"/>
        </w:pBdr>
        <w:jc w:val="both"/>
      </w:pPr>
      <w:r>
        <w:rPr>
          <w:rFonts w:ascii="Tahoma" w:hAnsi="Tahoma" w:hint="cs"/>
          <w:color w:val="000000"/>
          <w:sz w:val="28"/>
          <w:rtl/>
        </w:rPr>
        <w:t xml:space="preserve">   </w:t>
      </w:r>
      <w:r w:rsidRPr="0045713E">
        <w:rPr>
          <w:rFonts w:ascii="Tahoma" w:hAnsi="Tahoma" w:hint="cs"/>
          <w:color w:val="000000"/>
          <w:sz w:val="28"/>
          <w:rtl/>
        </w:rPr>
        <w:t>حاصل کلام مرحوم آخوند در بحث از رابطه ی میان امارات و اصول عملیه نقلی ، ابتنای بحث بر مفاد ادله اعتبار امارات شد که اگر قائل به جعل حکم مماثل یا جعل معذریّت و منجزیّت شدیم ، وجهی برای اثبات حکومت وجود ندارد زیرا نظری به دلیل اصل ندارند . و اگر قائل به جعل علمیت یعنی تتمیم کشف و الغاء احتمال خلاف شویم ، اماره حاکم بر اصل است .</w:t>
      </w:r>
    </w:p>
    <w:p w:rsidR="00040619" w:rsidRPr="00B71E42" w:rsidRDefault="00040619" w:rsidP="00040619">
      <w:pPr>
        <w:pStyle w:val="Heading1"/>
        <w:rPr>
          <w:rtl/>
        </w:rPr>
      </w:pPr>
      <w:bookmarkStart w:id="3" w:name="_Toc527152985"/>
      <w:bookmarkStart w:id="4" w:name="_Toc527713103"/>
      <w:bookmarkStart w:id="5" w:name="_Toc529018105"/>
      <w:r w:rsidRPr="00B71E42">
        <w:rPr>
          <w:rFonts w:hint="cs"/>
          <w:rtl/>
        </w:rPr>
        <w:t>بررسی عبارت کفایه</w:t>
      </w:r>
      <w:bookmarkEnd w:id="3"/>
      <w:bookmarkEnd w:id="4"/>
      <w:bookmarkEnd w:id="5"/>
    </w:p>
    <w:p w:rsidR="00040619" w:rsidRPr="00B71E42" w:rsidRDefault="00040619" w:rsidP="003E731E">
      <w:pPr>
        <w:jc w:val="both"/>
        <w:rPr>
          <w:rFonts w:ascii="Traditional Arabic" w:hAnsi="Traditional Arabic"/>
          <w:rtl/>
        </w:rPr>
      </w:pPr>
      <w:r w:rsidRPr="00B71E42">
        <w:rPr>
          <w:rFonts w:hint="cs"/>
          <w:rtl/>
        </w:rPr>
        <w:t xml:space="preserve">   ایشان عبارتی دارند که بیان محکمی برای اثب</w:t>
      </w:r>
      <w:r w:rsidR="003E731E">
        <w:rPr>
          <w:rFonts w:hint="cs"/>
          <w:rtl/>
        </w:rPr>
        <w:t>ات حکومت در فرض پذیرش مبنا است :</w:t>
      </w:r>
      <w:r w:rsidRPr="00B71E42">
        <w:rPr>
          <w:rFonts w:hint="cs"/>
          <w:rtl/>
        </w:rPr>
        <w:t xml:space="preserve"> </w:t>
      </w:r>
      <w:r w:rsidRPr="00B71E42">
        <w:rPr>
          <w:rFonts w:ascii="Traditional Arabic" w:hAnsi="Traditional Arabic" w:hint="cs"/>
          <w:rtl/>
        </w:rPr>
        <w:t xml:space="preserve">« </w:t>
      </w:r>
      <w:r w:rsidRPr="00B71E42">
        <w:rPr>
          <w:rFonts w:ascii="Traditional Arabic" w:hAnsi="Traditional Arabic" w:hint="cs"/>
          <w:color w:val="0000FF"/>
          <w:rtl/>
        </w:rPr>
        <w:t xml:space="preserve">و كيف كان ليس مفاد دليل الاعتبار هو وجوب إلغاء احتمال الخلاف تعبدا كي يختلف الحال </w:t>
      </w:r>
      <w:r w:rsidRPr="00B71E42">
        <w:rPr>
          <w:rFonts w:ascii="Times New Roman" w:hAnsi="Times New Roman" w:cs="Times New Roman" w:hint="cs"/>
          <w:rtl/>
        </w:rPr>
        <w:t>–</w:t>
      </w:r>
      <w:r w:rsidRPr="00B71E42">
        <w:rPr>
          <w:rFonts w:ascii="Traditional Arabic" w:hAnsi="Traditional Arabic" w:hint="cs"/>
          <w:rtl/>
        </w:rPr>
        <w:t xml:space="preserve"> حال دلیل اماره از دلیل اصل </w:t>
      </w:r>
      <w:r w:rsidRPr="00B71E42">
        <w:rPr>
          <w:rFonts w:ascii="Times New Roman" w:hAnsi="Times New Roman" w:cs="Times New Roman" w:hint="cs"/>
          <w:rtl/>
        </w:rPr>
        <w:t>–</w:t>
      </w:r>
      <w:r w:rsidRPr="00B71E42">
        <w:rPr>
          <w:rFonts w:ascii="Traditional Arabic" w:hAnsi="Traditional Arabic" w:hint="cs"/>
          <w:rtl/>
        </w:rPr>
        <w:t xml:space="preserve"> </w:t>
      </w:r>
      <w:r w:rsidRPr="00B71E42">
        <w:rPr>
          <w:rFonts w:ascii="Traditional Arabic" w:hAnsi="Traditional Arabic" w:hint="cs"/>
          <w:color w:val="0000FF"/>
          <w:rtl/>
        </w:rPr>
        <w:t>و يكون مفاده</w:t>
      </w:r>
      <w:r w:rsidRPr="00B71E42">
        <w:rPr>
          <w:rFonts w:ascii="Traditional Arabic" w:hAnsi="Traditional Arabic" w:hint="cs"/>
          <w:rtl/>
        </w:rPr>
        <w:t xml:space="preserve"> </w:t>
      </w:r>
      <w:r w:rsidRPr="00B71E42">
        <w:rPr>
          <w:rFonts w:ascii="Times New Roman" w:hAnsi="Times New Roman" w:cs="Times New Roman" w:hint="cs"/>
          <w:rtl/>
        </w:rPr>
        <w:t>–</w:t>
      </w:r>
      <w:r w:rsidRPr="00B71E42">
        <w:rPr>
          <w:rFonts w:ascii="Traditional Arabic" w:hAnsi="Traditional Arabic" w:hint="cs"/>
          <w:rtl/>
        </w:rPr>
        <w:t xml:space="preserve"> دلیل اعتبار </w:t>
      </w:r>
      <w:r w:rsidRPr="00B71E42">
        <w:rPr>
          <w:rFonts w:ascii="Times New Roman" w:hAnsi="Times New Roman" w:cs="Times New Roman" w:hint="cs"/>
          <w:rtl/>
        </w:rPr>
        <w:t>–</w:t>
      </w:r>
      <w:r w:rsidRPr="00B71E42">
        <w:rPr>
          <w:rFonts w:ascii="Traditional Arabic" w:hAnsi="Traditional Arabic" w:hint="cs"/>
          <w:rtl/>
        </w:rPr>
        <w:t xml:space="preserve"> </w:t>
      </w:r>
      <w:r w:rsidRPr="00B71E42">
        <w:rPr>
          <w:rFonts w:ascii="Traditional Arabic" w:hAnsi="Traditional Arabic" w:hint="cs"/>
          <w:color w:val="0000FF"/>
          <w:rtl/>
        </w:rPr>
        <w:t>في الأمارة نفي حكم الأصل ، حيث إنّه</w:t>
      </w:r>
      <w:r w:rsidRPr="00B71E42">
        <w:rPr>
          <w:rFonts w:ascii="Traditional Arabic" w:hAnsi="Traditional Arabic" w:hint="cs"/>
          <w:rtl/>
        </w:rPr>
        <w:t xml:space="preserve"> </w:t>
      </w:r>
      <w:r w:rsidRPr="00B71E42">
        <w:rPr>
          <w:rFonts w:ascii="Times New Roman" w:hAnsi="Times New Roman" w:cs="Times New Roman" w:hint="cs"/>
          <w:rtl/>
        </w:rPr>
        <w:t>–</w:t>
      </w:r>
      <w:r w:rsidRPr="00B71E42">
        <w:rPr>
          <w:rFonts w:ascii="Traditional Arabic" w:hAnsi="Traditional Arabic" w:hint="cs"/>
          <w:rtl/>
        </w:rPr>
        <w:t xml:space="preserve"> احتمال خلاف </w:t>
      </w:r>
      <w:r w:rsidRPr="00B71E42">
        <w:rPr>
          <w:rFonts w:ascii="Times New Roman" w:hAnsi="Times New Roman" w:cs="Times New Roman" w:hint="cs"/>
          <w:rtl/>
        </w:rPr>
        <w:t>–</w:t>
      </w:r>
      <w:r w:rsidRPr="00B71E42">
        <w:rPr>
          <w:rFonts w:ascii="Traditional Arabic" w:hAnsi="Traditional Arabic" w:hint="cs"/>
          <w:rtl/>
        </w:rPr>
        <w:t xml:space="preserve"> </w:t>
      </w:r>
      <w:r w:rsidRPr="00B71E42">
        <w:rPr>
          <w:rFonts w:ascii="Traditional Arabic" w:hAnsi="Traditional Arabic" w:hint="cs"/>
          <w:color w:val="0000FF"/>
          <w:rtl/>
        </w:rPr>
        <w:t>حكم الاحتمال</w:t>
      </w:r>
      <w:r w:rsidRPr="00B71E42">
        <w:rPr>
          <w:rFonts w:ascii="Traditional Arabic" w:hAnsi="Traditional Arabic" w:hint="cs"/>
          <w:rtl/>
        </w:rPr>
        <w:t xml:space="preserve"> </w:t>
      </w:r>
      <w:r w:rsidRPr="00B71E42">
        <w:rPr>
          <w:rFonts w:ascii="Times New Roman" w:hAnsi="Times New Roman" w:cs="Times New Roman" w:hint="cs"/>
          <w:rtl/>
        </w:rPr>
        <w:t>–</w:t>
      </w:r>
      <w:r w:rsidRPr="00B71E42">
        <w:rPr>
          <w:rFonts w:ascii="Traditional Arabic" w:hAnsi="Traditional Arabic" w:hint="cs"/>
          <w:rtl/>
        </w:rPr>
        <w:t xml:space="preserve"> یعنی موضوع اصل است ، پس « اصل عملی » حکم احتمال خلاف است بنابراین اگر دلیل اعتبار اماره احتمال خلاف را الغاء کند ، بر آن حاکم است </w:t>
      </w:r>
      <w:r w:rsidRPr="00B71E42">
        <w:rPr>
          <w:rFonts w:ascii="Times New Roman" w:hAnsi="Times New Roman" w:cs="Times New Roman" w:hint="cs"/>
          <w:rtl/>
        </w:rPr>
        <w:t>–</w:t>
      </w:r>
      <w:r w:rsidRPr="00B71E42">
        <w:rPr>
          <w:rFonts w:ascii="Traditional Arabic" w:hAnsi="Traditional Arabic" w:hint="cs"/>
          <w:rtl/>
        </w:rPr>
        <w:t xml:space="preserve"> </w:t>
      </w:r>
      <w:r w:rsidRPr="00B71E42">
        <w:rPr>
          <w:rFonts w:ascii="Traditional Arabic" w:hAnsi="Traditional Arabic" w:hint="cs"/>
          <w:color w:val="0000FF"/>
          <w:rtl/>
        </w:rPr>
        <w:t>بخلاف مفاده</w:t>
      </w:r>
      <w:r w:rsidRPr="00B71E42">
        <w:rPr>
          <w:rFonts w:ascii="Traditional Arabic" w:hAnsi="Traditional Arabic" w:hint="cs"/>
          <w:rtl/>
        </w:rPr>
        <w:t xml:space="preserve"> </w:t>
      </w:r>
      <w:r w:rsidRPr="00B71E42">
        <w:rPr>
          <w:rFonts w:ascii="Times New Roman" w:hAnsi="Times New Roman" w:cs="Times New Roman" w:hint="cs"/>
          <w:rtl/>
        </w:rPr>
        <w:t>–</w:t>
      </w:r>
      <w:r w:rsidRPr="00B71E42">
        <w:rPr>
          <w:rFonts w:ascii="Traditional Arabic" w:hAnsi="Traditional Arabic" w:hint="cs"/>
          <w:rtl/>
        </w:rPr>
        <w:t xml:space="preserve"> دلیل اعتبار </w:t>
      </w:r>
      <w:r w:rsidRPr="00B71E42">
        <w:rPr>
          <w:rFonts w:ascii="Times New Roman" w:hAnsi="Times New Roman" w:cs="Times New Roman" w:hint="cs"/>
          <w:rtl/>
        </w:rPr>
        <w:t>–</w:t>
      </w:r>
      <w:r w:rsidRPr="00B71E42">
        <w:rPr>
          <w:rFonts w:ascii="Traditional Arabic" w:hAnsi="Traditional Arabic" w:hint="cs"/>
          <w:rtl/>
        </w:rPr>
        <w:t xml:space="preserve"> </w:t>
      </w:r>
      <w:r w:rsidRPr="00B71E42">
        <w:rPr>
          <w:rFonts w:ascii="Traditional Arabic" w:hAnsi="Traditional Arabic" w:hint="cs"/>
          <w:color w:val="0000FF"/>
          <w:rtl/>
        </w:rPr>
        <w:t>فيه</w:t>
      </w:r>
      <w:r w:rsidRPr="00B71E42">
        <w:rPr>
          <w:rFonts w:ascii="Traditional Arabic" w:hAnsi="Traditional Arabic" w:hint="cs"/>
          <w:rtl/>
        </w:rPr>
        <w:t xml:space="preserve"> </w:t>
      </w:r>
      <w:r w:rsidRPr="00B71E42">
        <w:rPr>
          <w:rFonts w:ascii="Times New Roman" w:hAnsi="Times New Roman" w:cs="Times New Roman" w:hint="cs"/>
          <w:rtl/>
        </w:rPr>
        <w:t>–</w:t>
      </w:r>
      <w:r w:rsidRPr="00B71E42">
        <w:rPr>
          <w:rFonts w:ascii="Traditional Arabic" w:hAnsi="Traditional Arabic" w:hint="cs"/>
          <w:rtl/>
        </w:rPr>
        <w:t xml:space="preserve"> اماره </w:t>
      </w:r>
      <w:r w:rsidRPr="00B71E42">
        <w:rPr>
          <w:rFonts w:ascii="Times New Roman" w:hAnsi="Times New Roman" w:cs="Times New Roman" w:hint="cs"/>
          <w:rtl/>
        </w:rPr>
        <w:t>–</w:t>
      </w:r>
      <w:r w:rsidRPr="00B71E42">
        <w:rPr>
          <w:rFonts w:ascii="Traditional Arabic" w:hAnsi="Traditional Arabic" w:hint="cs"/>
          <w:rtl/>
        </w:rPr>
        <w:t xml:space="preserve"> ؛ </w:t>
      </w:r>
      <w:r w:rsidRPr="00B71E42">
        <w:rPr>
          <w:rFonts w:ascii="Traditional Arabic" w:hAnsi="Traditional Arabic" w:hint="cs"/>
          <w:color w:val="0000FF"/>
          <w:rtl/>
        </w:rPr>
        <w:t>لأجل أن الحكم الواقعي ليس حكم احتمال خلافه</w:t>
      </w:r>
      <w:r w:rsidRPr="00B71E42">
        <w:rPr>
          <w:rFonts w:ascii="Traditional Arabic" w:hAnsi="Traditional Arabic" w:hint="cs"/>
          <w:rtl/>
        </w:rPr>
        <w:t xml:space="preserve"> </w:t>
      </w:r>
      <w:r w:rsidRPr="00B71E42">
        <w:rPr>
          <w:rFonts w:ascii="Times New Roman" w:hAnsi="Times New Roman" w:cs="Times New Roman" w:hint="cs"/>
          <w:rtl/>
        </w:rPr>
        <w:t>–</w:t>
      </w:r>
      <w:r w:rsidRPr="00B71E42">
        <w:rPr>
          <w:rFonts w:ascii="Traditional Arabic" w:hAnsi="Traditional Arabic" w:hint="cs"/>
          <w:rtl/>
        </w:rPr>
        <w:t xml:space="preserve"> خلاف اماره ، بلکه حکم احتمال وفاق است </w:t>
      </w:r>
      <w:r w:rsidRPr="00B71E42">
        <w:rPr>
          <w:rFonts w:ascii="Times New Roman" w:hAnsi="Times New Roman" w:cs="Times New Roman" w:hint="cs"/>
          <w:rtl/>
        </w:rPr>
        <w:t>–</w:t>
      </w:r>
      <w:r w:rsidRPr="00B71E42">
        <w:rPr>
          <w:rFonts w:ascii="Traditional Arabic" w:hAnsi="Traditional Arabic" w:hint="cs"/>
          <w:rtl/>
        </w:rPr>
        <w:t xml:space="preserve"> </w:t>
      </w:r>
      <w:r w:rsidRPr="00B71E42">
        <w:rPr>
          <w:rFonts w:ascii="Traditional Arabic" w:hAnsi="Traditional Arabic" w:hint="cs"/>
          <w:color w:val="0000FF"/>
          <w:rtl/>
        </w:rPr>
        <w:t>كيف و هو حكم الشك فيه و احتماله فافهم و تأمل جيدا</w:t>
      </w:r>
      <w:r w:rsidRPr="00B71E42">
        <w:rPr>
          <w:rFonts w:ascii="Traditional Arabic" w:hAnsi="Traditional Arabic" w:hint="cs"/>
          <w:rtl/>
        </w:rPr>
        <w:t xml:space="preserve"> . » </w:t>
      </w:r>
      <w:r w:rsidR="003E731E">
        <w:rPr>
          <w:rStyle w:val="FootnoteReference"/>
          <w:rFonts w:ascii="Traditional Arabic" w:hAnsi="Traditional Arabic"/>
          <w:rtl/>
        </w:rPr>
        <w:footnoteReference w:id="1"/>
      </w:r>
    </w:p>
    <w:p w:rsidR="00040619" w:rsidRPr="00B71E42" w:rsidRDefault="0098316B" w:rsidP="00040619">
      <w:pPr>
        <w:jc w:val="both"/>
        <w:rPr>
          <w:rtl/>
        </w:rPr>
      </w:pPr>
      <w:r>
        <w:rPr>
          <w:rFonts w:ascii="Traditional Arabic" w:hAnsi="Traditional Arabic" w:hint="cs"/>
          <w:rtl/>
        </w:rPr>
        <w:t xml:space="preserve">   نتیجه آنکه در صورت پذیرفتن </w:t>
      </w:r>
      <w:r w:rsidR="00040619" w:rsidRPr="00B71E42">
        <w:rPr>
          <w:rFonts w:ascii="Traditional Arabic" w:hAnsi="Traditional Arabic" w:hint="cs"/>
          <w:rtl/>
        </w:rPr>
        <w:t>ت</w:t>
      </w:r>
      <w:r>
        <w:rPr>
          <w:rFonts w:ascii="Traditional Arabic" w:hAnsi="Traditional Arabic" w:hint="cs"/>
          <w:rtl/>
        </w:rPr>
        <w:t>تمیم کشف،</w:t>
      </w:r>
      <w:r w:rsidR="00DB0166">
        <w:rPr>
          <w:rFonts w:ascii="Traditional Arabic" w:hAnsi="Traditional Arabic" w:hint="cs"/>
          <w:rtl/>
        </w:rPr>
        <w:t>قول به حکومت نظر متقن</w:t>
      </w:r>
      <w:r>
        <w:rPr>
          <w:rFonts w:ascii="Traditional Arabic" w:hAnsi="Traditional Arabic" w:hint="cs"/>
          <w:rtl/>
        </w:rPr>
        <w:t>ی است؛</w:t>
      </w:r>
      <w:r w:rsidR="00040619" w:rsidRPr="00B71E42">
        <w:rPr>
          <w:rFonts w:ascii="Traditional Arabic" w:hAnsi="Traditional Arabic" w:hint="cs"/>
          <w:rtl/>
        </w:rPr>
        <w:t>زیرا دلیل اماره می گوید از آن جه</w:t>
      </w:r>
      <w:r>
        <w:rPr>
          <w:rFonts w:ascii="Traditional Arabic" w:hAnsi="Traditional Arabic" w:hint="cs"/>
          <w:rtl/>
        </w:rPr>
        <w:t>ت که احتمال صدق اماره وجود دارد</w:t>
      </w:r>
      <w:r w:rsidR="00040619" w:rsidRPr="00B71E42">
        <w:rPr>
          <w:rFonts w:ascii="Traditional Arabic" w:hAnsi="Traditional Arabic" w:hint="cs"/>
          <w:rtl/>
        </w:rPr>
        <w:t>، باید به آن عمل کرد و اماره علم ا</w:t>
      </w:r>
      <w:r>
        <w:rPr>
          <w:rFonts w:ascii="Traditional Arabic" w:hAnsi="Traditional Arabic" w:hint="cs"/>
          <w:rtl/>
        </w:rPr>
        <w:t>ست یعنی احتمال خلاف آن ملغی است</w:t>
      </w:r>
      <w:r w:rsidR="00040619" w:rsidRPr="00B71E42">
        <w:rPr>
          <w:rFonts w:ascii="Traditional Arabic" w:hAnsi="Traditional Arabic" w:hint="cs"/>
          <w:rtl/>
        </w:rPr>
        <w:t xml:space="preserve">؛ بنابراین موضوع اصل منتفی </w:t>
      </w:r>
      <w:r w:rsidR="00DE5405">
        <w:rPr>
          <w:rFonts w:ascii="Traditional Arabic" w:hAnsi="Traditional Arabic" w:hint="cs"/>
          <w:rtl/>
        </w:rPr>
        <w:t xml:space="preserve">می شود </w:t>
      </w:r>
      <w:r w:rsidR="00040619" w:rsidRPr="00B71E42">
        <w:rPr>
          <w:rFonts w:ascii="Traditional Arabic" w:hAnsi="Traditional Arabic" w:hint="cs"/>
          <w:rtl/>
        </w:rPr>
        <w:t>.</w:t>
      </w:r>
      <w:r w:rsidR="00DE5405">
        <w:rPr>
          <w:rFonts w:ascii="Traditional Arabic" w:hAnsi="Traditional Arabic" w:hint="cs"/>
          <w:rtl/>
        </w:rPr>
        <w:t xml:space="preserve"> </w:t>
      </w:r>
      <w:r w:rsidR="004D570A">
        <w:rPr>
          <w:rStyle w:val="FootnoteReference"/>
          <w:rFonts w:ascii="Traditional Arabic" w:hAnsi="Traditional Arabic"/>
          <w:rtl/>
        </w:rPr>
        <w:footnoteReference w:id="2"/>
      </w:r>
      <w:r w:rsidR="00DE5405">
        <w:rPr>
          <w:rFonts w:ascii="Traditional Arabic" w:hAnsi="Traditional Arabic" w:hint="cs"/>
          <w:rtl/>
        </w:rPr>
        <w:t xml:space="preserve"> این دلالت دلیل </w:t>
      </w:r>
      <w:r w:rsidR="00040619" w:rsidRPr="00B71E42">
        <w:rPr>
          <w:rFonts w:ascii="Traditional Arabic" w:hAnsi="Traditional Arabic" w:hint="cs"/>
          <w:rtl/>
        </w:rPr>
        <w:t xml:space="preserve">هم دلالت لفظی است و نه استلزام عقلی . </w:t>
      </w:r>
      <w:r w:rsidR="00125E48">
        <w:rPr>
          <w:rFonts w:hint="cs"/>
          <w:rtl/>
        </w:rPr>
        <w:t xml:space="preserve">تنها مشکل آن است که اصل </w:t>
      </w:r>
      <w:r w:rsidR="00040619" w:rsidRPr="00B71E42">
        <w:rPr>
          <w:rFonts w:hint="cs"/>
          <w:rtl/>
        </w:rPr>
        <w:t>مبنا مقبول نمی باشد .</w:t>
      </w:r>
    </w:p>
    <w:p w:rsidR="00040619" w:rsidRPr="00B71E42" w:rsidRDefault="00040619" w:rsidP="00040619">
      <w:pPr>
        <w:pStyle w:val="Heading1"/>
      </w:pPr>
      <w:bookmarkStart w:id="6" w:name="_Toc527152986"/>
      <w:bookmarkStart w:id="7" w:name="_Toc527713104"/>
      <w:bookmarkStart w:id="8" w:name="_Toc529018106"/>
      <w:r w:rsidRPr="00B71E42">
        <w:rPr>
          <w:rFonts w:hint="cs"/>
          <w:rtl/>
        </w:rPr>
        <w:lastRenderedPageBreak/>
        <w:t>دفع اشکال مرحوم خویی : انحصار موارد حکومت در شارحیت</w:t>
      </w:r>
      <w:bookmarkEnd w:id="6"/>
      <w:bookmarkEnd w:id="7"/>
      <w:bookmarkEnd w:id="8"/>
    </w:p>
    <w:p w:rsidR="00040619" w:rsidRPr="00B71E42" w:rsidRDefault="00040619" w:rsidP="00040619">
      <w:pPr>
        <w:jc w:val="both"/>
        <w:rPr>
          <w:rFonts w:eastAsia="Times New Roman"/>
        </w:rPr>
      </w:pPr>
      <w:r w:rsidRPr="00B71E42">
        <w:rPr>
          <w:rFonts w:eastAsia="Times New Roman" w:hint="cs"/>
          <w:rtl/>
        </w:rPr>
        <w:t xml:space="preserve">   با این تفسیر ، کلام مرحوم نایینی و اصفهانی و خویی ( رحمهم الله ) در مقام مندفع است . زیرا ایشان فرد دومی برای حکومت درست کردند که در آن یک دلیل موضوع دلیل دیگر را نفی می کند بدون این که شارحیتی لفظی نسبت به آن داشته باشد .</w:t>
      </w:r>
      <w:r w:rsidRPr="00B71E42">
        <w:rPr>
          <w:rStyle w:val="FootnoteReference"/>
          <w:rFonts w:ascii="Tahoma" w:hAnsi="Tahoma" w:cs="B Lotus"/>
          <w:color w:val="000000"/>
          <w:sz w:val="28"/>
          <w:rtl/>
        </w:rPr>
        <w:footnoteReference w:id="3"/>
      </w:r>
      <w:r w:rsidRPr="00B71E42">
        <w:rPr>
          <w:rFonts w:eastAsia="Times New Roman" w:hint="cs"/>
          <w:rtl/>
        </w:rPr>
        <w:t xml:space="preserve"> اما مرحوم آخوند ثابت کرده اند در آن مثالی که برای حکومت بدون وجود نظارت لفظی بیان شده است ، هم نظارت لفظی وجود دارد .</w:t>
      </w:r>
    </w:p>
    <w:p w:rsidR="00040619" w:rsidRPr="00B71E42" w:rsidRDefault="00040619" w:rsidP="00040619">
      <w:pPr>
        <w:pStyle w:val="Heading1"/>
        <w:rPr>
          <w:rtl/>
        </w:rPr>
      </w:pPr>
      <w:bookmarkStart w:id="9" w:name="_Toc527152987"/>
      <w:bookmarkStart w:id="10" w:name="_Toc527713105"/>
      <w:bookmarkStart w:id="11" w:name="_Toc529018107"/>
      <w:r w:rsidRPr="00B71E42">
        <w:rPr>
          <w:rFonts w:hint="cs"/>
          <w:rtl/>
        </w:rPr>
        <w:t>مرحوم صدر : قوام حکومت به شارحیت</w:t>
      </w:r>
      <w:bookmarkEnd w:id="9"/>
      <w:bookmarkEnd w:id="10"/>
      <w:bookmarkEnd w:id="11"/>
    </w:p>
    <w:p w:rsidR="00040619" w:rsidRPr="00B71E42" w:rsidRDefault="00040619" w:rsidP="00343D68">
      <w:pPr>
        <w:jc w:val="both"/>
        <w:rPr>
          <w:rFonts w:eastAsia="Times New Roman"/>
          <w:rtl/>
        </w:rPr>
      </w:pPr>
      <w:r w:rsidRPr="00B71E42">
        <w:rPr>
          <w:rFonts w:eastAsia="Times New Roman" w:hint="cs"/>
          <w:rtl/>
        </w:rPr>
        <w:t xml:space="preserve">   مرحوم صدر هم این مطلب مرحوم آخوند را پذیرفته اند که قوام حکومت به شارحیت است . </w:t>
      </w:r>
      <w:r w:rsidR="00343D68">
        <w:rPr>
          <w:rFonts w:eastAsia="Times New Roman" w:hint="cs"/>
          <w:rtl/>
        </w:rPr>
        <w:t>همچنین</w:t>
      </w:r>
      <w:r w:rsidRPr="00B71E42">
        <w:rPr>
          <w:rFonts w:eastAsia="Times New Roman" w:hint="cs"/>
          <w:rtl/>
        </w:rPr>
        <w:t xml:space="preserve"> اقسامی هم برای حکومت تصویر کرده اند که مطابق آن اقسام ، حکومت « لا ضرر » حکومت مضمونیه است . یعنی مض</w:t>
      </w:r>
      <w:bookmarkStart w:id="12" w:name="_GoBack"/>
      <w:bookmarkEnd w:id="12"/>
      <w:r w:rsidRPr="00B71E42">
        <w:rPr>
          <w:rFonts w:eastAsia="Times New Roman" w:hint="cs"/>
          <w:rtl/>
        </w:rPr>
        <w:t xml:space="preserve">مون « لا ضرر » حکایت دارد از ثبوث احکامی در شرع که ضرری بودن اطلاق آن ها متوقّع است </w:t>
      </w:r>
      <w:r w:rsidRPr="00B71E42">
        <w:rPr>
          <w:rStyle w:val="FootnoteReference"/>
          <w:rFonts w:ascii="Tahoma" w:hAnsi="Tahoma" w:cs="B Lotus"/>
          <w:color w:val="000000"/>
          <w:sz w:val="28"/>
          <w:rtl/>
        </w:rPr>
        <w:footnoteReference w:id="4"/>
      </w:r>
      <w:r w:rsidRPr="00B71E42">
        <w:rPr>
          <w:rFonts w:eastAsia="Times New Roman" w:hint="cs"/>
          <w:rtl/>
        </w:rPr>
        <w:t xml:space="preserve"> و این قاعده متعرّض آن اطلاق است .</w:t>
      </w:r>
      <w:r w:rsidR="007E2131">
        <w:rPr>
          <w:rStyle w:val="FootnoteReference"/>
          <w:rFonts w:eastAsia="Times New Roman"/>
          <w:rtl/>
        </w:rPr>
        <w:footnoteReference w:id="5"/>
      </w:r>
    </w:p>
    <w:p w:rsidR="00040619" w:rsidRPr="00B71E42" w:rsidRDefault="00040619" w:rsidP="00040619">
      <w:pPr>
        <w:pStyle w:val="Heading1"/>
        <w:rPr>
          <w:rtl/>
        </w:rPr>
      </w:pPr>
      <w:bookmarkStart w:id="13" w:name="_Toc527152988"/>
      <w:bookmarkStart w:id="14" w:name="_Toc527713106"/>
      <w:bookmarkStart w:id="15" w:name="_Toc529018108"/>
      <w:r w:rsidRPr="00B71E42">
        <w:rPr>
          <w:rFonts w:hint="cs"/>
          <w:rtl/>
        </w:rPr>
        <w:t>مختار آخوند در رابطه امارات و اصول</w:t>
      </w:r>
      <w:bookmarkEnd w:id="13"/>
      <w:bookmarkEnd w:id="14"/>
      <w:bookmarkEnd w:id="15"/>
    </w:p>
    <w:p w:rsidR="00040619" w:rsidRPr="00B71E42" w:rsidRDefault="00040619" w:rsidP="007E2131">
      <w:pPr>
        <w:jc w:val="both"/>
        <w:rPr>
          <w:rFonts w:eastAsia="Times New Roman"/>
        </w:rPr>
      </w:pPr>
      <w:r w:rsidRPr="00B71E42">
        <w:rPr>
          <w:rFonts w:eastAsia="Times New Roman" w:hint="cs"/>
          <w:rtl/>
        </w:rPr>
        <w:t xml:space="preserve">   یک نکته در انتها این بحث باید بررسی شود و آن این است که نظر نهایی مرحوم آخوند در رابطه ی میان امارات و اصول توفیق عرفی است که اینجا فرموده اند و یا ورود که در مبحث استصحاب </w:t>
      </w:r>
      <w:r w:rsidR="007E2131">
        <w:rPr>
          <w:rStyle w:val="FootnoteReference"/>
          <w:rFonts w:eastAsia="Times New Roman"/>
          <w:rtl/>
        </w:rPr>
        <w:footnoteReference w:id="6"/>
      </w:r>
      <w:r w:rsidRPr="00B71E42">
        <w:rPr>
          <w:rFonts w:eastAsia="Times New Roman" w:hint="cs"/>
          <w:rtl/>
        </w:rPr>
        <w:t xml:space="preserve">بیان کردند ؟ به نظر می توان به تبع مرحوم مشکینی </w:t>
      </w:r>
      <w:r w:rsidRPr="00B71E42">
        <w:rPr>
          <w:rStyle w:val="FootnoteReference"/>
          <w:rFonts w:ascii="Tahoma" w:hAnsi="Tahoma" w:cs="B Lotus"/>
          <w:color w:val="000000"/>
          <w:sz w:val="28"/>
          <w:rtl/>
        </w:rPr>
        <w:footnoteReference w:id="7"/>
      </w:r>
      <w:r w:rsidRPr="00B71E42">
        <w:rPr>
          <w:rFonts w:eastAsia="Times New Roman" w:hint="cs"/>
          <w:rtl/>
        </w:rPr>
        <w:t xml:space="preserve"> اینگونه گفت که نظر آخوند در مورد رابطه استصحاب و امارات ورود است ؛ زیرا نقص به اماره نقض به سبب شک نیست ،  اما در مورد سایر اصول شرعی قائل به توفیق عرفی هستند زیرا نسبت به مانند برائت مطابق مبنای مختار مرحوم آخوند ، اماره علم نیست پس رافع موضوع آن نمی باشد و مجوّزی برای قول به حکومت یا ورود وجود ندارد . </w:t>
      </w:r>
    </w:p>
    <w:p w:rsidR="00040619" w:rsidRPr="00B71E42" w:rsidRDefault="00040619" w:rsidP="00040619">
      <w:pPr>
        <w:pStyle w:val="Heading1"/>
      </w:pPr>
      <w:bookmarkStart w:id="16" w:name="_Toc527152989"/>
      <w:bookmarkStart w:id="17" w:name="_Toc527713107"/>
      <w:bookmarkStart w:id="18" w:name="_Toc529018109"/>
      <w:r w:rsidRPr="00B71E42">
        <w:rPr>
          <w:rFonts w:hint="cs"/>
          <w:rtl/>
        </w:rPr>
        <w:t>استثناء سوم از تعارض : جمع عرفی</w:t>
      </w:r>
      <w:bookmarkEnd w:id="16"/>
      <w:bookmarkEnd w:id="17"/>
      <w:bookmarkEnd w:id="18"/>
      <w:r w:rsidRPr="00B71E42">
        <w:rPr>
          <w:rFonts w:hint="cs"/>
          <w:rtl/>
        </w:rPr>
        <w:t xml:space="preserve"> </w:t>
      </w:r>
    </w:p>
    <w:p w:rsidR="00040619" w:rsidRPr="00B71E42" w:rsidRDefault="00040619" w:rsidP="00F7503F">
      <w:pPr>
        <w:jc w:val="both"/>
        <w:rPr>
          <w:rFonts w:eastAsia="Times New Roman"/>
          <w:rtl/>
        </w:rPr>
      </w:pPr>
      <w:r w:rsidRPr="00B71E42">
        <w:rPr>
          <w:rFonts w:eastAsia="Times New Roman" w:hint="cs"/>
          <w:rtl/>
        </w:rPr>
        <w:t xml:space="preserve">   مرحوم آخوند بعد از بحث تفصیلی در توفیق عرفی ، به تکمیل سیر کلی بحث پرداخته و فرموده اند موارد جمع عرفی هم به دنبال موارد حکومت و توفیق عرفی ، خارج از بحث تعارض اند . ضابطه جمع عرفی آن است که یک دلیل در دلالت خود </w:t>
      </w:r>
      <w:r w:rsidRPr="00B71E42">
        <w:rPr>
          <w:rFonts w:eastAsia="Times New Roman" w:hint="cs"/>
          <w:rtl/>
        </w:rPr>
        <w:lastRenderedPageBreak/>
        <w:t xml:space="preserve">أقوی از دلیل دیگر باشد و موجب تصرّف در آن شود . دلیل خروج آن از بحث تعارض هم چنین است که بعد از تصرّف دلیلی که أظهر و یا نص است در دلیل دیگر ، تنافی در مقام احتجاج باقی نمی ماند و موضوع تعارض منتفی می شود . </w:t>
      </w:r>
      <w:r w:rsidR="00F7503F">
        <w:rPr>
          <w:rStyle w:val="FootnoteReference"/>
          <w:rFonts w:eastAsia="Times New Roman"/>
          <w:rtl/>
        </w:rPr>
        <w:footnoteReference w:id="8"/>
      </w:r>
    </w:p>
    <w:p w:rsidR="00040619" w:rsidRPr="00B71E42" w:rsidRDefault="00040619" w:rsidP="00040619">
      <w:pPr>
        <w:jc w:val="both"/>
        <w:rPr>
          <w:rFonts w:eastAsia="Times New Roman"/>
        </w:rPr>
      </w:pPr>
      <w:r w:rsidRPr="00B71E42">
        <w:rPr>
          <w:rFonts w:eastAsia="Times New Roman" w:hint="cs"/>
          <w:rtl/>
        </w:rPr>
        <w:t xml:space="preserve">   یک مثال جمع عرفی جمع موضوعی مانند تخصیص و تقیید است ، مثال دیگر آن هم جمع حکمی است مانند انضمام نصِّ در ترخیص به امر که موجب حجیّت آن در استحباب است . فارق جمع عرفی با حکومت هم آن است که این جمع در ناحیه مراد جدی است ، بر خلاف حکومت که در مراد استعمالی رخ می دهد .</w:t>
      </w:r>
    </w:p>
    <w:p w:rsidR="00040619" w:rsidRPr="00B71E42" w:rsidRDefault="00040619" w:rsidP="00040619">
      <w:pPr>
        <w:pStyle w:val="Heading1"/>
        <w:rPr>
          <w:rtl/>
        </w:rPr>
      </w:pPr>
      <w:bookmarkStart w:id="19" w:name="_Toc527152990"/>
      <w:bookmarkStart w:id="20" w:name="_Toc527713108"/>
      <w:bookmarkStart w:id="21" w:name="_Toc529018110"/>
      <w:r w:rsidRPr="00B71E42">
        <w:rPr>
          <w:rFonts w:hint="cs"/>
          <w:rtl/>
        </w:rPr>
        <w:t>ملاک تقدیم در جمع عرفی : قرینیت</w:t>
      </w:r>
      <w:bookmarkEnd w:id="19"/>
      <w:bookmarkEnd w:id="20"/>
      <w:bookmarkEnd w:id="21"/>
    </w:p>
    <w:p w:rsidR="00040619" w:rsidRPr="00B71E42" w:rsidRDefault="00040619" w:rsidP="00F7503F">
      <w:pPr>
        <w:jc w:val="both"/>
        <w:rPr>
          <w:shd w:val="clear" w:color="auto" w:fill="FFFFFF"/>
          <w:rtl/>
        </w:rPr>
      </w:pPr>
      <w:r w:rsidRPr="00B71E42">
        <w:rPr>
          <w:rFonts w:hint="cs"/>
          <w:shd w:val="clear" w:color="auto" w:fill="FFFFFF"/>
          <w:rtl/>
        </w:rPr>
        <w:t xml:space="preserve">   به نظر ایشان ملاک تقدیم یکی از ادله بر دیگری </w:t>
      </w:r>
      <w:r w:rsidR="00194FD3">
        <w:rPr>
          <w:rFonts w:hint="cs"/>
          <w:shd w:val="clear" w:color="auto" w:fill="FFFFFF"/>
          <w:rtl/>
        </w:rPr>
        <w:t>به هنگام جمع عرفی ، أقواییت در دلالت است ؛</w:t>
      </w:r>
      <w:r w:rsidR="00C2259C">
        <w:rPr>
          <w:rFonts w:hint="cs"/>
          <w:shd w:val="clear" w:color="auto" w:fill="FFFFFF"/>
          <w:rtl/>
        </w:rPr>
        <w:t xml:space="preserve"> مرادشان از لفظ «قرینیت</w:t>
      </w:r>
      <w:r w:rsidRPr="00B71E42">
        <w:rPr>
          <w:rFonts w:hint="cs"/>
          <w:shd w:val="clear" w:color="auto" w:fill="FFFFFF"/>
          <w:rtl/>
        </w:rPr>
        <w:t>» هم همین مطلب است . اما مرحوم خویی و تبریزی در این موارد « قرینیت » را ملاکی مستقلّ به اقتضاء متفاهم عرفی و در مقابل أقواییت می دانند</w:t>
      </w:r>
      <w:r w:rsidR="00F7503F">
        <w:rPr>
          <w:rStyle w:val="FootnoteReference"/>
          <w:shd w:val="clear" w:color="auto" w:fill="FFFFFF"/>
          <w:rtl/>
        </w:rPr>
        <w:footnoteReference w:id="9"/>
      </w:r>
      <w:r w:rsidRPr="00B71E42">
        <w:rPr>
          <w:rFonts w:hint="cs"/>
          <w:shd w:val="clear" w:color="auto" w:fill="FFFFFF"/>
          <w:rtl/>
        </w:rPr>
        <w:t xml:space="preserve"> ، این واقعیت همان قرینیت نوعیه در کلام مرحوم صدر است . </w:t>
      </w:r>
      <w:r w:rsidR="00F7503F">
        <w:rPr>
          <w:rStyle w:val="FootnoteReference"/>
          <w:shd w:val="clear" w:color="auto" w:fill="FFFFFF"/>
          <w:rtl/>
        </w:rPr>
        <w:footnoteReference w:id="10"/>
      </w:r>
    </w:p>
    <w:p w:rsidR="00040619" w:rsidRPr="00B71E42" w:rsidRDefault="00040619" w:rsidP="00040619">
      <w:pPr>
        <w:pStyle w:val="Heading1"/>
        <w:rPr>
          <w:shd w:val="clear" w:color="auto" w:fill="FFFFFF"/>
          <w:rtl/>
        </w:rPr>
      </w:pPr>
      <w:bookmarkStart w:id="22" w:name="_Toc527152991"/>
      <w:bookmarkStart w:id="23" w:name="_Toc527713109"/>
      <w:bookmarkStart w:id="24" w:name="_Toc529018111"/>
      <w:r w:rsidRPr="00B71E42">
        <w:rPr>
          <w:rFonts w:hint="cs"/>
          <w:rtl/>
        </w:rPr>
        <w:t>موارد تعارض</w:t>
      </w:r>
      <w:r w:rsidRPr="00B71E42">
        <w:rPr>
          <w:rFonts w:hint="cs"/>
          <w:shd w:val="clear" w:color="auto" w:fill="FFFFFF"/>
          <w:rtl/>
        </w:rPr>
        <w:t xml:space="preserve"> مستقرّ</w:t>
      </w:r>
      <w:bookmarkEnd w:id="22"/>
      <w:bookmarkEnd w:id="23"/>
      <w:bookmarkEnd w:id="24"/>
    </w:p>
    <w:p w:rsidR="001A1EA5" w:rsidRPr="006162A2" w:rsidRDefault="00040619" w:rsidP="00F7503F">
      <w:pPr>
        <w:jc w:val="both"/>
        <w:rPr>
          <w:rtl/>
        </w:rPr>
      </w:pPr>
      <w:r w:rsidRPr="00B71E42">
        <w:rPr>
          <w:rFonts w:hint="cs"/>
          <w:shd w:val="clear" w:color="auto" w:fill="FFFFFF"/>
          <w:rtl/>
        </w:rPr>
        <w:t xml:space="preserve">   در مقام دوم صاحب کفایه به بیان مصادیق تعارض مستقر پرداخته اند و آن را محدود به حالاتی دانسته اند که تنافی میان حجیت دو دلیل وجود داشته باشد . این حالت خود دو تعیّن دارد : موردی که علم به کذب </w:t>
      </w:r>
      <w:r w:rsidRPr="00B71E42">
        <w:rPr>
          <w:rStyle w:val="FootnoteReference"/>
          <w:rFonts w:ascii="Tahoma" w:hAnsi="Tahoma" w:cs="B Lotus"/>
          <w:color w:val="000000"/>
          <w:sz w:val="28"/>
          <w:shd w:val="clear" w:color="auto" w:fill="FFFFFF"/>
          <w:rtl/>
        </w:rPr>
        <w:footnoteReference w:id="11"/>
      </w:r>
      <w:r w:rsidRPr="00B71E42">
        <w:rPr>
          <w:rFonts w:hint="cs"/>
          <w:shd w:val="clear" w:color="auto" w:fill="FFFFFF"/>
          <w:rtl/>
        </w:rPr>
        <w:t xml:space="preserve"> یکی از دو دلیل متنافی داریم ، و موردی که جمع میان دو متنافی تبرعّی باشد </w:t>
      </w:r>
      <w:r w:rsidRPr="00B71E42">
        <w:rPr>
          <w:rStyle w:val="FootnoteReference"/>
          <w:rFonts w:ascii="Tahoma" w:hAnsi="Tahoma" w:cs="B Lotus"/>
          <w:color w:val="000000"/>
          <w:sz w:val="28"/>
          <w:shd w:val="clear" w:color="auto" w:fill="FFFFFF"/>
          <w:rtl/>
        </w:rPr>
        <w:footnoteReference w:id="12"/>
      </w:r>
      <w:r w:rsidRPr="00B71E42">
        <w:rPr>
          <w:rFonts w:hint="cs"/>
          <w:shd w:val="clear" w:color="auto" w:fill="FFFFFF"/>
          <w:rtl/>
        </w:rPr>
        <w:t xml:space="preserve"> هر چند علم به کذب یکی از آن ها نداریم ، شاهد این عدم علم به کذب هم آن است که در مانند « ثمن العذره سحت » و « لا بأس ببیع العذره » این امکان وجود دارد که دلیل سومی یکی یا هر دو دلیل را مقیّد کند و موجب رفع تنافی شود . پس آن چه نمی تواند مورد تعبّد قرار گیرد مفاد اطلاقی دو دلیل است اما تعبّد به صدور آن ها به صورت اجمالی مانعی ندارد</w:t>
      </w:r>
      <w:r w:rsidR="005B07BA">
        <w:rPr>
          <w:rFonts w:hint="cs"/>
          <w:shd w:val="clear" w:color="auto" w:fill="FFFFFF"/>
          <w:rtl/>
        </w:rPr>
        <w:t xml:space="preserve"> </w:t>
      </w:r>
      <w:r w:rsidRPr="00B71E42">
        <w:rPr>
          <w:rFonts w:hint="cs"/>
          <w:shd w:val="clear" w:color="auto" w:fill="FFFFFF"/>
          <w:rtl/>
        </w:rPr>
        <w:t>هر چند در مقام عمل پیامدی ندارد و تحیّر مکلّف بر طرف نمی شود . به هر حال ضابطه تعارض مستقرّ آن است که دلیل حجیت نمی تواند شامل هر دو شود حال یا به دلیل علم به کذب یکی از آن ها ، و یا به دلیل لغویت تعبّد به هر دو . بله در دسته ی دوم گاهی دو دلیل می توانند برای نفی اماره سومی به کار روند و با همین کارکرد ، از لغویت خارج شوند ؛ اما چنین فایده ای محدود است .</w:t>
      </w: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469" w:rsidRDefault="00C76469" w:rsidP="008B750B">
      <w:pPr>
        <w:spacing w:line="240" w:lineRule="auto"/>
      </w:pPr>
      <w:r>
        <w:separator/>
      </w:r>
    </w:p>
  </w:endnote>
  <w:endnote w:type="continuationSeparator" w:id="0">
    <w:p w:rsidR="00C76469" w:rsidRDefault="00C76469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10000000000000000"/>
    <w:charset w:val="00"/>
    <w:family w:val="roman"/>
    <w:notTrueType/>
    <w:pitch w:val="default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43D68" w:rsidRPr="00343D68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C003E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32" w:name="BokAdres"/>
          <w:bookmarkEnd w:id="32"/>
          <w:r>
            <w:rPr>
              <w:color w:val="808080" w:themeColor="background1" w:themeShade="80"/>
            </w:rPr>
            <w:t>U1mq1_13970711-007_ab1_mfeb.ir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469" w:rsidRDefault="00C76469" w:rsidP="008B750B">
      <w:pPr>
        <w:spacing w:line="240" w:lineRule="auto"/>
      </w:pPr>
      <w:r>
        <w:separator/>
      </w:r>
    </w:p>
  </w:footnote>
  <w:footnote w:type="continuationSeparator" w:id="0">
    <w:p w:rsidR="00C76469" w:rsidRDefault="00C76469" w:rsidP="008B750B">
      <w:pPr>
        <w:spacing w:line="240" w:lineRule="auto"/>
      </w:pPr>
      <w:r>
        <w:continuationSeparator/>
      </w:r>
    </w:p>
  </w:footnote>
  <w:footnote w:id="1">
    <w:p w:rsidR="003E731E" w:rsidRPr="000B3242" w:rsidRDefault="003E731E" w:rsidP="003E731E">
      <w:pPr>
        <w:pStyle w:val="FootnoteText"/>
        <w:rPr>
          <w:rFonts w:hint="cs"/>
          <w:rtl/>
        </w:rPr>
      </w:pPr>
      <w:r w:rsidRPr="000B3242">
        <w:footnoteRef/>
      </w:r>
      <w:r w:rsidRPr="000B3242">
        <w:rPr>
          <w:rtl/>
        </w:rPr>
        <w:t xml:space="preserve"> </w:t>
      </w:r>
      <w:hyperlink r:id="rId1" w:history="1">
        <w:r w:rsidRPr="000B3242">
          <w:rPr>
            <w:rStyle w:val="Hyperlink"/>
            <w:rtl/>
          </w:rPr>
          <w:t>کفا</w:t>
        </w:r>
        <w:r w:rsidRPr="000B3242">
          <w:rPr>
            <w:rStyle w:val="Hyperlink"/>
            <w:rFonts w:hint="cs"/>
            <w:rtl/>
          </w:rPr>
          <w:t>ی</w:t>
        </w:r>
        <w:r w:rsidRPr="000B3242">
          <w:rPr>
            <w:rStyle w:val="Hyperlink"/>
            <w:rFonts w:hint="eastAsia"/>
            <w:rtl/>
          </w:rPr>
          <w:t>ه</w:t>
        </w:r>
        <w:r w:rsidRPr="000B3242">
          <w:rPr>
            <w:rStyle w:val="Hyperlink"/>
            <w:rtl/>
          </w:rPr>
          <w:t xml:space="preserve"> الاصول، آخوند خراسان</w:t>
        </w:r>
        <w:r w:rsidRPr="000B3242">
          <w:rPr>
            <w:rStyle w:val="Hyperlink"/>
            <w:rFonts w:hint="cs"/>
            <w:rtl/>
          </w:rPr>
          <w:t>ی</w:t>
        </w:r>
        <w:r w:rsidRPr="000B3242">
          <w:rPr>
            <w:rStyle w:val="Hyperlink"/>
            <w:rFonts w:hint="eastAsia"/>
            <w:rtl/>
          </w:rPr>
          <w:t>،</w:t>
        </w:r>
        <w:r w:rsidRPr="000B3242">
          <w:rPr>
            <w:rStyle w:val="Hyperlink"/>
            <w:rtl/>
          </w:rPr>
          <w:t xml:space="preserve"> ج1، ص438.</w:t>
        </w:r>
      </w:hyperlink>
    </w:p>
  </w:footnote>
  <w:footnote w:id="2">
    <w:p w:rsidR="004D570A" w:rsidRPr="000B3242" w:rsidRDefault="004D570A" w:rsidP="004D570A">
      <w:pPr>
        <w:pStyle w:val="FootnoteText"/>
        <w:jc w:val="both"/>
        <w:rPr>
          <w:rFonts w:hint="cs"/>
        </w:rPr>
      </w:pPr>
      <w:r w:rsidRPr="000B3242">
        <w:rPr>
          <w:rStyle w:val="FootnoteReference"/>
          <w:vertAlign w:val="baseline"/>
        </w:rPr>
        <w:footnoteRef/>
      </w:r>
      <w:r w:rsidRPr="000B3242">
        <w:rPr>
          <w:rFonts w:hint="cs"/>
          <w:rtl/>
        </w:rPr>
        <w:t xml:space="preserve">. </w:t>
      </w:r>
      <w:r w:rsidRPr="000B3242">
        <w:rPr>
          <w:rFonts w:hint="cs"/>
          <w:rtl/>
        </w:rPr>
        <w:t>این توضیح حکومت اماره بر اصل شرعی موافق را در</w:t>
      </w:r>
      <w:r w:rsidR="00346607" w:rsidRPr="000B3242">
        <w:rPr>
          <w:rFonts w:hint="cs"/>
          <w:rtl/>
        </w:rPr>
        <w:t>بر نمی گیرد،</w:t>
      </w:r>
      <w:r w:rsidRPr="000B3242">
        <w:rPr>
          <w:rFonts w:hint="cs"/>
          <w:rtl/>
        </w:rPr>
        <w:t>مگر این که بگوییم</w:t>
      </w:r>
      <w:r w:rsidR="00346607" w:rsidRPr="000B3242">
        <w:rPr>
          <w:rFonts w:hint="cs"/>
          <w:rtl/>
        </w:rPr>
        <w:t xml:space="preserve"> مفاد دلیل اعتبار «</w:t>
      </w:r>
      <w:r w:rsidRPr="000B3242">
        <w:rPr>
          <w:rFonts w:hint="cs"/>
          <w:rtl/>
        </w:rPr>
        <w:t>نف</w:t>
      </w:r>
      <w:r w:rsidR="00346607" w:rsidRPr="000B3242">
        <w:rPr>
          <w:rFonts w:hint="cs"/>
          <w:rtl/>
        </w:rPr>
        <w:t>ی مطلق احتمال» است و نه صرفا «</w:t>
      </w:r>
      <w:r w:rsidRPr="000B3242">
        <w:rPr>
          <w:rFonts w:hint="cs"/>
          <w:rtl/>
        </w:rPr>
        <w:t>الغاء احتمال خلاف .</w:t>
      </w:r>
      <w:r w:rsidR="00346607" w:rsidRPr="000B3242">
        <w:rPr>
          <w:rFonts w:hint="cs"/>
          <w:rtl/>
        </w:rPr>
        <w:t>»</w:t>
      </w:r>
      <w:r w:rsidRPr="000B3242">
        <w:rPr>
          <w:rFonts w:hint="cs"/>
          <w:rtl/>
        </w:rPr>
        <w:t xml:space="preserve"> ( مقرّر )</w:t>
      </w:r>
    </w:p>
  </w:footnote>
  <w:footnote w:id="3">
    <w:p w:rsidR="00040619" w:rsidRPr="000B3242" w:rsidRDefault="00040619" w:rsidP="00040619">
      <w:pPr>
        <w:pStyle w:val="FootnoteText"/>
        <w:jc w:val="both"/>
        <w:rPr>
          <w:rtl/>
        </w:rPr>
      </w:pPr>
      <w:r w:rsidRPr="000B3242">
        <w:rPr>
          <w:rStyle w:val="FootnoteReference"/>
          <w:vertAlign w:val="baseline"/>
        </w:rPr>
        <w:footnoteRef/>
      </w:r>
      <w:r w:rsidRPr="000B3242">
        <w:rPr>
          <w:rFonts w:hint="cs"/>
          <w:rtl/>
        </w:rPr>
        <w:t>. مصباح الأصول : 349 / 2 ، فوائد الأصول : 712 / 4 ، نهایه الدرایه : 319 / 3</w:t>
      </w:r>
    </w:p>
  </w:footnote>
  <w:footnote w:id="4">
    <w:p w:rsidR="00040619" w:rsidRPr="000B3242" w:rsidRDefault="00040619" w:rsidP="00040619">
      <w:pPr>
        <w:pStyle w:val="FootnoteText"/>
        <w:jc w:val="both"/>
      </w:pPr>
      <w:r w:rsidRPr="000B3242">
        <w:rPr>
          <w:rStyle w:val="FootnoteReference"/>
          <w:vertAlign w:val="baseline"/>
        </w:rPr>
        <w:footnoteRef/>
      </w:r>
      <w:r w:rsidRPr="000B3242">
        <w:rPr>
          <w:rFonts w:hint="cs"/>
          <w:rtl/>
        </w:rPr>
        <w:t xml:space="preserve">. </w:t>
      </w:r>
      <w:r w:rsidRPr="000B3242">
        <w:rPr>
          <w:rFonts w:hint="cs"/>
          <w:rtl/>
        </w:rPr>
        <w:t>باید توجه کرد جعل حکمی که منحصر در مورد ضرر باشد ، متوقّع از شارع نیست .</w:t>
      </w:r>
    </w:p>
  </w:footnote>
  <w:footnote w:id="5">
    <w:p w:rsidR="007E2131" w:rsidRPr="007E2131" w:rsidRDefault="007E2131" w:rsidP="007E2131">
      <w:pPr>
        <w:pStyle w:val="FootnoteText"/>
        <w:rPr>
          <w:rFonts w:hint="cs"/>
          <w:rtl/>
        </w:rPr>
      </w:pPr>
      <w:r w:rsidRPr="007E2131">
        <w:footnoteRef/>
      </w:r>
      <w:r>
        <w:rPr>
          <w:rFonts w:hint="cs"/>
          <w:rtl/>
        </w:rPr>
        <w:t>.</w:t>
      </w:r>
      <w:r w:rsidRPr="007E2131">
        <w:rPr>
          <w:rtl/>
        </w:rPr>
        <w:t xml:space="preserve"> </w:t>
      </w:r>
      <w:hyperlink r:id="rId2" w:history="1">
        <w:r w:rsidRPr="007E2131">
          <w:rPr>
            <w:rStyle w:val="Hyperlink"/>
            <w:rtl/>
          </w:rPr>
          <w:t>بحوث ف</w:t>
        </w:r>
        <w:r w:rsidRPr="007E2131">
          <w:rPr>
            <w:rStyle w:val="Hyperlink"/>
            <w:rFonts w:hint="cs"/>
            <w:rtl/>
          </w:rPr>
          <w:t>ی</w:t>
        </w:r>
        <w:r w:rsidRPr="007E2131">
          <w:rPr>
            <w:rStyle w:val="Hyperlink"/>
            <w:rtl/>
          </w:rPr>
          <w:t xml:space="preserve"> علم الأصول، الس</w:t>
        </w:r>
        <w:r w:rsidRPr="007E2131">
          <w:rPr>
            <w:rStyle w:val="Hyperlink"/>
            <w:rFonts w:hint="cs"/>
            <w:rtl/>
          </w:rPr>
          <w:t>ی</w:t>
        </w:r>
        <w:r w:rsidRPr="007E2131">
          <w:rPr>
            <w:rStyle w:val="Hyperlink"/>
            <w:rFonts w:hint="eastAsia"/>
            <w:rtl/>
          </w:rPr>
          <w:t>د</w:t>
        </w:r>
        <w:r w:rsidRPr="007E2131">
          <w:rPr>
            <w:rStyle w:val="Hyperlink"/>
            <w:rtl/>
          </w:rPr>
          <w:t xml:space="preserve"> محمد باقر الصدر، ج6، ص342.</w:t>
        </w:r>
      </w:hyperlink>
    </w:p>
  </w:footnote>
  <w:footnote w:id="6">
    <w:p w:rsidR="007E2131" w:rsidRPr="007E2131" w:rsidRDefault="007E2131" w:rsidP="007E2131">
      <w:pPr>
        <w:pStyle w:val="FootnoteText"/>
        <w:rPr>
          <w:rFonts w:hint="cs"/>
          <w:rtl/>
        </w:rPr>
      </w:pPr>
      <w:r>
        <w:t>.</w:t>
      </w:r>
      <w:r w:rsidRPr="007E2131">
        <w:footnoteRef/>
      </w:r>
      <w:r w:rsidRPr="007E2131">
        <w:rPr>
          <w:rtl/>
        </w:rPr>
        <w:t xml:space="preserve"> </w:t>
      </w:r>
      <w:hyperlink r:id="rId3" w:history="1">
        <w:r w:rsidRPr="007E2131">
          <w:rPr>
            <w:rStyle w:val="Hyperlink"/>
            <w:rtl/>
          </w:rPr>
          <w:t>کفا</w:t>
        </w:r>
        <w:r w:rsidRPr="007E2131">
          <w:rPr>
            <w:rStyle w:val="Hyperlink"/>
            <w:rFonts w:hint="cs"/>
            <w:rtl/>
          </w:rPr>
          <w:t>ی</w:t>
        </w:r>
        <w:r w:rsidRPr="007E2131">
          <w:rPr>
            <w:rStyle w:val="Hyperlink"/>
            <w:rFonts w:hint="eastAsia"/>
            <w:rtl/>
          </w:rPr>
          <w:t>ه</w:t>
        </w:r>
        <w:r w:rsidRPr="007E2131">
          <w:rPr>
            <w:rStyle w:val="Hyperlink"/>
            <w:rtl/>
          </w:rPr>
          <w:t xml:space="preserve"> الاصول، آخوند خراسان</w:t>
        </w:r>
        <w:r w:rsidRPr="007E2131">
          <w:rPr>
            <w:rStyle w:val="Hyperlink"/>
            <w:rFonts w:hint="cs"/>
            <w:rtl/>
          </w:rPr>
          <w:t>ی</w:t>
        </w:r>
        <w:r w:rsidRPr="007E2131">
          <w:rPr>
            <w:rStyle w:val="Hyperlink"/>
            <w:rFonts w:hint="eastAsia"/>
            <w:rtl/>
          </w:rPr>
          <w:t>،</w:t>
        </w:r>
        <w:r w:rsidRPr="007E2131">
          <w:rPr>
            <w:rStyle w:val="Hyperlink"/>
            <w:rtl/>
          </w:rPr>
          <w:t xml:space="preserve"> ج1، ص429.</w:t>
        </w:r>
      </w:hyperlink>
    </w:p>
  </w:footnote>
  <w:footnote w:id="7">
    <w:p w:rsidR="00040619" w:rsidRPr="000B3242" w:rsidRDefault="00040619" w:rsidP="00040619">
      <w:pPr>
        <w:pStyle w:val="FootnoteText"/>
        <w:jc w:val="both"/>
      </w:pPr>
      <w:r w:rsidRPr="000B3242">
        <w:rPr>
          <w:rStyle w:val="FootnoteReference"/>
          <w:vertAlign w:val="baseline"/>
        </w:rPr>
        <w:footnoteRef/>
      </w:r>
      <w:r w:rsidRPr="000B3242">
        <w:rPr>
          <w:rFonts w:hint="cs"/>
          <w:rtl/>
        </w:rPr>
        <w:t xml:space="preserve">. </w:t>
      </w:r>
      <w:r w:rsidRPr="000B3242">
        <w:rPr>
          <w:rFonts w:hint="cs"/>
          <w:rtl/>
        </w:rPr>
        <w:t>کفایه الأصول با حواشی مشکینی : 131 / 5 . البته این تفصیل مختار خود مرحوم مشکینی است و آن را نسبت به مرحوم آخوند نداده اند . ( مقرّر )</w:t>
      </w:r>
    </w:p>
  </w:footnote>
  <w:footnote w:id="8">
    <w:p w:rsidR="00F7503F" w:rsidRPr="00F7503F" w:rsidRDefault="00F7503F" w:rsidP="00F7503F">
      <w:pPr>
        <w:pStyle w:val="FootnoteText"/>
        <w:rPr>
          <w:rFonts w:hint="cs"/>
          <w:rtl/>
        </w:rPr>
      </w:pPr>
      <w:r w:rsidRPr="00F7503F">
        <w:footnoteRef/>
      </w:r>
      <w:r>
        <w:rPr>
          <w:rFonts w:hint="cs"/>
          <w:rtl/>
        </w:rPr>
        <w:t>.</w:t>
      </w:r>
      <w:r w:rsidRPr="00F7503F">
        <w:rPr>
          <w:rtl/>
        </w:rPr>
        <w:t xml:space="preserve"> </w:t>
      </w:r>
      <w:hyperlink r:id="rId4" w:history="1">
        <w:r w:rsidRPr="00F7503F">
          <w:rPr>
            <w:rStyle w:val="Hyperlink"/>
            <w:rtl/>
          </w:rPr>
          <w:t>کفا</w:t>
        </w:r>
        <w:r w:rsidRPr="00F7503F">
          <w:rPr>
            <w:rStyle w:val="Hyperlink"/>
            <w:rFonts w:hint="cs"/>
            <w:rtl/>
          </w:rPr>
          <w:t>ی</w:t>
        </w:r>
        <w:r w:rsidRPr="00F7503F">
          <w:rPr>
            <w:rStyle w:val="Hyperlink"/>
            <w:rFonts w:hint="eastAsia"/>
            <w:rtl/>
          </w:rPr>
          <w:t>ه</w:t>
        </w:r>
        <w:r w:rsidRPr="00F7503F">
          <w:rPr>
            <w:rStyle w:val="Hyperlink"/>
            <w:rtl/>
          </w:rPr>
          <w:t xml:space="preserve"> الاصول، آخوند خراسان</w:t>
        </w:r>
        <w:r w:rsidRPr="00F7503F">
          <w:rPr>
            <w:rStyle w:val="Hyperlink"/>
            <w:rFonts w:hint="cs"/>
            <w:rtl/>
          </w:rPr>
          <w:t>ی</w:t>
        </w:r>
        <w:r w:rsidRPr="00F7503F">
          <w:rPr>
            <w:rStyle w:val="Hyperlink"/>
            <w:rFonts w:hint="eastAsia"/>
            <w:rtl/>
          </w:rPr>
          <w:t>،</w:t>
        </w:r>
        <w:r w:rsidRPr="00F7503F">
          <w:rPr>
            <w:rStyle w:val="Hyperlink"/>
            <w:rtl/>
          </w:rPr>
          <w:t xml:space="preserve"> ج1، ص439.</w:t>
        </w:r>
      </w:hyperlink>
    </w:p>
  </w:footnote>
  <w:footnote w:id="9">
    <w:p w:rsidR="00F7503F" w:rsidRPr="00F7503F" w:rsidRDefault="00F7503F" w:rsidP="00F7503F">
      <w:pPr>
        <w:pStyle w:val="FootnoteText"/>
        <w:rPr>
          <w:rFonts w:hint="cs"/>
          <w:rtl/>
        </w:rPr>
      </w:pPr>
      <w:r>
        <w:t>.</w:t>
      </w:r>
      <w:r w:rsidRPr="00F7503F">
        <w:footnoteRef/>
      </w:r>
      <w:r w:rsidRPr="00F7503F">
        <w:rPr>
          <w:rtl/>
        </w:rPr>
        <w:t xml:space="preserve"> </w:t>
      </w:r>
      <w:hyperlink r:id="rId5" w:history="1">
        <w:r w:rsidRPr="00F7503F">
          <w:rPr>
            <w:rStyle w:val="Hyperlink"/>
            <w:rtl/>
          </w:rPr>
          <w:t>دروس ف</w:t>
        </w:r>
        <w:r w:rsidRPr="00F7503F">
          <w:rPr>
            <w:rStyle w:val="Hyperlink"/>
            <w:rFonts w:hint="cs"/>
            <w:rtl/>
          </w:rPr>
          <w:t>ی</w:t>
        </w:r>
        <w:r w:rsidRPr="00F7503F">
          <w:rPr>
            <w:rStyle w:val="Hyperlink"/>
            <w:rtl/>
          </w:rPr>
          <w:t xml:space="preserve"> مسائل علم الاصول، جواد تبر</w:t>
        </w:r>
        <w:r w:rsidRPr="00F7503F">
          <w:rPr>
            <w:rStyle w:val="Hyperlink"/>
            <w:rFonts w:hint="cs"/>
            <w:rtl/>
          </w:rPr>
          <w:t>ی</w:t>
        </w:r>
        <w:r w:rsidRPr="00F7503F">
          <w:rPr>
            <w:rStyle w:val="Hyperlink"/>
            <w:rFonts w:hint="eastAsia"/>
            <w:rtl/>
          </w:rPr>
          <w:t>ز</w:t>
        </w:r>
        <w:r w:rsidRPr="00F7503F">
          <w:rPr>
            <w:rStyle w:val="Hyperlink"/>
            <w:rFonts w:hint="cs"/>
            <w:rtl/>
          </w:rPr>
          <w:t>ی</w:t>
        </w:r>
        <w:r w:rsidRPr="00F7503F">
          <w:rPr>
            <w:rStyle w:val="Hyperlink"/>
            <w:rFonts w:hint="eastAsia"/>
            <w:rtl/>
          </w:rPr>
          <w:t>،</w:t>
        </w:r>
        <w:r w:rsidRPr="00F7503F">
          <w:rPr>
            <w:rStyle w:val="Hyperlink"/>
            <w:rtl/>
          </w:rPr>
          <w:t xml:space="preserve"> ج3، ص227.</w:t>
        </w:r>
      </w:hyperlink>
    </w:p>
  </w:footnote>
  <w:footnote w:id="10">
    <w:p w:rsidR="00F7503F" w:rsidRPr="00F7503F" w:rsidRDefault="00F7503F" w:rsidP="00F7503F">
      <w:pPr>
        <w:pStyle w:val="FootnoteText"/>
        <w:rPr>
          <w:rFonts w:hint="cs"/>
          <w:rtl/>
        </w:rPr>
      </w:pPr>
      <w:r>
        <w:t>.</w:t>
      </w:r>
      <w:r w:rsidRPr="00F7503F">
        <w:footnoteRef/>
      </w:r>
      <w:r w:rsidRPr="00F7503F">
        <w:rPr>
          <w:rtl/>
        </w:rPr>
        <w:t xml:space="preserve"> </w:t>
      </w:r>
      <w:hyperlink r:id="rId6" w:history="1">
        <w:r w:rsidRPr="00F7503F">
          <w:rPr>
            <w:rStyle w:val="Hyperlink"/>
            <w:rtl/>
          </w:rPr>
          <w:t>بحوث ف</w:t>
        </w:r>
        <w:r w:rsidRPr="00F7503F">
          <w:rPr>
            <w:rStyle w:val="Hyperlink"/>
            <w:rFonts w:hint="cs"/>
            <w:rtl/>
          </w:rPr>
          <w:t>ی</w:t>
        </w:r>
        <w:r w:rsidRPr="00F7503F">
          <w:rPr>
            <w:rStyle w:val="Hyperlink"/>
            <w:rtl/>
          </w:rPr>
          <w:t xml:space="preserve"> علم الأصول، الس</w:t>
        </w:r>
        <w:r w:rsidRPr="00F7503F">
          <w:rPr>
            <w:rStyle w:val="Hyperlink"/>
            <w:rFonts w:hint="cs"/>
            <w:rtl/>
          </w:rPr>
          <w:t>ی</w:t>
        </w:r>
        <w:r w:rsidRPr="00F7503F">
          <w:rPr>
            <w:rStyle w:val="Hyperlink"/>
            <w:rFonts w:hint="eastAsia"/>
            <w:rtl/>
          </w:rPr>
          <w:t>د</w:t>
        </w:r>
        <w:r w:rsidRPr="00F7503F">
          <w:rPr>
            <w:rStyle w:val="Hyperlink"/>
            <w:rtl/>
          </w:rPr>
          <w:t xml:space="preserve"> محمد باقر الصدر، ج6، ص343.</w:t>
        </w:r>
      </w:hyperlink>
    </w:p>
  </w:footnote>
  <w:footnote w:id="11">
    <w:p w:rsidR="00040619" w:rsidRPr="000B3242" w:rsidRDefault="00040619" w:rsidP="00040619">
      <w:pPr>
        <w:pStyle w:val="FootnoteText"/>
        <w:jc w:val="both"/>
      </w:pPr>
      <w:r w:rsidRPr="000B3242">
        <w:rPr>
          <w:rStyle w:val="FootnoteReference"/>
          <w:vertAlign w:val="baseline"/>
        </w:rPr>
        <w:footnoteRef/>
      </w:r>
      <w:r w:rsidRPr="000B3242">
        <w:rPr>
          <w:rFonts w:hint="cs"/>
          <w:rtl/>
        </w:rPr>
        <w:t xml:space="preserve">. </w:t>
      </w:r>
      <w:r w:rsidRPr="000B3242">
        <w:rPr>
          <w:rFonts w:hint="cs"/>
          <w:rtl/>
        </w:rPr>
        <w:t>مراد از کذب ، مخالفت با واقع است ، پس مانند صدور تقیه ای را هم در بر می گیرد .</w:t>
      </w:r>
    </w:p>
  </w:footnote>
  <w:footnote w:id="12">
    <w:p w:rsidR="00040619" w:rsidRPr="000B3242" w:rsidRDefault="00040619" w:rsidP="00040619">
      <w:pPr>
        <w:pStyle w:val="FootnoteText"/>
        <w:jc w:val="both"/>
      </w:pPr>
      <w:r w:rsidRPr="000B3242">
        <w:rPr>
          <w:rStyle w:val="FootnoteReference"/>
          <w:vertAlign w:val="baseline"/>
        </w:rPr>
        <w:footnoteRef/>
      </w:r>
      <w:r w:rsidRPr="000B3242">
        <w:rPr>
          <w:rFonts w:hint="cs"/>
          <w:rtl/>
        </w:rPr>
        <w:t xml:space="preserve">. </w:t>
      </w:r>
      <w:r w:rsidRPr="000B3242">
        <w:rPr>
          <w:rFonts w:hint="cs"/>
          <w:rtl/>
        </w:rPr>
        <w:t>ایشان عنوان « جمع تبرّعی » را ذکر نکرده اند ، بلکه به بیان واقعیت آن پرداخته اند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25" w:name="BokNum"/>
    <w:bookmarkEnd w:id="25"/>
    <w:r w:rsidR="00C003EE">
      <w:rPr>
        <w:b/>
        <w:bCs/>
        <w:sz w:val="20"/>
        <w:szCs w:val="24"/>
        <w:rtl/>
      </w:rPr>
      <w:t>007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6" w:name="Bokdars"/>
    <w:bookmarkEnd w:id="26"/>
    <w:r w:rsidR="00C003EE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7" w:name="Bokostad"/>
    <w:bookmarkEnd w:id="27"/>
    <w:r w:rsidR="00C003EE">
      <w:rPr>
        <w:b/>
        <w:bCs/>
        <w:color w:val="632423" w:themeColor="accent2" w:themeShade="80"/>
        <w:sz w:val="20"/>
        <w:szCs w:val="24"/>
        <w:rtl/>
      </w:rPr>
      <w:t>قائ</w:t>
    </w:r>
    <w:r w:rsidR="00C003EE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C003EE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C003EE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8" w:name="BokTarikh"/>
    <w:bookmarkEnd w:id="28"/>
    <w:r w:rsidR="00C003EE">
      <w:rPr>
        <w:sz w:val="24"/>
        <w:szCs w:val="24"/>
        <w:rtl/>
      </w:rPr>
      <w:t>11 /7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9" w:name="BokSabj"/>
    <w:bookmarkEnd w:id="29"/>
    <w:r w:rsidR="00C003EE">
      <w:rPr>
        <w:color w:val="000000" w:themeColor="text1"/>
        <w:sz w:val="24"/>
        <w:szCs w:val="24"/>
        <w:rtl/>
      </w:rPr>
      <w:t>تعارض غ</w:t>
    </w:r>
    <w:r w:rsidR="00C003EE">
      <w:rPr>
        <w:rFonts w:hint="cs"/>
        <w:color w:val="000000" w:themeColor="text1"/>
        <w:sz w:val="24"/>
        <w:szCs w:val="24"/>
        <w:rtl/>
      </w:rPr>
      <w:t>ی</w:t>
    </w:r>
    <w:r w:rsidR="00C003EE">
      <w:rPr>
        <w:rFonts w:hint="eastAsia"/>
        <w:color w:val="000000" w:themeColor="text1"/>
        <w:sz w:val="24"/>
        <w:szCs w:val="24"/>
        <w:rtl/>
      </w:rPr>
      <w:t>ر</w:t>
    </w:r>
    <w:r w:rsidR="00C003EE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30" w:name="Bokmoqarer"/>
    <w:bookmarkEnd w:id="30"/>
    <w:r w:rsidR="00C003EE">
      <w:rPr>
        <w:sz w:val="24"/>
        <w:szCs w:val="24"/>
        <w:rtl/>
      </w:rPr>
      <w:t>عل</w:t>
    </w:r>
    <w:r w:rsidR="00C003EE">
      <w:rPr>
        <w:rFonts w:hint="cs"/>
        <w:sz w:val="24"/>
        <w:szCs w:val="24"/>
        <w:rtl/>
      </w:rPr>
      <w:t>ی</w:t>
    </w:r>
    <w:r w:rsidR="00C003EE">
      <w:rPr>
        <w:sz w:val="24"/>
        <w:szCs w:val="24"/>
        <w:rtl/>
      </w:rPr>
      <w:t xml:space="preserve"> بهادرزا</w:t>
    </w:r>
    <w:r w:rsidR="00C003EE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31" w:name="BokSabj2"/>
    <w:bookmarkEnd w:id="31"/>
    <w:r w:rsidR="00C003EE">
      <w:rPr>
        <w:sz w:val="24"/>
        <w:szCs w:val="24"/>
        <w:rtl/>
      </w:rPr>
      <w:t>حکومت - جمع عرف</w:t>
    </w:r>
    <w:r w:rsidR="00C003EE"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40619"/>
    <w:rsid w:val="00055496"/>
    <w:rsid w:val="00080A41"/>
    <w:rsid w:val="0008299B"/>
    <w:rsid w:val="000913AA"/>
    <w:rsid w:val="00094847"/>
    <w:rsid w:val="00096C63"/>
    <w:rsid w:val="000B3242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5E48"/>
    <w:rsid w:val="00127E95"/>
    <w:rsid w:val="00130659"/>
    <w:rsid w:val="001347C7"/>
    <w:rsid w:val="001356B0"/>
    <w:rsid w:val="00151937"/>
    <w:rsid w:val="00181844"/>
    <w:rsid w:val="001837E9"/>
    <w:rsid w:val="00187DFA"/>
    <w:rsid w:val="00194FD3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3D68"/>
    <w:rsid w:val="00345C73"/>
    <w:rsid w:val="00346607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E731E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570A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52DD8"/>
    <w:rsid w:val="0056213C"/>
    <w:rsid w:val="00580C24"/>
    <w:rsid w:val="005968EF"/>
    <w:rsid w:val="00596C1E"/>
    <w:rsid w:val="005A2E26"/>
    <w:rsid w:val="005B07BA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24B51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2131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316B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323B8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BF757F"/>
    <w:rsid w:val="00C003EE"/>
    <w:rsid w:val="00C066AF"/>
    <w:rsid w:val="00C10E06"/>
    <w:rsid w:val="00C145B8"/>
    <w:rsid w:val="00C2259C"/>
    <w:rsid w:val="00C2438F"/>
    <w:rsid w:val="00C31AF0"/>
    <w:rsid w:val="00C32A7E"/>
    <w:rsid w:val="00C34F28"/>
    <w:rsid w:val="00C35CEE"/>
    <w:rsid w:val="00C368DF"/>
    <w:rsid w:val="00C442C5"/>
    <w:rsid w:val="00C57B5C"/>
    <w:rsid w:val="00C57C7C"/>
    <w:rsid w:val="00C61049"/>
    <w:rsid w:val="00C63FFE"/>
    <w:rsid w:val="00C76469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166"/>
    <w:rsid w:val="00DB0CBB"/>
    <w:rsid w:val="00DB67CC"/>
    <w:rsid w:val="00DC3783"/>
    <w:rsid w:val="00DE1070"/>
    <w:rsid w:val="00DE5405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2CFD"/>
    <w:rsid w:val="00F64141"/>
    <w:rsid w:val="00F67508"/>
    <w:rsid w:val="00F71FC9"/>
    <w:rsid w:val="00F73B48"/>
    <w:rsid w:val="00F74F51"/>
    <w:rsid w:val="00F7503F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5B89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27004/1/429/" TargetMode="External"/><Relationship Id="rId2" Type="http://schemas.openxmlformats.org/officeDocument/2006/relationships/hyperlink" Target="http://lib.eshia.ir/13064/6/342/" TargetMode="External"/><Relationship Id="rId1" Type="http://schemas.openxmlformats.org/officeDocument/2006/relationships/hyperlink" Target="http://lib.eshia.ir/27004/1/438/" TargetMode="External"/><Relationship Id="rId6" Type="http://schemas.openxmlformats.org/officeDocument/2006/relationships/hyperlink" Target="http://lib.eshia.ir/13064/6/343/" TargetMode="External"/><Relationship Id="rId5" Type="http://schemas.openxmlformats.org/officeDocument/2006/relationships/hyperlink" Target="http://lib.eshia.ir/86749/3/227/" TargetMode="External"/><Relationship Id="rId4" Type="http://schemas.openxmlformats.org/officeDocument/2006/relationships/hyperlink" Target="http://lib.eshia.ir/27004/1/439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B64D3-B142-4B6A-9CFC-7F91884E8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17</TotalTime>
  <Pages>3</Pages>
  <Words>808</Words>
  <Characters>4610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5408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23</cp:revision>
  <cp:lastPrinted>2018-10-20T15:53:00Z</cp:lastPrinted>
  <dcterms:created xsi:type="dcterms:W3CDTF">2018-10-19T08:18:00Z</dcterms:created>
  <dcterms:modified xsi:type="dcterms:W3CDTF">2018-11-03T10:52:00Z</dcterms:modified>
  <cp:contentStatus>ویرایش 2.5</cp:contentStatus>
  <cp:version>2.7</cp:version>
</cp:coreProperties>
</file>