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18D" w:rsidRDefault="0008618D" w:rsidP="0008618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27985290" w:history="1">
        <w:r w:rsidRPr="00941714">
          <w:rPr>
            <w:rStyle w:val="Hyperlink"/>
            <w:noProof/>
            <w:rtl/>
          </w:rPr>
          <w:t>ظرف اثر گذار</w:t>
        </w:r>
        <w:r w:rsidRPr="00941714">
          <w:rPr>
            <w:rStyle w:val="Hyperlink"/>
            <w:rFonts w:hint="cs"/>
            <w:noProof/>
            <w:rtl/>
          </w:rPr>
          <w:t>ی</w:t>
        </w:r>
        <w:r w:rsidRPr="00941714">
          <w:rPr>
            <w:rStyle w:val="Hyperlink"/>
            <w:noProof/>
            <w:rtl/>
          </w:rPr>
          <w:t xml:space="preserve"> جمع عرف</w:t>
        </w:r>
        <w:r w:rsidRPr="00941714">
          <w:rPr>
            <w:rStyle w:val="Hyperlink"/>
            <w:rFonts w:hint="cs"/>
            <w:noProof/>
            <w:rtl/>
          </w:rPr>
          <w:t>ی</w:t>
        </w:r>
        <w:r w:rsidRPr="00941714">
          <w:rPr>
            <w:rStyle w:val="Hyperlink"/>
            <w:noProof/>
            <w:rtl/>
          </w:rPr>
          <w:t xml:space="preserve"> : مراد جدّ</w:t>
        </w:r>
        <w:r w:rsidRPr="00941714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Toc527985290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21D6B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08618D" w:rsidRDefault="006E7FA1" w:rsidP="0008618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85291" w:history="1">
        <w:r w:rsidR="0008618D" w:rsidRPr="00941714">
          <w:rPr>
            <w:rStyle w:val="Hyperlink"/>
            <w:noProof/>
            <w:rtl/>
          </w:rPr>
          <w:t>تطب</w:t>
        </w:r>
        <w:r w:rsidR="0008618D" w:rsidRPr="00941714">
          <w:rPr>
            <w:rStyle w:val="Hyperlink"/>
            <w:rFonts w:hint="cs"/>
            <w:noProof/>
            <w:rtl/>
          </w:rPr>
          <w:t>ی</w:t>
        </w:r>
        <w:r w:rsidR="0008618D" w:rsidRPr="00941714">
          <w:rPr>
            <w:rStyle w:val="Hyperlink"/>
            <w:rFonts w:hint="eastAsia"/>
            <w:noProof/>
            <w:rtl/>
          </w:rPr>
          <w:t>ق</w:t>
        </w:r>
        <w:r w:rsidR="0008618D" w:rsidRPr="00941714">
          <w:rPr>
            <w:rStyle w:val="Hyperlink"/>
            <w:noProof/>
            <w:rtl/>
          </w:rPr>
          <w:t xml:space="preserve"> قانون </w:t>
        </w:r>
        <w:r w:rsidR="0008618D" w:rsidRPr="00941714">
          <w:rPr>
            <w:rStyle w:val="Hyperlink"/>
            <w:rFonts w:hint="cs"/>
            <w:noProof/>
            <w:rtl/>
          </w:rPr>
          <w:t>ی</w:t>
        </w:r>
        <w:r w:rsidR="0008618D" w:rsidRPr="00941714">
          <w:rPr>
            <w:rStyle w:val="Hyperlink"/>
            <w:rFonts w:hint="eastAsia"/>
            <w:noProof/>
            <w:rtl/>
          </w:rPr>
          <w:t>اد</w:t>
        </w:r>
        <w:r w:rsidR="0008618D" w:rsidRPr="00941714">
          <w:rPr>
            <w:rStyle w:val="Hyperlink"/>
            <w:noProof/>
            <w:rtl/>
          </w:rPr>
          <w:t xml:space="preserve"> شده بر موارد اطلاق</w:t>
        </w:r>
        <w:r w:rsidR="0008618D">
          <w:rPr>
            <w:noProof/>
            <w:webHidden/>
            <w:rtl/>
          </w:rPr>
          <w:tab/>
        </w:r>
        <w:r w:rsidR="0008618D">
          <w:rPr>
            <w:rStyle w:val="Hyperlink"/>
            <w:noProof/>
            <w:rtl/>
          </w:rPr>
          <w:fldChar w:fldCharType="begin"/>
        </w:r>
        <w:r w:rsidR="0008618D">
          <w:rPr>
            <w:noProof/>
            <w:webHidden/>
            <w:rtl/>
          </w:rPr>
          <w:instrText xml:space="preserve"> </w:instrText>
        </w:r>
        <w:r w:rsidR="0008618D">
          <w:rPr>
            <w:noProof/>
            <w:webHidden/>
          </w:rPr>
          <w:instrText>PAGEREF</w:instrText>
        </w:r>
        <w:r w:rsidR="0008618D">
          <w:rPr>
            <w:noProof/>
            <w:webHidden/>
            <w:rtl/>
          </w:rPr>
          <w:instrText xml:space="preserve"> _</w:instrText>
        </w:r>
        <w:r w:rsidR="0008618D">
          <w:rPr>
            <w:noProof/>
            <w:webHidden/>
          </w:rPr>
          <w:instrText>Toc527985291 \h</w:instrText>
        </w:r>
        <w:r w:rsidR="0008618D">
          <w:rPr>
            <w:noProof/>
            <w:webHidden/>
            <w:rtl/>
          </w:rPr>
          <w:instrText xml:space="preserve"> </w:instrText>
        </w:r>
        <w:r w:rsidR="0008618D">
          <w:rPr>
            <w:rStyle w:val="Hyperlink"/>
            <w:noProof/>
            <w:rtl/>
          </w:rPr>
        </w:r>
        <w:r w:rsidR="0008618D">
          <w:rPr>
            <w:rStyle w:val="Hyperlink"/>
            <w:noProof/>
            <w:rtl/>
          </w:rPr>
          <w:fldChar w:fldCharType="separate"/>
        </w:r>
        <w:r w:rsidR="00621D6B">
          <w:rPr>
            <w:noProof/>
            <w:webHidden/>
            <w:rtl/>
          </w:rPr>
          <w:t>2</w:t>
        </w:r>
        <w:r w:rsidR="0008618D">
          <w:rPr>
            <w:rStyle w:val="Hyperlink"/>
            <w:noProof/>
            <w:rtl/>
          </w:rPr>
          <w:fldChar w:fldCharType="end"/>
        </w:r>
      </w:hyperlink>
    </w:p>
    <w:p w:rsidR="0008618D" w:rsidRDefault="006E7FA1" w:rsidP="0008618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7985292" w:history="1">
        <w:r w:rsidR="0008618D" w:rsidRPr="00941714">
          <w:rPr>
            <w:rStyle w:val="Hyperlink"/>
            <w:noProof/>
            <w:rtl/>
          </w:rPr>
          <w:t>اشتراط عدم قر</w:t>
        </w:r>
        <w:r w:rsidR="0008618D" w:rsidRPr="00941714">
          <w:rPr>
            <w:rStyle w:val="Hyperlink"/>
            <w:rFonts w:hint="cs"/>
            <w:noProof/>
            <w:rtl/>
          </w:rPr>
          <w:t>ی</w:t>
        </w:r>
        <w:r w:rsidR="0008618D" w:rsidRPr="00941714">
          <w:rPr>
            <w:rStyle w:val="Hyperlink"/>
            <w:rFonts w:hint="eastAsia"/>
            <w:noProof/>
            <w:rtl/>
          </w:rPr>
          <w:t>نه</w:t>
        </w:r>
        <w:r w:rsidR="0008618D" w:rsidRPr="00941714">
          <w:rPr>
            <w:rStyle w:val="Hyperlink"/>
            <w:noProof/>
            <w:rtl/>
          </w:rPr>
          <w:t xml:space="preserve"> برا</w:t>
        </w:r>
        <w:r w:rsidR="0008618D" w:rsidRPr="00941714">
          <w:rPr>
            <w:rStyle w:val="Hyperlink"/>
            <w:rFonts w:hint="cs"/>
            <w:noProof/>
            <w:rtl/>
          </w:rPr>
          <w:t>ی</w:t>
        </w:r>
        <w:r w:rsidR="0008618D" w:rsidRPr="00941714">
          <w:rPr>
            <w:rStyle w:val="Hyperlink"/>
            <w:noProof/>
            <w:rtl/>
          </w:rPr>
          <w:t xml:space="preserve"> اثبات اطلاق</w:t>
        </w:r>
        <w:r w:rsidR="0008618D">
          <w:rPr>
            <w:noProof/>
            <w:webHidden/>
            <w:rtl/>
          </w:rPr>
          <w:tab/>
        </w:r>
        <w:r w:rsidR="0008618D">
          <w:rPr>
            <w:rStyle w:val="Hyperlink"/>
            <w:noProof/>
            <w:rtl/>
          </w:rPr>
          <w:fldChar w:fldCharType="begin"/>
        </w:r>
        <w:r w:rsidR="0008618D">
          <w:rPr>
            <w:noProof/>
            <w:webHidden/>
            <w:rtl/>
          </w:rPr>
          <w:instrText xml:space="preserve"> </w:instrText>
        </w:r>
        <w:r w:rsidR="0008618D">
          <w:rPr>
            <w:noProof/>
            <w:webHidden/>
          </w:rPr>
          <w:instrText>PAGEREF</w:instrText>
        </w:r>
        <w:r w:rsidR="0008618D">
          <w:rPr>
            <w:noProof/>
            <w:webHidden/>
            <w:rtl/>
          </w:rPr>
          <w:instrText xml:space="preserve"> _</w:instrText>
        </w:r>
        <w:r w:rsidR="0008618D">
          <w:rPr>
            <w:noProof/>
            <w:webHidden/>
          </w:rPr>
          <w:instrText>Toc527985292 \h</w:instrText>
        </w:r>
        <w:r w:rsidR="0008618D">
          <w:rPr>
            <w:noProof/>
            <w:webHidden/>
            <w:rtl/>
          </w:rPr>
          <w:instrText xml:space="preserve"> </w:instrText>
        </w:r>
        <w:r w:rsidR="0008618D">
          <w:rPr>
            <w:rStyle w:val="Hyperlink"/>
            <w:noProof/>
            <w:rtl/>
          </w:rPr>
        </w:r>
        <w:r w:rsidR="0008618D">
          <w:rPr>
            <w:rStyle w:val="Hyperlink"/>
            <w:noProof/>
            <w:rtl/>
          </w:rPr>
          <w:fldChar w:fldCharType="separate"/>
        </w:r>
        <w:r w:rsidR="00621D6B">
          <w:rPr>
            <w:noProof/>
            <w:webHidden/>
            <w:rtl/>
          </w:rPr>
          <w:t>3</w:t>
        </w:r>
        <w:r w:rsidR="0008618D">
          <w:rPr>
            <w:rStyle w:val="Hyperlink"/>
            <w:noProof/>
            <w:rtl/>
          </w:rPr>
          <w:fldChar w:fldCharType="end"/>
        </w:r>
      </w:hyperlink>
    </w:p>
    <w:p w:rsidR="008F5B4D" w:rsidRDefault="0008618D" w:rsidP="000F0161">
      <w: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3B2736">
        <w:rPr>
          <w:rtl/>
        </w:rPr>
        <w:t>جمع عرف</w:t>
      </w:r>
      <w:r w:rsidR="003B2736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3B2736">
        <w:rPr>
          <w:rtl/>
        </w:rPr>
        <w:t>تعارض غ</w:t>
      </w:r>
      <w:r w:rsidR="003B2736">
        <w:rPr>
          <w:rFonts w:hint="cs"/>
          <w:rtl/>
        </w:rPr>
        <w:t>ی</w:t>
      </w:r>
      <w:r w:rsidR="003B2736">
        <w:rPr>
          <w:rFonts w:hint="eastAsia"/>
          <w:rtl/>
        </w:rPr>
        <w:t>ر</w:t>
      </w:r>
      <w:r w:rsidR="003B273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3B273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08618D" w:rsidRPr="009C66D5" w:rsidRDefault="0008618D" w:rsidP="0008618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08618D" w:rsidRPr="003A6148" w:rsidRDefault="0008618D" w:rsidP="0008618D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بحث جمع عرفی در چند جهت طرح شد ، جهت اول بررسی حقیقت جمع عرفی بود که اجملا گفتیم « قضاء عرف است به جمع میان دو دلیل ، به گونه ای که اگر این قضاوت نبود منافات دو دلیل مستقرّ می شد و حجیت هر یک از آن ها ناسازگار با حجیت دیگری است . » البته یکی از دو دلیل منشاء تصرّف در دیگری است هر چند که اجتماع آن ها ظرف این جمع است ؛ بر خلاف توفیق عرفی </w:t>
      </w:r>
      <w:r w:rsidR="001F530A">
        <w:rPr>
          <w:rFonts w:hint="cs"/>
          <w:rtl/>
        </w:rPr>
        <w:t xml:space="preserve">که اجتماع منشا تصرف بود </w:t>
      </w:r>
      <w:r>
        <w:rPr>
          <w:rFonts w:hint="cs"/>
          <w:rtl/>
        </w:rPr>
        <w:t>. گام دوم پرسش از ملاک تقدّم یک دلیل بر دلیل دیگر با استناد ب</w:t>
      </w:r>
      <w:r w:rsidR="00C16A91">
        <w:rPr>
          <w:rFonts w:hint="cs"/>
          <w:rtl/>
        </w:rPr>
        <w:t>ه جمع عرفی بود ؟ پاسخ داده شد</w:t>
      </w:r>
      <w:r w:rsidR="004566C4">
        <w:rPr>
          <w:rFonts w:hint="cs"/>
          <w:rtl/>
        </w:rPr>
        <w:t xml:space="preserve"> ملاک</w:t>
      </w:r>
      <w:r>
        <w:rPr>
          <w:rFonts w:hint="cs"/>
          <w:rtl/>
        </w:rPr>
        <w:t xml:space="preserve"> قرینیتی است که عرف به آن قضاوت می کند ، نه قرینیت شخصیه و به دلالت لفظی . </w:t>
      </w:r>
    </w:p>
    <w:p w:rsidR="0008618D" w:rsidRPr="001A27D7" w:rsidRDefault="0008618D" w:rsidP="0008618D">
      <w:pPr>
        <w:pStyle w:val="Heading1"/>
        <w:rPr>
          <w:rtl/>
        </w:rPr>
      </w:pPr>
      <w:bookmarkStart w:id="3" w:name="_Toc527980208"/>
      <w:bookmarkStart w:id="4" w:name="_Toc527984668"/>
      <w:bookmarkStart w:id="5" w:name="_Toc527984690"/>
      <w:bookmarkStart w:id="6" w:name="_Toc527985290"/>
      <w:r>
        <w:rPr>
          <w:rFonts w:hint="cs"/>
          <w:rtl/>
        </w:rPr>
        <w:t>ظرف اثر گذاری جمع عرفی : مراد جدّی</w:t>
      </w:r>
      <w:bookmarkEnd w:id="3"/>
      <w:bookmarkEnd w:id="4"/>
      <w:bookmarkEnd w:id="5"/>
      <w:bookmarkEnd w:id="6"/>
      <w:r>
        <w:rPr>
          <w:rFonts w:hint="cs"/>
          <w:rtl/>
        </w:rPr>
        <w:t xml:space="preserve"> </w:t>
      </w:r>
    </w:p>
    <w:p w:rsidR="0008618D" w:rsidRDefault="007C3392" w:rsidP="0008618D">
      <w:pPr>
        <w:jc w:val="both"/>
        <w:rPr>
          <w:rtl/>
        </w:rPr>
      </w:pPr>
      <w:r>
        <w:rPr>
          <w:rFonts w:hint="cs"/>
          <w:rtl/>
        </w:rPr>
        <w:t xml:space="preserve">   مرحله سوم بررسی این مطلب است</w:t>
      </w:r>
      <w:r w:rsidR="0008618D">
        <w:rPr>
          <w:rFonts w:hint="cs"/>
          <w:rtl/>
        </w:rPr>
        <w:t xml:space="preserve"> که جمع عرفی در محدوده ی کدام یک از دلالات رخ می دهد و یک دلیل کدام م</w:t>
      </w:r>
      <w:r w:rsidR="00CF36BA">
        <w:rPr>
          <w:rFonts w:hint="cs"/>
          <w:rtl/>
        </w:rPr>
        <w:t>دلول دلیل دیگر را متاثّر می کند</w:t>
      </w:r>
      <w:r w:rsidR="0008618D">
        <w:rPr>
          <w:rFonts w:hint="cs"/>
          <w:rtl/>
        </w:rPr>
        <w:t>؟ مقدمه ی جواب این سوال بیان</w:t>
      </w:r>
      <w:r w:rsidR="00380AD9">
        <w:rPr>
          <w:rFonts w:hint="cs"/>
          <w:rtl/>
        </w:rPr>
        <w:t xml:space="preserve"> مختصر انواع دلالات بود و از ا</w:t>
      </w:r>
      <w:r w:rsidR="0008618D">
        <w:rPr>
          <w:rFonts w:hint="cs"/>
          <w:rtl/>
        </w:rPr>
        <w:t>ین رو آن بحث را مط</w:t>
      </w:r>
      <w:r w:rsidR="00FA0265">
        <w:rPr>
          <w:rFonts w:hint="cs"/>
          <w:rtl/>
        </w:rPr>
        <w:t>ر</w:t>
      </w:r>
      <w:r w:rsidR="00D5100C">
        <w:rPr>
          <w:rFonts w:hint="cs"/>
          <w:rtl/>
        </w:rPr>
        <w:t>ح کردیم . اما پاسخ نهایی</w:t>
      </w:r>
      <w:r w:rsidR="00084F46">
        <w:rPr>
          <w:rFonts w:hint="cs"/>
          <w:rtl/>
        </w:rPr>
        <w:t xml:space="preserve"> </w:t>
      </w:r>
      <w:r w:rsidR="0008618D">
        <w:rPr>
          <w:rFonts w:hint="cs"/>
          <w:rtl/>
        </w:rPr>
        <w:t>:</w:t>
      </w:r>
    </w:p>
    <w:p w:rsidR="0008618D" w:rsidRDefault="0008618D" w:rsidP="00A13FB2">
      <w:pPr>
        <w:jc w:val="both"/>
        <w:rPr>
          <w:rtl/>
        </w:rPr>
      </w:pPr>
      <w:r>
        <w:rPr>
          <w:rFonts w:hint="cs"/>
          <w:rtl/>
        </w:rPr>
        <w:t xml:space="preserve">   در جمع عرفی ، یک دلیل </w:t>
      </w:r>
      <w:r w:rsidR="00CF36BA">
        <w:rPr>
          <w:rFonts w:hint="cs"/>
          <w:rtl/>
        </w:rPr>
        <w:t xml:space="preserve">نه به نحو کشف و نه به نحو انقلاب </w:t>
      </w:r>
      <w:r>
        <w:rPr>
          <w:rFonts w:hint="cs"/>
          <w:rtl/>
        </w:rPr>
        <w:t>تحدید مراد استعمالی یا مدلول تف</w:t>
      </w:r>
      <w:r w:rsidR="00CF36BA">
        <w:rPr>
          <w:rFonts w:hint="cs"/>
          <w:rtl/>
        </w:rPr>
        <w:t>هیمی دلیل دیگر را بر عهده ندارد</w:t>
      </w:r>
      <w:r w:rsidR="00A76BFB">
        <w:rPr>
          <w:rFonts w:hint="cs"/>
          <w:rtl/>
        </w:rPr>
        <w:t xml:space="preserve"> ، بلکه تنها تعیین سعه</w:t>
      </w:r>
      <w:r>
        <w:rPr>
          <w:rFonts w:hint="cs"/>
          <w:rtl/>
        </w:rPr>
        <w:t xml:space="preserve"> حکم جدّی و واقعی را انجام می دهد و در حجیّت دلیل دیگر تصرّف می کند .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بله اگر قرینه متصله باشد منشا برای شکل گیری ظهور و موثّر در اراده استعمالی واقع می شود به گونه ای که ظهوری بیش از مقتضای قرینه متصله برای کلام حاصل نمی شود . ا</w:t>
      </w:r>
      <w:r w:rsidR="009405FA">
        <w:rPr>
          <w:rFonts w:hint="cs"/>
          <w:rtl/>
        </w:rPr>
        <w:t xml:space="preserve">ما </w:t>
      </w:r>
      <w:r>
        <w:rPr>
          <w:rFonts w:hint="cs"/>
          <w:rtl/>
        </w:rPr>
        <w:t xml:space="preserve">قرینه منفصل </w:t>
      </w:r>
      <w:r w:rsidR="009405FA">
        <w:rPr>
          <w:rFonts w:hint="cs"/>
          <w:rtl/>
        </w:rPr>
        <w:t xml:space="preserve">اصلا </w:t>
      </w:r>
      <w:r>
        <w:rPr>
          <w:rFonts w:hint="cs"/>
          <w:rtl/>
        </w:rPr>
        <w:t>نمی تواند ظهور دلیل را مُحَوَّل یا منقلب کند ؛ زیرا مطابق قوانین متعارف محاورات ، استعمال لفظ منوط به تحمّل معنایی است که قابل فهم از لفظ باشد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ولو به نحو اجمال 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، حتی اگر مخاطب </w:t>
      </w:r>
      <w:r>
        <w:rPr>
          <w:rFonts w:hint="cs"/>
          <w:rtl/>
        </w:rPr>
        <w:lastRenderedPageBreak/>
        <w:t xml:space="preserve">نفهمد 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. بنابراین استعمال لفظ در معنایی که غیر قابل گنجایش در آن لفظ است </w:t>
      </w:r>
      <w:r>
        <w:rPr>
          <w:rStyle w:val="FootnoteReference"/>
          <w:rtl/>
        </w:rPr>
        <w:footnoteReference w:id="5"/>
      </w:r>
      <w:r>
        <w:rPr>
          <w:rFonts w:hint="cs"/>
          <w:rtl/>
        </w:rPr>
        <w:t>، عرفا غلط می باشد ؛ مانند استعمال لفظ عامّ در خاصّ بدون قرینه متصله .</w:t>
      </w:r>
      <w:r>
        <w:rPr>
          <w:rStyle w:val="FootnoteReference"/>
          <w:rtl/>
        </w:rPr>
        <w:footnoteReference w:id="6"/>
      </w:r>
      <w:r>
        <w:rPr>
          <w:rFonts w:hint="cs"/>
          <w:rtl/>
        </w:rPr>
        <w:t xml:space="preserve"> صرف اراد</w:t>
      </w:r>
      <w:r w:rsidR="00C61569">
        <w:rPr>
          <w:rFonts w:hint="cs"/>
          <w:rtl/>
        </w:rPr>
        <w:t>ه شخصی متکلّم هم نمی تواند چنین استعمالی</w:t>
      </w:r>
      <w:r w:rsidR="00E25F16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به نظر عرف غیر معقول است </w:t>
      </w:r>
      <w:r w:rsidR="00A13FB2">
        <w:rPr>
          <w:rFonts w:hint="cs"/>
          <w:rtl/>
        </w:rPr>
        <w:t>را تصحیح کند</w:t>
      </w:r>
      <w:r w:rsidR="00C61569">
        <w:rPr>
          <w:rFonts w:hint="cs"/>
          <w:rtl/>
        </w:rPr>
        <w:t xml:space="preserve"> </w:t>
      </w:r>
      <w:r>
        <w:rPr>
          <w:rFonts w:hint="cs"/>
          <w:rtl/>
        </w:rPr>
        <w:t xml:space="preserve">. </w:t>
      </w:r>
      <w:r>
        <w:rPr>
          <w:rStyle w:val="FootnoteReference"/>
          <w:rtl/>
        </w:rPr>
        <w:footnoteReference w:id="7"/>
      </w:r>
    </w:p>
    <w:p w:rsidR="0008618D" w:rsidRDefault="0008618D" w:rsidP="00F21FB2">
      <w:pPr>
        <w:jc w:val="both"/>
        <w:rPr>
          <w:rtl/>
        </w:rPr>
      </w:pPr>
      <w:r>
        <w:rPr>
          <w:rFonts w:hint="cs"/>
          <w:rtl/>
        </w:rPr>
        <w:t xml:space="preserve">   یکی دیگر از مصادیق عدم رعایت این قانون</w:t>
      </w:r>
      <w:r w:rsidR="007D7AB7">
        <w:rPr>
          <w:rFonts w:hint="cs"/>
          <w:rtl/>
        </w:rPr>
        <w:t xml:space="preserve"> و خروج از چارچوب محاورات عرفی</w:t>
      </w:r>
      <w:r>
        <w:rPr>
          <w:rFonts w:hint="cs"/>
          <w:rtl/>
        </w:rPr>
        <w:t xml:space="preserve"> </w:t>
      </w:r>
      <w:r w:rsidR="006B2D7A">
        <w:rPr>
          <w:rFonts w:hint="cs"/>
          <w:rtl/>
        </w:rPr>
        <w:t xml:space="preserve">، </w:t>
      </w:r>
      <w:r>
        <w:rPr>
          <w:rFonts w:hint="cs"/>
          <w:rtl/>
        </w:rPr>
        <w:t>« موارد توریه » است</w:t>
      </w:r>
      <w:r w:rsidR="00F21FB2">
        <w:rPr>
          <w:rFonts w:hint="cs"/>
          <w:rtl/>
        </w:rPr>
        <w:t xml:space="preserve"> </w:t>
      </w:r>
      <w:r w:rsidR="006E20FE">
        <w:rPr>
          <w:rFonts w:hint="cs"/>
          <w:rtl/>
        </w:rPr>
        <w:t>. عرف حتی اگر توریه</w:t>
      </w:r>
      <w:r w:rsidR="008900FF">
        <w:rPr>
          <w:rFonts w:hint="cs"/>
          <w:rtl/>
        </w:rPr>
        <w:t xml:space="preserve"> را صحیح هم بدا</w:t>
      </w:r>
      <w:r w:rsidR="0015115E">
        <w:rPr>
          <w:rFonts w:hint="cs"/>
          <w:rtl/>
        </w:rPr>
        <w:t>ند ، معتقد به</w:t>
      </w:r>
      <w:r>
        <w:rPr>
          <w:rFonts w:hint="cs"/>
          <w:rtl/>
        </w:rPr>
        <w:t xml:space="preserve"> کذب</w:t>
      </w:r>
      <w:r w:rsidR="0015115E">
        <w:rPr>
          <w:rFonts w:hint="cs"/>
          <w:rtl/>
        </w:rPr>
        <w:t>یت آن</w:t>
      </w:r>
      <w:r w:rsidR="00564131">
        <w:rPr>
          <w:rFonts w:hint="cs"/>
          <w:rtl/>
        </w:rPr>
        <w:t xml:space="preserve"> است و به همین دلیل گفته ش</w:t>
      </w:r>
      <w:r>
        <w:rPr>
          <w:rFonts w:hint="cs"/>
          <w:rtl/>
        </w:rPr>
        <w:t>د</w:t>
      </w:r>
      <w:r w:rsidR="00564131">
        <w:rPr>
          <w:rFonts w:hint="cs"/>
          <w:rtl/>
        </w:rPr>
        <w:t>ه</w:t>
      </w:r>
      <w:r w:rsidR="00921A17">
        <w:rPr>
          <w:rFonts w:hint="cs"/>
          <w:rtl/>
        </w:rPr>
        <w:t xml:space="preserve"> :</w:t>
      </w:r>
      <w:r>
        <w:rPr>
          <w:rFonts w:hint="cs"/>
          <w:rtl/>
        </w:rPr>
        <w:t xml:space="preserve"> « توریه کذب مشروع است » . بالاتر از آن حتی تمام عموماتی که در شریعت مواجه با تخصیص منفصل می شوند ، کذب تشریعی اند</w:t>
      </w:r>
      <w:r>
        <w:rPr>
          <w:rStyle w:val="FootnoteReference"/>
          <w:rtl/>
        </w:rPr>
        <w:footnoteReference w:id="8"/>
      </w:r>
      <w:r>
        <w:rPr>
          <w:rFonts w:hint="cs"/>
          <w:rtl/>
        </w:rPr>
        <w:t xml:space="preserve"> ؛ زیرا مطابق مبانی بزرگانی مانند مرحوم آخوند مدالیل استعمالی عمومات همان عموم است که به داعی جعل قانون بیان شده اند و بعد از ورود خاص کشف می کنیم که مطابق با لوح نبوده اند و تشریعی نفس الأمری مطابق با آن ها وجود ندارد .</w:t>
      </w:r>
    </w:p>
    <w:p w:rsidR="0008618D" w:rsidRDefault="0008618D" w:rsidP="0008618D">
      <w:pPr>
        <w:pStyle w:val="Heading1"/>
        <w:rPr>
          <w:rtl/>
        </w:rPr>
      </w:pPr>
      <w:bookmarkStart w:id="7" w:name="_Toc527984669"/>
      <w:bookmarkStart w:id="8" w:name="_Toc527984691"/>
      <w:bookmarkStart w:id="9" w:name="_Toc527985291"/>
      <w:r>
        <w:rPr>
          <w:rFonts w:hint="cs"/>
          <w:rtl/>
        </w:rPr>
        <w:t>تطبیق قانون یاد شده بر موارد اطلاق</w:t>
      </w:r>
      <w:bookmarkEnd w:id="7"/>
      <w:bookmarkEnd w:id="8"/>
      <w:bookmarkEnd w:id="9"/>
      <w:r>
        <w:rPr>
          <w:rFonts w:hint="cs"/>
          <w:rtl/>
        </w:rPr>
        <w:t xml:space="preserve"> </w:t>
      </w:r>
    </w:p>
    <w:p w:rsidR="003C3458" w:rsidRDefault="009405FA" w:rsidP="0008618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94004">
        <w:rPr>
          <w:rFonts w:hint="cs"/>
          <w:rtl/>
        </w:rPr>
        <w:t xml:space="preserve">اما </w:t>
      </w:r>
      <w:r w:rsidR="0008618D">
        <w:rPr>
          <w:rFonts w:hint="cs"/>
          <w:rtl/>
        </w:rPr>
        <w:t xml:space="preserve">یک نکته </w:t>
      </w:r>
      <w:r w:rsidR="00394F0D">
        <w:rPr>
          <w:rFonts w:hint="cs"/>
          <w:rtl/>
        </w:rPr>
        <w:t xml:space="preserve">را باید </w:t>
      </w:r>
      <w:r w:rsidR="00255FE2">
        <w:rPr>
          <w:rFonts w:hint="cs"/>
          <w:rtl/>
        </w:rPr>
        <w:t>متذکر شد :</w:t>
      </w:r>
      <w:r>
        <w:rPr>
          <w:rFonts w:hint="cs"/>
          <w:rtl/>
        </w:rPr>
        <w:t xml:space="preserve"> </w:t>
      </w:r>
      <w:r w:rsidR="0008618D">
        <w:rPr>
          <w:rFonts w:hint="cs"/>
          <w:rtl/>
        </w:rPr>
        <w:t>صحت استعمال پاره ای از موارد که قصد متکلّم به اجما</w:t>
      </w:r>
      <w:r>
        <w:rPr>
          <w:rFonts w:hint="cs"/>
          <w:rtl/>
        </w:rPr>
        <w:t>ل گویی تعلّق گرفته ،</w:t>
      </w:r>
      <w:r w:rsidR="0008618D">
        <w:rPr>
          <w:rFonts w:hint="cs"/>
          <w:rtl/>
        </w:rPr>
        <w:t xml:space="preserve"> منافاتی با آن مقدمه حکمت </w:t>
      </w:r>
      <w:r w:rsidR="008F7DA7">
        <w:rPr>
          <w:rFonts w:hint="cs"/>
          <w:rtl/>
        </w:rPr>
        <w:t>که می گوید</w:t>
      </w:r>
      <w:r w:rsidR="0008618D">
        <w:rPr>
          <w:rFonts w:hint="cs"/>
          <w:rtl/>
        </w:rPr>
        <w:t xml:space="preserve"> اصل در مقام بیان بودن متکلّم و « عدم اجمال » اس</w:t>
      </w:r>
      <w:r w:rsidR="00B44660">
        <w:rPr>
          <w:rFonts w:hint="cs"/>
          <w:rtl/>
        </w:rPr>
        <w:t>ت ندارد ؛ زیرا معنای این مقدمه چنی</w:t>
      </w:r>
      <w:r w:rsidR="0008618D">
        <w:rPr>
          <w:rFonts w:hint="cs"/>
          <w:rtl/>
        </w:rPr>
        <w:t xml:space="preserve">ن نیست که حتی در پاره ای اوقات هم متکلّم نمی تواند در صدد اجمال </w:t>
      </w:r>
      <w:r w:rsidR="00AE3A9B">
        <w:rPr>
          <w:rFonts w:hint="cs"/>
          <w:rtl/>
        </w:rPr>
        <w:t xml:space="preserve">گویی </w:t>
      </w:r>
      <w:r w:rsidR="0008618D">
        <w:rPr>
          <w:rFonts w:hint="cs"/>
          <w:rtl/>
        </w:rPr>
        <w:t xml:space="preserve">بر آید ! </w:t>
      </w:r>
      <w:r w:rsidR="00E233DB">
        <w:rPr>
          <w:rFonts w:hint="cs"/>
          <w:rtl/>
        </w:rPr>
        <w:t>بیان مجمل</w:t>
      </w:r>
      <w:r w:rsidR="0008618D">
        <w:rPr>
          <w:rFonts w:hint="cs"/>
          <w:rtl/>
        </w:rPr>
        <w:t xml:space="preserve"> یکی از اغراض عقلایی است و کاملا صحیح می باشد ، حتی می توان به آن تصریح هم کرد . بلکه منظور از این مقدمه آن است که « اگر لفظی قابلیت گویایی معنایی را دارد ؛ غلط است که مقام استعمال آن لفظ را بدون وجود قرینه ای ، مقام اجمال نسبت به آن معنا بدانیم . » </w:t>
      </w:r>
    </w:p>
    <w:p w:rsidR="0008618D" w:rsidRDefault="003C3458" w:rsidP="0008618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8618D">
        <w:rPr>
          <w:rFonts w:hint="cs"/>
          <w:rtl/>
        </w:rPr>
        <w:t>پس اگر متکلّم لفظی که قابلیت افهام معنایی را دارد ، در مقام اجمال به کار بَرد ؛ مرتکب خلاف اصل شده است زیرا اصل آن است که کلام صادره از شخص وافی به تمام مراد او باشد نه این که بخشی از آن محو</w:t>
      </w:r>
      <w:r w:rsidR="00113537">
        <w:rPr>
          <w:rFonts w:hint="cs"/>
          <w:rtl/>
        </w:rPr>
        <w:t>ّ</w:t>
      </w:r>
      <w:r w:rsidR="0008618D">
        <w:rPr>
          <w:rFonts w:hint="cs"/>
          <w:rtl/>
        </w:rPr>
        <w:t>ل ب</w:t>
      </w:r>
      <w:r w:rsidR="00BF315A">
        <w:rPr>
          <w:rFonts w:hint="cs"/>
          <w:rtl/>
        </w:rPr>
        <w:t>ه بیان متأخّری شده باشد . با توجّه</w:t>
      </w:r>
      <w:r w:rsidR="0008618D">
        <w:rPr>
          <w:rFonts w:hint="cs"/>
          <w:rtl/>
        </w:rPr>
        <w:t xml:space="preserve"> به همین مطلب گفته شده اجمال خلاف اصل و اطلاق مطابق با آن است ، و همچنین مرحوم آخوند فرموده اند « الفاظ بیش از قدر متیقّن موجود در مقام تخاطب را ، در فرض ثبوت ، ثابت نمی کنند »</w:t>
      </w:r>
      <w:r w:rsidR="0008618D">
        <w:rPr>
          <w:rStyle w:val="FootnoteReference"/>
          <w:rtl/>
        </w:rPr>
        <w:footnoteReference w:id="9"/>
      </w:r>
      <w:r w:rsidR="0008618D">
        <w:rPr>
          <w:rFonts w:hint="cs"/>
          <w:rtl/>
        </w:rPr>
        <w:t xml:space="preserve"> ؛ زیرا اگر کلام را حمل بر قدر متیقّن کردیم </w:t>
      </w:r>
      <w:r w:rsidR="0008618D">
        <w:rPr>
          <w:rFonts w:hint="cs"/>
          <w:rtl/>
        </w:rPr>
        <w:lastRenderedPageBreak/>
        <w:t xml:space="preserve">اجمالی در کلام شکل نمی گیرد چون </w:t>
      </w:r>
      <w:r w:rsidR="0004251E">
        <w:rPr>
          <w:rFonts w:hint="cs"/>
          <w:rtl/>
        </w:rPr>
        <w:t xml:space="preserve">سه احتمال </w:t>
      </w:r>
      <w:r w:rsidR="00D77F35">
        <w:rPr>
          <w:rStyle w:val="FootnoteReference"/>
          <w:rtl/>
        </w:rPr>
        <w:footnoteReference w:id="10"/>
      </w:r>
      <w:r w:rsidR="0004251E">
        <w:rPr>
          <w:rFonts w:hint="cs"/>
          <w:rtl/>
        </w:rPr>
        <w:t>در مفاد کلام وجود دارد</w:t>
      </w:r>
      <w:r w:rsidR="0008618D">
        <w:rPr>
          <w:rFonts w:hint="cs"/>
          <w:rtl/>
        </w:rPr>
        <w:t xml:space="preserve"> .</w:t>
      </w:r>
      <w:r w:rsidR="0008618D">
        <w:rPr>
          <w:rStyle w:val="FootnoteReference"/>
          <w:rtl/>
        </w:rPr>
        <w:footnoteReference w:id="11"/>
      </w:r>
      <w:r w:rsidR="0008618D">
        <w:rPr>
          <w:rFonts w:hint="cs"/>
          <w:rtl/>
        </w:rPr>
        <w:t xml:space="preserve"> بر خلاف صورت عدم چنین قدر متیقّنی که کلام </w:t>
      </w:r>
      <w:r w:rsidR="00F90BAE">
        <w:rPr>
          <w:rFonts w:hint="cs"/>
          <w:rtl/>
        </w:rPr>
        <w:t xml:space="preserve">تنها </w:t>
      </w:r>
      <w:r w:rsidR="0008618D">
        <w:rPr>
          <w:rFonts w:hint="cs"/>
          <w:rtl/>
        </w:rPr>
        <w:t xml:space="preserve">مردّد میان دو طرف </w:t>
      </w:r>
      <w:r w:rsidR="00F90BAE">
        <w:rPr>
          <w:rFonts w:hint="cs"/>
          <w:rtl/>
        </w:rPr>
        <w:t xml:space="preserve">( </w:t>
      </w:r>
      <w:r w:rsidR="0008618D">
        <w:rPr>
          <w:rFonts w:hint="cs"/>
          <w:rtl/>
        </w:rPr>
        <w:t xml:space="preserve">اجمال و اطلاق </w:t>
      </w:r>
      <w:r w:rsidR="00F90BAE">
        <w:rPr>
          <w:rFonts w:hint="cs"/>
          <w:rtl/>
        </w:rPr>
        <w:t xml:space="preserve">) </w:t>
      </w:r>
      <w:r w:rsidR="0008618D">
        <w:rPr>
          <w:rFonts w:hint="cs"/>
          <w:rtl/>
        </w:rPr>
        <w:t>است و به دلیل خلاف اص</w:t>
      </w:r>
      <w:r w:rsidR="00EA2342">
        <w:rPr>
          <w:rFonts w:hint="cs"/>
          <w:rtl/>
        </w:rPr>
        <w:t xml:space="preserve">ل بودن اجمال ، اطلاق متعیّن می شود </w:t>
      </w:r>
      <w:r w:rsidR="0008618D">
        <w:rPr>
          <w:rFonts w:hint="cs"/>
          <w:rtl/>
        </w:rPr>
        <w:t xml:space="preserve">. </w:t>
      </w:r>
    </w:p>
    <w:p w:rsidR="0008618D" w:rsidRDefault="0008618D" w:rsidP="0008618D">
      <w:pPr>
        <w:pStyle w:val="Heading1"/>
        <w:rPr>
          <w:rtl/>
        </w:rPr>
      </w:pPr>
      <w:bookmarkStart w:id="10" w:name="_Toc527984670"/>
      <w:bookmarkStart w:id="11" w:name="_Toc527984692"/>
      <w:bookmarkStart w:id="12" w:name="_Toc527985292"/>
      <w:r>
        <w:rPr>
          <w:rFonts w:hint="cs"/>
          <w:rtl/>
        </w:rPr>
        <w:t>اشتراط عدم قرینه برای اثبات اطلاق</w:t>
      </w:r>
      <w:bookmarkEnd w:id="10"/>
      <w:bookmarkEnd w:id="11"/>
      <w:bookmarkEnd w:id="12"/>
    </w:p>
    <w:p w:rsidR="009F45B0" w:rsidRDefault="0008618D" w:rsidP="0008618D">
      <w:pPr>
        <w:jc w:val="both"/>
        <w:rPr>
          <w:rtl/>
        </w:rPr>
      </w:pPr>
      <w:r>
        <w:rPr>
          <w:rFonts w:hint="cs"/>
          <w:rtl/>
        </w:rPr>
        <w:t xml:space="preserve">   به مناسبت این را هم بگوییم مراد از مقدمه ی دیگر حکمت یعنی « عدم نصب قرینه توسط متکلّم » آن نیست که مولا به صورت منفصل و تا ابد ذکر قید نکند ؛ بلکه باید چنین قرینه ای در مقام تخاطب مفقود باشد .</w:t>
      </w:r>
      <w:r>
        <w:rPr>
          <w:rStyle w:val="FootnoteReference"/>
          <w:rtl/>
        </w:rPr>
        <w:footnoteReference w:id="12"/>
      </w:r>
      <w:r>
        <w:rPr>
          <w:rFonts w:hint="cs"/>
          <w:rtl/>
        </w:rPr>
        <w:t xml:space="preserve"> ظهور کلام در اطلاق منوط به عدم </w:t>
      </w:r>
      <w:r w:rsidR="00460C56">
        <w:rPr>
          <w:rFonts w:hint="cs"/>
          <w:rtl/>
        </w:rPr>
        <w:t xml:space="preserve">قرینه متصله است و تنها حجیت آن اطلاق ، مشروط به عدم قرینه منفصله </w:t>
      </w:r>
      <w:r>
        <w:rPr>
          <w:rFonts w:hint="cs"/>
          <w:rtl/>
        </w:rPr>
        <w:t xml:space="preserve">هست </w:t>
      </w:r>
      <w:r>
        <w:rPr>
          <w:rStyle w:val="FootnoteReference"/>
          <w:rtl/>
        </w:rPr>
        <w:footnoteReference w:id="13"/>
      </w:r>
      <w:r>
        <w:rPr>
          <w:rFonts w:hint="cs"/>
          <w:rtl/>
        </w:rPr>
        <w:t xml:space="preserve"> . </w:t>
      </w:r>
    </w:p>
    <w:p w:rsidR="001A1EA5" w:rsidRPr="006162A2" w:rsidRDefault="009F45B0" w:rsidP="0008618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8618D">
        <w:rPr>
          <w:rFonts w:hint="cs"/>
          <w:rtl/>
        </w:rPr>
        <w:t xml:space="preserve">اما بنا به گزارش مرحوم صدر ، مرحوم خویی در مورد اطلاق ظهوری تدرّجی را تصویر کرده اند </w:t>
      </w:r>
      <w:r>
        <w:rPr>
          <w:rFonts w:hint="cs"/>
          <w:rtl/>
        </w:rPr>
        <w:t xml:space="preserve">. </w:t>
      </w:r>
      <w:r w:rsidR="004B3DE8">
        <w:rPr>
          <w:rFonts w:hint="cs"/>
          <w:rtl/>
        </w:rPr>
        <w:t xml:space="preserve">ایشان فرموده اند </w:t>
      </w:r>
      <w:bookmarkStart w:id="13" w:name="_GoBack"/>
      <w:bookmarkEnd w:id="13"/>
      <w:r w:rsidR="009452E4">
        <w:rPr>
          <w:rFonts w:hint="cs"/>
          <w:rtl/>
        </w:rPr>
        <w:t xml:space="preserve">شکل گیری اطلاق مشروط </w:t>
      </w:r>
      <w:r w:rsidR="0008618D">
        <w:rPr>
          <w:rFonts w:hint="cs"/>
          <w:rtl/>
        </w:rPr>
        <w:t xml:space="preserve">به عدم مطلق قرینه </w:t>
      </w:r>
      <w:r w:rsidR="009452E4">
        <w:rPr>
          <w:rFonts w:hint="cs"/>
          <w:rtl/>
        </w:rPr>
        <w:t xml:space="preserve">است </w:t>
      </w:r>
      <w:r w:rsidR="0008618D">
        <w:rPr>
          <w:rFonts w:hint="cs"/>
          <w:rtl/>
        </w:rPr>
        <w:t xml:space="preserve">ولی به صورت تدرجّی ؛ یعنی متکلّم تا آن زمانی که قرینه منفصله را بیان نکند ، ظهور کلام در اطلاق ثابت است اما به محض ورود این قرینه نفس ظهور منتفی می شود . یکی از نتایج چنین مبنایی که در عبارات مرحوم نایینی هم ذکر شده ، آن است که درتعارض میان عام اصولی و مطلق ، عامّ مقدّم است . </w:t>
      </w:r>
      <w:r w:rsidR="0008618D">
        <w:rPr>
          <w:rStyle w:val="FootnoteReference"/>
          <w:rtl/>
        </w:rPr>
        <w:footnoteReference w:id="14"/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FA1" w:rsidRDefault="006E7FA1" w:rsidP="008B750B">
      <w:pPr>
        <w:spacing w:line="240" w:lineRule="auto"/>
      </w:pPr>
      <w:r>
        <w:separator/>
      </w:r>
    </w:p>
  </w:endnote>
  <w:endnote w:type="continuationSeparator" w:id="0">
    <w:p w:rsidR="006E7FA1" w:rsidRDefault="006E7FA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B3DE8" w:rsidRPr="004B3DE8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B273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U1mq1_13970730-019_ab1_mfeb.ir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FA1" w:rsidRDefault="006E7FA1" w:rsidP="008B750B">
      <w:pPr>
        <w:spacing w:line="240" w:lineRule="auto"/>
      </w:pPr>
      <w:r>
        <w:separator/>
      </w:r>
    </w:p>
  </w:footnote>
  <w:footnote w:type="continuationSeparator" w:id="0">
    <w:p w:rsidR="006E7FA1" w:rsidRDefault="006E7FA1" w:rsidP="008B750B">
      <w:pPr>
        <w:spacing w:line="240" w:lineRule="auto"/>
      </w:pPr>
      <w:r>
        <w:continuationSeparator/>
      </w:r>
    </w:p>
  </w:footnote>
  <w:footnote w:id="1">
    <w:p w:rsidR="0008618D" w:rsidRPr="00943365" w:rsidRDefault="0008618D" w:rsidP="0008618D">
      <w:pPr>
        <w:pStyle w:val="FootnoteText"/>
        <w:jc w:val="both"/>
        <w:rPr>
          <w:rtl/>
        </w:rPr>
      </w:pPr>
      <w:r w:rsidRPr="00943365">
        <w:rPr>
          <w:rStyle w:val="FootnoteReference"/>
          <w:vertAlign w:val="baseline"/>
        </w:rPr>
        <w:footnoteRef/>
      </w:r>
      <w:r w:rsidRPr="00943365">
        <w:rPr>
          <w:rFonts w:hint="cs"/>
          <w:rtl/>
        </w:rPr>
        <w:t xml:space="preserve">. تفاوتی </w:t>
      </w:r>
      <w:r>
        <w:rPr>
          <w:rFonts w:hint="cs"/>
          <w:rtl/>
        </w:rPr>
        <w:t xml:space="preserve">هم ندارد ظهور دلیلی که تصرّف در آن واقع می شود ، </w:t>
      </w:r>
      <w:r w:rsidRPr="00943365">
        <w:rPr>
          <w:rFonts w:hint="cs"/>
          <w:rtl/>
        </w:rPr>
        <w:t>وضعی باشد یا اطلاقی .</w:t>
      </w:r>
    </w:p>
  </w:footnote>
  <w:footnote w:id="2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یعنی معنایی که در صورت تصریح متکلم به اراده ی آن ، باعث مواخذه او نشود ؛ و این معنا تنها معنای وضعی است ، البته وضع با دایره ای گسترده که مجاز را هم در بر گیرد زیرا که مجاز هم وضع دارد حال وضع به معنای طبعی و یا وضع به معنای لغوی . نتیجه آن که مراد استعمالی محدود است به حدود وضع و لغت .</w:t>
      </w:r>
    </w:p>
  </w:footnote>
  <w:footnote w:id="3">
    <w:p w:rsidR="0008618D" w:rsidRPr="00924B9D" w:rsidRDefault="0008618D" w:rsidP="0008618D">
      <w:pPr>
        <w:pStyle w:val="FootnoteText"/>
        <w:jc w:val="both"/>
        <w:rPr>
          <w:rtl/>
        </w:rPr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مانند این که شخص لفظ مشترکی را به کار گیرد ؛ در این حال وضع کلمه به دلیل اشتراک ، قاصر از تعیین و تفصیل است . به هر حال اجمال گاهی مقصود از استعمال است و اراده ی آن حکیمانه است .</w:t>
      </w:r>
    </w:p>
  </w:footnote>
  <w:footnote w:id="4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مانند تعریضات</w:t>
      </w:r>
    </w:p>
  </w:footnote>
  <w:footnote w:id="5">
    <w:p w:rsidR="0008618D" w:rsidRPr="00924B9D" w:rsidRDefault="0008618D" w:rsidP="0008618D">
      <w:pPr>
        <w:pStyle w:val="FootnoteText"/>
        <w:jc w:val="both"/>
        <w:rPr>
          <w:rtl/>
        </w:rPr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یعنی از حدود معنای وضعی آن لفظ خارج است .</w:t>
      </w:r>
    </w:p>
  </w:footnote>
  <w:footnote w:id="6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 xml:space="preserve">. چنین ادعایی موجِب و مُلزمی هم ندارد ؛ زیرا تنها دالّ بر اراده خاص ، دلیل منفصل است که با تصرّف در مراد جدّی هم سازگار می باشد و بیش از این اقتضاء ندارد . </w:t>
      </w:r>
    </w:p>
  </w:footnote>
  <w:footnote w:id="7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با توجه به همین مطلب ، می گوییم حکومت هم در مراد جدّی رخ می دهد و بازگرداندن آن به مراد استعمالی ناصحیح است ، علاوه بر اینکه موجبی هم ندارد .</w:t>
      </w:r>
    </w:p>
  </w:footnote>
  <w:footnote w:id="8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>. چنین کذبی نه تنها اشکالی ندارد ، بلکه ح</w:t>
      </w:r>
      <w:r>
        <w:rPr>
          <w:rFonts w:hint="cs"/>
          <w:rtl/>
        </w:rPr>
        <w:t>َ</w:t>
      </w:r>
      <w:r w:rsidRPr="00924B9D">
        <w:rPr>
          <w:rFonts w:hint="cs"/>
          <w:rtl/>
        </w:rPr>
        <w:t>س</w:t>
      </w:r>
      <w:r>
        <w:rPr>
          <w:rFonts w:hint="cs"/>
          <w:rtl/>
        </w:rPr>
        <w:t>َ</w:t>
      </w:r>
      <w:r w:rsidRPr="00924B9D">
        <w:rPr>
          <w:rFonts w:hint="cs"/>
          <w:rtl/>
        </w:rPr>
        <w:t>ن است .</w:t>
      </w:r>
    </w:p>
  </w:footnote>
  <w:footnote w:id="9">
    <w:p w:rsidR="0008618D" w:rsidRPr="00B40518" w:rsidRDefault="0008618D" w:rsidP="0008618D">
      <w:pPr>
        <w:pStyle w:val="FootnoteText"/>
        <w:jc w:val="both"/>
      </w:pPr>
      <w:r w:rsidRPr="00B40518">
        <w:rPr>
          <w:rStyle w:val="FootnoteReference"/>
          <w:vertAlign w:val="baseline"/>
        </w:rPr>
        <w:footnoteRef/>
      </w:r>
      <w:r w:rsidRPr="00B40518">
        <w:rPr>
          <w:rtl/>
        </w:rPr>
        <w:t xml:space="preserve"> </w:t>
      </w:r>
      <w:r w:rsidRPr="00B40518">
        <w:rPr>
          <w:rFonts w:hint="cs"/>
          <w:rtl/>
        </w:rPr>
        <w:t>. در صورت پذیرش این مقدمه ، تمسّک به اطلاقات در مصادیق مستحدث</w:t>
      </w:r>
      <w:r>
        <w:rPr>
          <w:rFonts w:hint="cs"/>
          <w:rtl/>
        </w:rPr>
        <w:t>ه</w:t>
      </w:r>
      <w:r w:rsidRPr="00B40518">
        <w:rPr>
          <w:rFonts w:hint="cs"/>
          <w:rtl/>
        </w:rPr>
        <w:t xml:space="preserve"> مواجه با مشکل است .</w:t>
      </w:r>
    </w:p>
  </w:footnote>
  <w:footnote w:id="10">
    <w:p w:rsidR="00D77F35" w:rsidRPr="00D77F35" w:rsidRDefault="00D77F35">
      <w:pPr>
        <w:pStyle w:val="FootnoteText"/>
        <w:rPr>
          <w:rFonts w:hint="cs"/>
          <w:rtl/>
        </w:rPr>
      </w:pPr>
      <w:r w:rsidRPr="00D77F35">
        <w:rPr>
          <w:rStyle w:val="FootnoteReference"/>
          <w:vertAlign w:val="baseline"/>
        </w:rPr>
        <w:footnoteRef/>
      </w:r>
      <w:r w:rsidRPr="00D77F35">
        <w:rPr>
          <w:rFonts w:hint="cs"/>
          <w:rtl/>
        </w:rPr>
        <w:t>. اجمال ، اطلاق و قدر متیقّن .</w:t>
      </w:r>
    </w:p>
  </w:footnote>
  <w:footnote w:id="11">
    <w:p w:rsidR="0008618D" w:rsidRPr="00924B9D" w:rsidRDefault="0008618D" w:rsidP="0008618D">
      <w:pPr>
        <w:pStyle w:val="FootnoteText"/>
        <w:jc w:val="both"/>
      </w:pPr>
      <w:r w:rsidRPr="00924B9D">
        <w:rPr>
          <w:rStyle w:val="FootnoteReference"/>
          <w:vertAlign w:val="baseline"/>
        </w:rPr>
        <w:footnoteRef/>
      </w:r>
      <w:r w:rsidRPr="00924B9D">
        <w:rPr>
          <w:rFonts w:hint="cs"/>
          <w:rtl/>
        </w:rPr>
        <w:t xml:space="preserve">. قدر متیقّن </w:t>
      </w:r>
      <w:r>
        <w:rPr>
          <w:rFonts w:hint="cs"/>
          <w:rtl/>
        </w:rPr>
        <w:t xml:space="preserve">حد معنا </w:t>
      </w:r>
      <w:r w:rsidRPr="00924B9D">
        <w:rPr>
          <w:rFonts w:hint="cs"/>
          <w:rtl/>
        </w:rPr>
        <w:t xml:space="preserve">را تعیین نمی کند ؛ به همین دلیل الفاظ نسبت به بیش از قدر متیقّن ، اجمال دارند </w:t>
      </w:r>
      <w:r>
        <w:rPr>
          <w:rFonts w:hint="cs"/>
          <w:rtl/>
        </w:rPr>
        <w:t xml:space="preserve">و این اجمال خلاف اصل نیست زیرا از کلام لغویتی لازم نمی آید </w:t>
      </w:r>
      <w:r w:rsidRPr="00924B9D">
        <w:rPr>
          <w:rFonts w:hint="cs"/>
          <w:rtl/>
        </w:rPr>
        <w:t>.</w:t>
      </w:r>
    </w:p>
  </w:footnote>
  <w:footnote w:id="12">
    <w:p w:rsidR="0008618D" w:rsidRPr="00C106D7" w:rsidRDefault="0008618D" w:rsidP="0008618D">
      <w:pPr>
        <w:pStyle w:val="FootnoteText"/>
      </w:pPr>
      <w:r>
        <w:t>.</w:t>
      </w:r>
      <w:r w:rsidRPr="00C106D7">
        <w:footnoteRef/>
      </w:r>
      <w:r w:rsidRPr="00C106D7">
        <w:rPr>
          <w:rtl/>
        </w:rPr>
        <w:t xml:space="preserve"> </w:t>
      </w:r>
      <w:hyperlink r:id="rId1" w:history="1">
        <w:r w:rsidRPr="00C106D7">
          <w:rPr>
            <w:rStyle w:val="Hyperlink"/>
            <w:rtl/>
          </w:rPr>
          <w:t>کفا</w:t>
        </w:r>
        <w:r w:rsidRPr="00C106D7">
          <w:rPr>
            <w:rStyle w:val="Hyperlink"/>
            <w:rFonts w:hint="cs"/>
            <w:rtl/>
          </w:rPr>
          <w:t>ی</w:t>
        </w:r>
        <w:r w:rsidRPr="00C106D7">
          <w:rPr>
            <w:rStyle w:val="Hyperlink"/>
            <w:rFonts w:hint="eastAsia"/>
            <w:rtl/>
          </w:rPr>
          <w:t>ه</w:t>
        </w:r>
        <w:r w:rsidRPr="00C106D7">
          <w:rPr>
            <w:rStyle w:val="Hyperlink"/>
            <w:rtl/>
          </w:rPr>
          <w:t xml:space="preserve"> الاصول، آخوند خراسان</w:t>
        </w:r>
        <w:r w:rsidRPr="00C106D7">
          <w:rPr>
            <w:rStyle w:val="Hyperlink"/>
            <w:rFonts w:hint="cs"/>
            <w:rtl/>
          </w:rPr>
          <w:t>ی</w:t>
        </w:r>
        <w:r w:rsidRPr="00C106D7">
          <w:rPr>
            <w:rStyle w:val="Hyperlink"/>
            <w:rFonts w:hint="eastAsia"/>
            <w:rtl/>
          </w:rPr>
          <w:t>،</w:t>
        </w:r>
        <w:r w:rsidRPr="00C106D7">
          <w:rPr>
            <w:rStyle w:val="Hyperlink"/>
            <w:rtl/>
          </w:rPr>
          <w:t xml:space="preserve"> ج1، ص247</w:t>
        </w:r>
        <w:r w:rsidRPr="00C106D7">
          <w:rPr>
            <w:rStyle w:val="Hyperlink"/>
          </w:rPr>
          <w:t>.</w:t>
        </w:r>
      </w:hyperlink>
    </w:p>
  </w:footnote>
  <w:footnote w:id="13">
    <w:p w:rsidR="0008618D" w:rsidRPr="00C106D7" w:rsidRDefault="0008618D" w:rsidP="0008618D">
      <w:pPr>
        <w:pStyle w:val="FootnoteText"/>
        <w:jc w:val="both"/>
      </w:pPr>
      <w:r w:rsidRPr="00C106D7">
        <w:rPr>
          <w:rStyle w:val="FootnoteReference"/>
          <w:vertAlign w:val="baseline"/>
        </w:rPr>
        <w:footnoteRef/>
      </w:r>
      <w:r w:rsidRPr="00C106D7">
        <w:rPr>
          <w:rFonts w:hint="cs"/>
          <w:rtl/>
        </w:rPr>
        <w:t>. پس عدم قرینه منفصله شرط حجیت است نه دلالت .</w:t>
      </w:r>
    </w:p>
  </w:footnote>
  <w:footnote w:id="14">
    <w:p w:rsidR="0008618D" w:rsidRPr="00973714" w:rsidRDefault="0008618D" w:rsidP="0008618D">
      <w:pPr>
        <w:pStyle w:val="FootnoteText"/>
      </w:pPr>
      <w:r>
        <w:t>.</w:t>
      </w:r>
      <w:r w:rsidRPr="00973714">
        <w:footnoteRef/>
      </w:r>
      <w:r w:rsidRPr="00973714">
        <w:rPr>
          <w:rtl/>
        </w:rPr>
        <w:t xml:space="preserve"> </w:t>
      </w:r>
      <w:hyperlink r:id="rId2" w:history="1">
        <w:r w:rsidRPr="00973714">
          <w:rPr>
            <w:rStyle w:val="Hyperlink"/>
            <w:rtl/>
          </w:rPr>
          <w:t>بحوث ف</w:t>
        </w:r>
        <w:r w:rsidRPr="00973714">
          <w:rPr>
            <w:rStyle w:val="Hyperlink"/>
            <w:rFonts w:hint="cs"/>
            <w:rtl/>
          </w:rPr>
          <w:t>ی</w:t>
        </w:r>
        <w:r w:rsidRPr="00973714">
          <w:rPr>
            <w:rStyle w:val="Hyperlink"/>
            <w:rtl/>
          </w:rPr>
          <w:t xml:space="preserve"> علم الأصول، الس</w:t>
        </w:r>
        <w:r w:rsidRPr="00973714">
          <w:rPr>
            <w:rStyle w:val="Hyperlink"/>
            <w:rFonts w:hint="cs"/>
            <w:rtl/>
          </w:rPr>
          <w:t>ی</w:t>
        </w:r>
        <w:r w:rsidRPr="00973714">
          <w:rPr>
            <w:rStyle w:val="Hyperlink"/>
            <w:rFonts w:hint="eastAsia"/>
            <w:rtl/>
          </w:rPr>
          <w:t>د</w:t>
        </w:r>
        <w:r w:rsidRPr="00973714">
          <w:rPr>
            <w:rStyle w:val="Hyperlink"/>
            <w:rtl/>
          </w:rPr>
          <w:t xml:space="preserve"> محمد باقر الصدر، ج7، ص182</w:t>
        </w:r>
        <w:r w:rsidRPr="00973714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3B2736">
      <w:rPr>
        <w:b/>
        <w:bCs/>
        <w:sz w:val="20"/>
        <w:szCs w:val="24"/>
        <w:rtl/>
      </w:rPr>
      <w:t>019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3B273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3B2736">
      <w:rPr>
        <w:b/>
        <w:bCs/>
        <w:color w:val="632423" w:themeColor="accent2" w:themeShade="80"/>
        <w:sz w:val="20"/>
        <w:szCs w:val="24"/>
        <w:rtl/>
      </w:rPr>
      <w:t>قائ</w:t>
    </w:r>
    <w:r w:rsidR="003B273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3B273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3B273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3B2736">
      <w:rPr>
        <w:sz w:val="24"/>
        <w:szCs w:val="24"/>
        <w:rtl/>
      </w:rPr>
      <w:t>30 /7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3B2736">
      <w:rPr>
        <w:color w:val="000000" w:themeColor="text1"/>
        <w:sz w:val="24"/>
        <w:szCs w:val="24"/>
        <w:rtl/>
      </w:rPr>
      <w:t>تعارض غ</w:t>
    </w:r>
    <w:r w:rsidR="003B2736">
      <w:rPr>
        <w:rFonts w:hint="cs"/>
        <w:color w:val="000000" w:themeColor="text1"/>
        <w:sz w:val="24"/>
        <w:szCs w:val="24"/>
        <w:rtl/>
      </w:rPr>
      <w:t>ی</w:t>
    </w:r>
    <w:r w:rsidR="003B2736">
      <w:rPr>
        <w:rFonts w:hint="eastAsia"/>
        <w:color w:val="000000" w:themeColor="text1"/>
        <w:sz w:val="24"/>
        <w:szCs w:val="24"/>
        <w:rtl/>
      </w:rPr>
      <w:t>ر</w:t>
    </w:r>
    <w:r w:rsidR="003B273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3B2736">
      <w:rPr>
        <w:sz w:val="24"/>
        <w:szCs w:val="24"/>
        <w:rtl/>
      </w:rPr>
      <w:t>عل</w:t>
    </w:r>
    <w:r w:rsidR="003B2736">
      <w:rPr>
        <w:rFonts w:hint="cs"/>
        <w:sz w:val="24"/>
        <w:szCs w:val="24"/>
        <w:rtl/>
      </w:rPr>
      <w:t>ی</w:t>
    </w:r>
    <w:r w:rsidR="003B2736">
      <w:rPr>
        <w:sz w:val="24"/>
        <w:szCs w:val="24"/>
        <w:rtl/>
      </w:rPr>
      <w:t xml:space="preserve"> بهادرزا</w:t>
    </w:r>
    <w:r w:rsidR="003B273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3B2736">
      <w:rPr>
        <w:sz w:val="24"/>
        <w:szCs w:val="24"/>
        <w:rtl/>
      </w:rPr>
      <w:t>جمع عرف</w:t>
    </w:r>
    <w:r w:rsidR="003B2736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0C34"/>
    <w:rsid w:val="000353D7"/>
    <w:rsid w:val="0004251E"/>
    <w:rsid w:val="00055496"/>
    <w:rsid w:val="00080A41"/>
    <w:rsid w:val="0008299B"/>
    <w:rsid w:val="00084F46"/>
    <w:rsid w:val="0008618D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0161"/>
    <w:rsid w:val="000F16CF"/>
    <w:rsid w:val="000F5BAC"/>
    <w:rsid w:val="00102585"/>
    <w:rsid w:val="00113537"/>
    <w:rsid w:val="00114AB7"/>
    <w:rsid w:val="00116B2B"/>
    <w:rsid w:val="00124E3D"/>
    <w:rsid w:val="00127E95"/>
    <w:rsid w:val="00130659"/>
    <w:rsid w:val="001347C7"/>
    <w:rsid w:val="001356B0"/>
    <w:rsid w:val="0015115E"/>
    <w:rsid w:val="00151937"/>
    <w:rsid w:val="00181844"/>
    <w:rsid w:val="001837E9"/>
    <w:rsid w:val="00186D47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530A"/>
    <w:rsid w:val="0020241A"/>
    <w:rsid w:val="00202987"/>
    <w:rsid w:val="00203821"/>
    <w:rsid w:val="00211632"/>
    <w:rsid w:val="0021630D"/>
    <w:rsid w:val="0024121B"/>
    <w:rsid w:val="00247D2F"/>
    <w:rsid w:val="00255FE2"/>
    <w:rsid w:val="00256560"/>
    <w:rsid w:val="00260B76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0AD9"/>
    <w:rsid w:val="00386C11"/>
    <w:rsid w:val="00394F0D"/>
    <w:rsid w:val="00397466"/>
    <w:rsid w:val="003A6148"/>
    <w:rsid w:val="003B2736"/>
    <w:rsid w:val="003C33F6"/>
    <w:rsid w:val="003C3458"/>
    <w:rsid w:val="003C3D2E"/>
    <w:rsid w:val="003C43A5"/>
    <w:rsid w:val="003C493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66C4"/>
    <w:rsid w:val="00460C56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3DE8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0D6F"/>
    <w:rsid w:val="005257ED"/>
    <w:rsid w:val="005306F8"/>
    <w:rsid w:val="0054023D"/>
    <w:rsid w:val="005426BF"/>
    <w:rsid w:val="0056213C"/>
    <w:rsid w:val="00564131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1D6B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2D7A"/>
    <w:rsid w:val="006B3753"/>
    <w:rsid w:val="006B7AD6"/>
    <w:rsid w:val="006C1675"/>
    <w:rsid w:val="006C50FD"/>
    <w:rsid w:val="006D1DD4"/>
    <w:rsid w:val="006D4014"/>
    <w:rsid w:val="006D44C1"/>
    <w:rsid w:val="006E20FE"/>
    <w:rsid w:val="006E5651"/>
    <w:rsid w:val="006E5B85"/>
    <w:rsid w:val="006E7FA1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3392"/>
    <w:rsid w:val="007C6D9E"/>
    <w:rsid w:val="007D1C43"/>
    <w:rsid w:val="007D6C53"/>
    <w:rsid w:val="007D7AB7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85746"/>
    <w:rsid w:val="008900FF"/>
    <w:rsid w:val="008956DD"/>
    <w:rsid w:val="008A510E"/>
    <w:rsid w:val="008A522A"/>
    <w:rsid w:val="008B3D83"/>
    <w:rsid w:val="008B4464"/>
    <w:rsid w:val="008B750B"/>
    <w:rsid w:val="008C3162"/>
    <w:rsid w:val="008D1F14"/>
    <w:rsid w:val="008E3924"/>
    <w:rsid w:val="008F13F7"/>
    <w:rsid w:val="008F5B4D"/>
    <w:rsid w:val="008F7DA7"/>
    <w:rsid w:val="00907425"/>
    <w:rsid w:val="00921A17"/>
    <w:rsid w:val="00923C34"/>
    <w:rsid w:val="00924152"/>
    <w:rsid w:val="0092513D"/>
    <w:rsid w:val="00927A9F"/>
    <w:rsid w:val="009335CC"/>
    <w:rsid w:val="00935A55"/>
    <w:rsid w:val="009405FA"/>
    <w:rsid w:val="00941CEB"/>
    <w:rsid w:val="009452E4"/>
    <w:rsid w:val="0094720F"/>
    <w:rsid w:val="00953B28"/>
    <w:rsid w:val="00954322"/>
    <w:rsid w:val="00957CAA"/>
    <w:rsid w:val="0096778A"/>
    <w:rsid w:val="00977656"/>
    <w:rsid w:val="009846A7"/>
    <w:rsid w:val="0098794D"/>
    <w:rsid w:val="00987D7C"/>
    <w:rsid w:val="0099497B"/>
    <w:rsid w:val="009A43BA"/>
    <w:rsid w:val="009B0D05"/>
    <w:rsid w:val="009B4CA6"/>
    <w:rsid w:val="009B79F8"/>
    <w:rsid w:val="009C66D5"/>
    <w:rsid w:val="009D13FD"/>
    <w:rsid w:val="009D266A"/>
    <w:rsid w:val="009F45B0"/>
    <w:rsid w:val="009F7E07"/>
    <w:rsid w:val="00A01522"/>
    <w:rsid w:val="00A10A11"/>
    <w:rsid w:val="00A13C6A"/>
    <w:rsid w:val="00A13FB2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6BFB"/>
    <w:rsid w:val="00AA1F60"/>
    <w:rsid w:val="00AA40D7"/>
    <w:rsid w:val="00AB5F7D"/>
    <w:rsid w:val="00AC0C50"/>
    <w:rsid w:val="00AC6FE2"/>
    <w:rsid w:val="00AE3A9B"/>
    <w:rsid w:val="00AF3925"/>
    <w:rsid w:val="00B1296B"/>
    <w:rsid w:val="00B2292F"/>
    <w:rsid w:val="00B425AE"/>
    <w:rsid w:val="00B43169"/>
    <w:rsid w:val="00B44660"/>
    <w:rsid w:val="00B501A8"/>
    <w:rsid w:val="00B55AE4"/>
    <w:rsid w:val="00B70B46"/>
    <w:rsid w:val="00B739B0"/>
    <w:rsid w:val="00B753A5"/>
    <w:rsid w:val="00B814A3"/>
    <w:rsid w:val="00B94004"/>
    <w:rsid w:val="00B96F38"/>
    <w:rsid w:val="00BC716B"/>
    <w:rsid w:val="00BD0E74"/>
    <w:rsid w:val="00BD5F8C"/>
    <w:rsid w:val="00BE29DD"/>
    <w:rsid w:val="00BF315A"/>
    <w:rsid w:val="00C066AF"/>
    <w:rsid w:val="00C10E06"/>
    <w:rsid w:val="00C145B8"/>
    <w:rsid w:val="00C16A91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156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CF36BA"/>
    <w:rsid w:val="00D048CE"/>
    <w:rsid w:val="00D10998"/>
    <w:rsid w:val="00D15CBD"/>
    <w:rsid w:val="00D221CB"/>
    <w:rsid w:val="00D23391"/>
    <w:rsid w:val="00D31805"/>
    <w:rsid w:val="00D40836"/>
    <w:rsid w:val="00D5100C"/>
    <w:rsid w:val="00D552B9"/>
    <w:rsid w:val="00D735B2"/>
    <w:rsid w:val="00D74021"/>
    <w:rsid w:val="00D76D01"/>
    <w:rsid w:val="00D77F35"/>
    <w:rsid w:val="00D922A9"/>
    <w:rsid w:val="00D9394A"/>
    <w:rsid w:val="00DB0CBB"/>
    <w:rsid w:val="00DB67CC"/>
    <w:rsid w:val="00DC3783"/>
    <w:rsid w:val="00DE1070"/>
    <w:rsid w:val="00E00219"/>
    <w:rsid w:val="00E0316B"/>
    <w:rsid w:val="00E233DB"/>
    <w:rsid w:val="00E25E10"/>
    <w:rsid w:val="00E25F16"/>
    <w:rsid w:val="00E40A3A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2342"/>
    <w:rsid w:val="00EA45E7"/>
    <w:rsid w:val="00EB78E3"/>
    <w:rsid w:val="00EB7BE3"/>
    <w:rsid w:val="00EC1C4B"/>
    <w:rsid w:val="00EC735A"/>
    <w:rsid w:val="00ED5F38"/>
    <w:rsid w:val="00EF27FE"/>
    <w:rsid w:val="00F07FB6"/>
    <w:rsid w:val="00F12D92"/>
    <w:rsid w:val="00F149D0"/>
    <w:rsid w:val="00F16B53"/>
    <w:rsid w:val="00F21FB2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0BAE"/>
    <w:rsid w:val="00F914EB"/>
    <w:rsid w:val="00F91B85"/>
    <w:rsid w:val="00F938E7"/>
    <w:rsid w:val="00FA0265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64/7/182/" TargetMode="External"/><Relationship Id="rId1" Type="http://schemas.openxmlformats.org/officeDocument/2006/relationships/hyperlink" Target="http://lib.eshia.ir/27004/1/24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52D8-944C-4EC6-8D1A-0AD6CBAA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4540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58</cp:revision>
  <cp:lastPrinted>2018-10-22T19:48:00Z</cp:lastPrinted>
  <dcterms:created xsi:type="dcterms:W3CDTF">2018-10-22T11:55:00Z</dcterms:created>
  <dcterms:modified xsi:type="dcterms:W3CDTF">2018-11-11T11:09:00Z</dcterms:modified>
  <cp:contentStatus>ویرایش 2.5</cp:contentStatus>
  <cp:version>2.7</cp:version>
</cp:coreProperties>
</file>