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785C" w:rsidRDefault="009F785C" w:rsidP="009F785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017378" w:history="1">
        <w:r w:rsidRPr="006A3E3B">
          <w:rPr>
            <w:rStyle w:val="Hyperlink"/>
            <w:noProof/>
            <w:rtl/>
          </w:rPr>
          <w:t>تناف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noProof/>
            <w:rtl/>
          </w:rPr>
          <w:t xml:space="preserve"> م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ان</w:t>
        </w:r>
        <w:r w:rsidRPr="006A3E3B">
          <w:rPr>
            <w:rStyle w:val="Hyperlink"/>
            <w:noProof/>
            <w:rtl/>
          </w:rPr>
          <w:t xml:space="preserve"> دو عبارت کفا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Toc529017378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9F785C" w:rsidRDefault="009F785C" w:rsidP="009F785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7379" w:history="1">
        <w:r w:rsidRPr="006A3E3B">
          <w:rPr>
            <w:rStyle w:val="Hyperlink"/>
            <w:noProof/>
            <w:rtl/>
          </w:rPr>
          <w:t>نف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noProof/>
            <w:rtl/>
          </w:rPr>
          <w:t xml:space="preserve"> حکومت : نبود شارح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Toc529017379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9F785C" w:rsidRDefault="009F785C" w:rsidP="009F785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7380" w:history="1">
        <w:r w:rsidRPr="006A3E3B">
          <w:rPr>
            <w:rStyle w:val="Hyperlink"/>
            <w:noProof/>
            <w:rtl/>
          </w:rPr>
          <w:t>تطب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ق</w:t>
        </w:r>
        <w:r w:rsidRPr="006A3E3B">
          <w:rPr>
            <w:rStyle w:val="Hyperlink"/>
            <w:noProof/>
            <w:rtl/>
          </w:rPr>
          <w:t xml:space="preserve"> تفص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ل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noProof/>
            <w:rtl/>
          </w:rPr>
          <w:t xml:space="preserve"> حکومت بر مبان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noProof/>
            <w:rtl/>
          </w:rPr>
          <w:t xml:space="preserve"> مختلف پ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رامون</w:t>
        </w:r>
        <w:r w:rsidRPr="006A3E3B">
          <w:rPr>
            <w:rStyle w:val="Hyperlink"/>
            <w:noProof/>
            <w:rtl/>
          </w:rPr>
          <w:t xml:space="preserve"> حج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ت</w:t>
        </w:r>
        <w:r w:rsidRPr="006A3E3B">
          <w:rPr>
            <w:rStyle w:val="Hyperlink"/>
            <w:noProof/>
            <w:rtl/>
          </w:rPr>
          <w:t xml:space="preserve"> امارات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Toc529017380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785C" w:rsidRDefault="009F785C" w:rsidP="009F785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17381" w:history="1">
        <w:r w:rsidRPr="006A3E3B">
          <w:rPr>
            <w:rStyle w:val="Hyperlink"/>
            <w:noProof/>
            <w:rtl/>
          </w:rPr>
          <w:t>مبنا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noProof/>
            <w:rtl/>
          </w:rPr>
          <w:t xml:space="preserve"> اوّل : جعل حکم مماثل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Toc529017381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785C" w:rsidRDefault="009F785C" w:rsidP="009F785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17382" w:history="1">
        <w:r w:rsidRPr="006A3E3B">
          <w:rPr>
            <w:rStyle w:val="Hyperlink"/>
            <w:noProof/>
            <w:rtl/>
          </w:rPr>
          <w:t>مبنا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noProof/>
            <w:rtl/>
          </w:rPr>
          <w:t xml:space="preserve"> دوم : جعل تعذ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ر</w:t>
        </w:r>
        <w:r w:rsidRPr="006A3E3B">
          <w:rPr>
            <w:rStyle w:val="Hyperlink"/>
            <w:noProof/>
            <w:rtl/>
          </w:rPr>
          <w:t xml:space="preserve"> و تنج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ز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Toc529017382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785C" w:rsidRDefault="009F785C" w:rsidP="009F785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17383" w:history="1">
        <w:r w:rsidRPr="006A3E3B">
          <w:rPr>
            <w:rStyle w:val="Hyperlink"/>
            <w:noProof/>
            <w:rtl/>
          </w:rPr>
          <w:t>مبنا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noProof/>
            <w:rtl/>
          </w:rPr>
          <w:t xml:space="preserve"> سوم : تتم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م</w:t>
        </w:r>
        <w:r w:rsidRPr="006A3E3B">
          <w:rPr>
            <w:rStyle w:val="Hyperlink"/>
            <w:noProof/>
            <w:rtl/>
          </w:rPr>
          <w:t xml:space="preserve"> کشف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Toc529017383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F785C" w:rsidRDefault="009F785C" w:rsidP="009F785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7384" w:history="1">
        <w:r w:rsidRPr="006A3E3B">
          <w:rPr>
            <w:rStyle w:val="Hyperlink"/>
            <w:noProof/>
            <w:rtl/>
          </w:rPr>
          <w:t>تطب</w:t>
        </w:r>
        <w:r w:rsidRPr="006A3E3B">
          <w:rPr>
            <w:rStyle w:val="Hyperlink"/>
            <w:rFonts w:hint="cs"/>
            <w:noProof/>
            <w:rtl/>
          </w:rPr>
          <w:t>ی</w:t>
        </w:r>
        <w:r w:rsidRPr="006A3E3B">
          <w:rPr>
            <w:rStyle w:val="Hyperlink"/>
            <w:rFonts w:hint="eastAsia"/>
            <w:noProof/>
            <w:rtl/>
          </w:rPr>
          <w:t>ق</w:t>
        </w:r>
        <w:r w:rsidRPr="006A3E3B">
          <w:rPr>
            <w:rStyle w:val="Hyperlink"/>
            <w:noProof/>
            <w:rtl/>
          </w:rPr>
          <w:t xml:space="preserve"> ضابطه حکومت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Toc529017384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9F785C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FA1F5F">
        <w:rPr>
          <w:rtl/>
        </w:rPr>
        <w:t>حکومت امارات بر اصول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FA1F5F">
        <w:rPr>
          <w:rtl/>
        </w:rPr>
        <w:t>تعارض غ</w:t>
      </w:r>
      <w:r w:rsidR="00FA1F5F">
        <w:rPr>
          <w:rFonts w:hint="cs"/>
          <w:rtl/>
        </w:rPr>
        <w:t>ی</w:t>
      </w:r>
      <w:r w:rsidR="00FA1F5F">
        <w:rPr>
          <w:rFonts w:hint="eastAsia"/>
          <w:rtl/>
        </w:rPr>
        <w:t>ر</w:t>
      </w:r>
      <w:r w:rsidR="00FA1F5F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FA1F5F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82132E" w:rsidP="004C7309">
      <w:pPr>
        <w:pBdr>
          <w:bottom w:val="double" w:sz="6" w:space="1" w:color="auto"/>
        </w:pBdr>
        <w:jc w:val="both"/>
      </w:pPr>
      <w:r>
        <w:rPr>
          <w:rFonts w:ascii="Tahoma" w:hAnsi="Tahoma" w:hint="cs"/>
          <w:color w:val="000000" w:themeColor="text1"/>
          <w:sz w:val="28"/>
          <w:rtl/>
        </w:rPr>
        <w:t xml:space="preserve">   </w:t>
      </w:r>
      <w:r w:rsidR="00503AAF">
        <w:rPr>
          <w:rFonts w:ascii="Tahoma" w:hAnsi="Tahoma" w:hint="cs"/>
          <w:color w:val="000000" w:themeColor="text1"/>
          <w:sz w:val="28"/>
          <w:rtl/>
        </w:rPr>
        <w:t xml:space="preserve">در کلام </w:t>
      </w:r>
      <w:r w:rsidR="00696B1D">
        <w:rPr>
          <w:rFonts w:ascii="Tahoma" w:hAnsi="Tahoma" w:hint="cs"/>
          <w:color w:val="000000" w:themeColor="text1"/>
          <w:sz w:val="28"/>
          <w:rtl/>
        </w:rPr>
        <w:t>مرحوم آخوند</w:t>
      </w:r>
      <w:r w:rsidR="00503AAF">
        <w:rPr>
          <w:rFonts w:ascii="Tahoma" w:hAnsi="Tahoma" w:hint="cs"/>
          <w:color w:val="000000" w:themeColor="text1"/>
          <w:sz w:val="28"/>
          <w:rtl/>
        </w:rPr>
        <w:t xml:space="preserve"> </w:t>
      </w:r>
      <w:r w:rsidRPr="00424AD9">
        <w:rPr>
          <w:rFonts w:ascii="Tahoma" w:hAnsi="Tahoma" w:hint="cs"/>
          <w:color w:val="000000" w:themeColor="text1"/>
          <w:sz w:val="28"/>
          <w:rtl/>
        </w:rPr>
        <w:t>وجه تقدیم امارات بر اصول شرعیه</w:t>
      </w:r>
      <w:r w:rsidR="00503AAF">
        <w:rPr>
          <w:rFonts w:ascii="Tahoma" w:hAnsi="Tahoma" w:hint="cs"/>
          <w:color w:val="000000" w:themeColor="text1"/>
          <w:sz w:val="28"/>
          <w:rtl/>
        </w:rPr>
        <w:t xml:space="preserve"> توفیق عرفی معرّفی شد ، </w:t>
      </w:r>
      <w:r w:rsidRPr="00424AD9">
        <w:rPr>
          <w:rFonts w:ascii="Tahoma" w:hAnsi="Tahoma" w:hint="cs"/>
          <w:color w:val="000000" w:themeColor="text1"/>
          <w:sz w:val="28"/>
          <w:rtl/>
        </w:rPr>
        <w:t>بر خلاف مشهور که قائل به ح</w:t>
      </w:r>
      <w:r w:rsidR="00503AAF">
        <w:rPr>
          <w:rFonts w:ascii="Tahoma" w:hAnsi="Tahoma" w:hint="cs"/>
          <w:color w:val="000000" w:themeColor="text1"/>
          <w:sz w:val="28"/>
          <w:rtl/>
        </w:rPr>
        <w:t xml:space="preserve">کومت هستند </w:t>
      </w:r>
      <w:r w:rsidRPr="00424AD9">
        <w:rPr>
          <w:rFonts w:ascii="Tahoma" w:hAnsi="Tahoma" w:hint="cs"/>
          <w:color w:val="000000" w:themeColor="text1"/>
          <w:sz w:val="28"/>
          <w:rtl/>
        </w:rPr>
        <w:t>؛ زیرا از منظر ایشان مصادیق حکومت منحصر در موارد شرح و تفسیر هستند و این شرح یا تفسیر</w:t>
      </w:r>
      <w:r w:rsidR="004C7309">
        <w:rPr>
          <w:rFonts w:ascii="Tahoma" w:hAnsi="Tahoma" w:hint="cs"/>
          <w:color w:val="000000" w:themeColor="text1"/>
          <w:sz w:val="28"/>
          <w:rtl/>
        </w:rPr>
        <w:t xml:space="preserve"> </w:t>
      </w:r>
      <w:r w:rsidR="004C7309" w:rsidRPr="00424AD9">
        <w:rPr>
          <w:rFonts w:ascii="Tahoma" w:hAnsi="Tahoma" w:hint="cs"/>
          <w:color w:val="000000" w:themeColor="text1"/>
          <w:sz w:val="28"/>
          <w:rtl/>
        </w:rPr>
        <w:t>نسبت به اصول</w:t>
      </w:r>
      <w:r w:rsidRPr="00424AD9">
        <w:rPr>
          <w:rFonts w:ascii="Tahoma" w:hAnsi="Tahoma" w:hint="cs"/>
          <w:color w:val="000000" w:themeColor="text1"/>
          <w:sz w:val="28"/>
          <w:rtl/>
        </w:rPr>
        <w:t xml:space="preserve"> در </w:t>
      </w:r>
      <w:r w:rsidR="00696B1D">
        <w:rPr>
          <w:rFonts w:ascii="Tahoma" w:hAnsi="Tahoma" w:hint="cs"/>
          <w:color w:val="000000" w:themeColor="text1"/>
          <w:sz w:val="28"/>
          <w:rtl/>
        </w:rPr>
        <w:t xml:space="preserve">دلیل اعتبار </w:t>
      </w:r>
      <w:r w:rsidRPr="00424AD9">
        <w:rPr>
          <w:rFonts w:ascii="Tahoma" w:hAnsi="Tahoma" w:hint="cs"/>
          <w:color w:val="000000" w:themeColor="text1"/>
          <w:sz w:val="28"/>
          <w:rtl/>
        </w:rPr>
        <w:t>امارات وجود ندارد .</w:t>
      </w:r>
    </w:p>
    <w:p w:rsidR="008F5B4D" w:rsidRDefault="008F5B4D" w:rsidP="003A6148"/>
    <w:p w:rsidR="009D1FE8" w:rsidRPr="000D083C" w:rsidRDefault="009D1FE8" w:rsidP="009D1FE8">
      <w:pPr>
        <w:pStyle w:val="Heading1"/>
        <w:rPr>
          <w:rtl/>
        </w:rPr>
      </w:pPr>
      <w:bookmarkStart w:id="4" w:name="_Toc527152964"/>
      <w:bookmarkStart w:id="5" w:name="_Toc527712957"/>
      <w:bookmarkStart w:id="6" w:name="_Toc529017359"/>
      <w:bookmarkStart w:id="7" w:name="_Toc529017378"/>
      <w:r w:rsidRPr="000D083C">
        <w:rPr>
          <w:rFonts w:hint="cs"/>
          <w:rtl/>
        </w:rPr>
        <w:t>تنافی میان دو عبارت کفایه</w:t>
      </w:r>
      <w:bookmarkEnd w:id="4"/>
      <w:bookmarkEnd w:id="5"/>
      <w:bookmarkEnd w:id="6"/>
      <w:bookmarkEnd w:id="7"/>
    </w:p>
    <w:p w:rsidR="009D1FE8" w:rsidRPr="000D083C" w:rsidRDefault="009D1FE8" w:rsidP="009D1FE8">
      <w:pPr>
        <w:jc w:val="both"/>
        <w:rPr>
          <w:rtl/>
        </w:rPr>
      </w:pPr>
      <w:r w:rsidRPr="000D083C">
        <w:rPr>
          <w:rFonts w:hint="cs"/>
          <w:rtl/>
        </w:rPr>
        <w:t xml:space="preserve">   البته از آن جهت که ایشان در اواخر بحث استصحاب وجه تقدیم را ورود عنوان کردند ، با فرض این که میان استصحاب و سایر اصول شرعی تفاوتی وجود ندارد ، این سوال پیش می آید که چرا اینجا سراغ توفیق عرفی رفتند ؟ می توان گفت ایشان توفیق عرفی را برای زمینه سازی جهت پذیرش ورود عنوان کرده اند . </w:t>
      </w:r>
    </w:p>
    <w:p w:rsidR="009D1FE8" w:rsidRPr="000D083C" w:rsidRDefault="009D1FE8" w:rsidP="009D1FE8">
      <w:pPr>
        <w:pStyle w:val="Heading1"/>
      </w:pPr>
      <w:bookmarkStart w:id="8" w:name="_Toc527152965"/>
      <w:bookmarkStart w:id="9" w:name="_Toc527712958"/>
      <w:bookmarkStart w:id="10" w:name="_Toc529017360"/>
      <w:bookmarkStart w:id="11" w:name="_Toc529017379"/>
      <w:r w:rsidRPr="000D083C">
        <w:rPr>
          <w:rFonts w:hint="cs"/>
          <w:rtl/>
        </w:rPr>
        <w:t>نفی حکومت : نبود شارحیت</w:t>
      </w:r>
      <w:bookmarkEnd w:id="8"/>
      <w:bookmarkEnd w:id="9"/>
      <w:bookmarkEnd w:id="10"/>
      <w:bookmarkEnd w:id="11"/>
    </w:p>
    <w:p w:rsidR="009D1FE8" w:rsidRPr="000D083C" w:rsidRDefault="009D1FE8" w:rsidP="003E0BCB">
      <w:pPr>
        <w:jc w:val="both"/>
        <w:rPr>
          <w:rFonts w:eastAsia="Times New Roman"/>
        </w:rPr>
      </w:pPr>
      <w:r w:rsidRPr="000D083C">
        <w:rPr>
          <w:rFonts w:eastAsia="Times New Roman" w:hint="cs"/>
          <w:rtl/>
        </w:rPr>
        <w:t xml:space="preserve">   برآیند سخن ایشان در نفی حکومت چنین است : وجه تقدیم امارات بر اصول از آن روست که تقدیم اصول شرعی بر امارات موجب تخصیص بدون وجه یا به وجه دوری است ، نه این که لسان امارات نظارتی نسبت به لسان اصول دارد . بله از آن جهت که دلیل اعتبار اماره مطلق است و اطلاق آن اقتضاء شمولیت نسبت به موارد اصل عملی را هم دارد ، لازمه ای عقلی مبنی بر طرح مفاد اصول وجود دارد ، اما بر این استلزام عقلی </w:t>
      </w:r>
      <w:r w:rsidR="003E0BCB" w:rsidRPr="000D083C">
        <w:rPr>
          <w:rFonts w:eastAsia="Times New Roman" w:hint="cs"/>
          <w:rtl/>
        </w:rPr>
        <w:t xml:space="preserve">ضابطه ی حکومت </w:t>
      </w:r>
      <w:r w:rsidRPr="000D083C">
        <w:rPr>
          <w:rFonts w:eastAsia="Times New Roman" w:hint="cs"/>
          <w:rtl/>
        </w:rPr>
        <w:t xml:space="preserve">منطبق نیست ؛ زیرا که اگر همین استلزام و تعرّض عقلی برای صدق حکومت کافی باشد ، سوال می شود که « لِمَ لا یُعکَس ؟ » چرا اصل حاکم بر اماره نباشد ؟ دلیل </w:t>
      </w:r>
      <w:r w:rsidRPr="000D083C">
        <w:rPr>
          <w:rFonts w:eastAsia="Times New Roman" w:hint="cs"/>
          <w:rtl/>
        </w:rPr>
        <w:lastRenderedPageBreak/>
        <w:t>حجیت اصول شرعی هم اطلاق دارد و موضوع هر دو شک است</w:t>
      </w:r>
      <w:r w:rsidR="003E0BCB">
        <w:rPr>
          <w:rFonts w:eastAsia="Times New Roman" w:hint="cs"/>
          <w:rtl/>
        </w:rPr>
        <w:t xml:space="preserve"> </w:t>
      </w:r>
      <w:r w:rsidRPr="000D083C">
        <w:rPr>
          <w:rStyle w:val="FootnoteReference"/>
          <w:rFonts w:ascii="Tahoma" w:hAnsi="Tahoma" w:cs="B Lotus"/>
          <w:color w:val="000000"/>
          <w:sz w:val="28"/>
          <w:rtl/>
        </w:rPr>
        <w:footnoteReference w:id="1"/>
      </w:r>
      <w:r w:rsidR="003E0BCB">
        <w:rPr>
          <w:rFonts w:eastAsia="Times New Roman" w:hint="cs"/>
          <w:rtl/>
        </w:rPr>
        <w:t xml:space="preserve"> </w:t>
      </w:r>
      <w:r w:rsidRPr="000D083C">
        <w:rPr>
          <w:rFonts w:eastAsia="Times New Roman" w:hint="cs"/>
          <w:rtl/>
        </w:rPr>
        <w:t>بنابراین چرا آن را مقدّم نکنیم</w:t>
      </w:r>
      <w:r w:rsidR="003E0BCB">
        <w:rPr>
          <w:rFonts w:eastAsia="Times New Roman" w:hint="cs"/>
          <w:rtl/>
        </w:rPr>
        <w:t xml:space="preserve"> </w:t>
      </w:r>
      <w:r w:rsidRPr="000D083C">
        <w:rPr>
          <w:rFonts w:eastAsia="Times New Roman" w:hint="cs"/>
          <w:rtl/>
        </w:rPr>
        <w:t xml:space="preserve">؟ در موارد ثبوت اماره هم </w:t>
      </w:r>
      <w:r w:rsidR="003E0BCB">
        <w:rPr>
          <w:rFonts w:eastAsia="Times New Roman" w:hint="cs"/>
          <w:rtl/>
        </w:rPr>
        <w:t xml:space="preserve"> </w:t>
      </w:r>
      <w:r w:rsidRPr="000D083C">
        <w:rPr>
          <w:rFonts w:eastAsia="Times New Roman" w:hint="cs"/>
          <w:rtl/>
        </w:rPr>
        <w:t>« علم » به تکلیف نداریم بنابراین چه مانعی دارد که « رفع ما لا یعلمون » شامل آن هم بشود ؟ بنابراین اگر ضابطه حکومت را تعرّض و نظارت لفظی دانستیم بر هیچ یک از امارات و اصول صادق نیست ، و اگر آن را أعمّ از تعرّض لفظی یا شمولیت عقلی تعریف کردیم ، بر هر دو صدق می کند . همین مشکل می تواند منبّه باشد بر قوام حکومت به شارحیت و مفسریت .</w:t>
      </w:r>
    </w:p>
    <w:p w:rsidR="009D1FE8" w:rsidRPr="000D083C" w:rsidRDefault="009D1FE8" w:rsidP="003D580A">
      <w:pPr>
        <w:pStyle w:val="Heading1"/>
      </w:pPr>
      <w:bookmarkStart w:id="12" w:name="_Toc529017361"/>
      <w:bookmarkStart w:id="13" w:name="_Toc529017380"/>
      <w:r w:rsidRPr="000D083C">
        <w:rPr>
          <w:rFonts w:hint="cs"/>
          <w:rtl/>
        </w:rPr>
        <w:t>تطبیق تفصیلی حکومت بر مبانی مختلف پیرامون حجیت</w:t>
      </w:r>
      <w:bookmarkEnd w:id="12"/>
      <w:r w:rsidR="009F785C">
        <w:rPr>
          <w:rFonts w:hint="cs"/>
          <w:rtl/>
        </w:rPr>
        <w:t xml:space="preserve"> امارات</w:t>
      </w:r>
      <w:bookmarkEnd w:id="13"/>
    </w:p>
    <w:p w:rsidR="009D1FE8" w:rsidRPr="000D083C" w:rsidRDefault="009D1FE8" w:rsidP="009D1FE8">
      <w:pPr>
        <w:jc w:val="both"/>
        <w:rPr>
          <w:rtl/>
        </w:rPr>
      </w:pPr>
      <w:r w:rsidRPr="000D083C">
        <w:rPr>
          <w:rFonts w:hint="cs"/>
          <w:rtl/>
        </w:rPr>
        <w:t>سپس متعرّض سه مبنا در مفاد اعتبار امارت شده اند و ضابطه ی حکومت را بر هر یک تطبیق داده اند .</w:t>
      </w:r>
    </w:p>
    <w:p w:rsidR="009D1FE8" w:rsidRPr="000D083C" w:rsidRDefault="009D1FE8" w:rsidP="009D1FE8">
      <w:pPr>
        <w:pStyle w:val="Heading6"/>
      </w:pPr>
      <w:bookmarkStart w:id="14" w:name="_Toc527152966"/>
      <w:bookmarkStart w:id="15" w:name="_Toc527712959"/>
      <w:bookmarkStart w:id="16" w:name="_Toc529017362"/>
      <w:bookmarkStart w:id="17" w:name="_Toc529017381"/>
      <w:r w:rsidRPr="000D083C">
        <w:rPr>
          <w:rFonts w:hint="cs"/>
          <w:rtl/>
        </w:rPr>
        <w:t>مبنای اوّل : جعل حکم مماثل</w:t>
      </w:r>
      <w:bookmarkEnd w:id="14"/>
      <w:bookmarkEnd w:id="15"/>
      <w:bookmarkEnd w:id="16"/>
      <w:bookmarkEnd w:id="17"/>
    </w:p>
    <w:p w:rsidR="009D1FE8" w:rsidRPr="000D083C" w:rsidRDefault="009D1FE8" w:rsidP="003D580A">
      <w:pPr>
        <w:jc w:val="both"/>
        <w:rPr>
          <w:rFonts w:eastAsia="Times New Roman"/>
          <w:rtl/>
        </w:rPr>
      </w:pPr>
      <w:r w:rsidRPr="000D083C">
        <w:rPr>
          <w:rFonts w:eastAsia="Times New Roman" w:hint="cs"/>
          <w:rtl/>
        </w:rPr>
        <w:t xml:space="preserve">   مشهور قائل به این شده اند که مفاد جعل حجیت برای امارات آن است که مماثل با مودّی اماره ، </w:t>
      </w:r>
      <w:r w:rsidR="003D580A" w:rsidRPr="000D083C">
        <w:rPr>
          <w:rFonts w:eastAsia="Times New Roman" w:hint="cs"/>
          <w:rtl/>
        </w:rPr>
        <w:t xml:space="preserve">شارع </w:t>
      </w:r>
      <w:r w:rsidRPr="000D083C">
        <w:rPr>
          <w:rFonts w:eastAsia="Times New Roman" w:hint="cs"/>
          <w:rtl/>
        </w:rPr>
        <w:t>جعل حکم کرده است ؛ حال مصحّح این جعل مصلحت تسهیل باشد یا مصلحت سلوکیه .</w:t>
      </w:r>
      <w:r w:rsidRPr="000D083C">
        <w:rPr>
          <w:rStyle w:val="FootnoteReference"/>
          <w:rFonts w:ascii="Tahoma" w:hAnsi="Tahoma" w:cs="B Lotus"/>
          <w:color w:val="000000"/>
          <w:sz w:val="28"/>
          <w:rtl/>
        </w:rPr>
        <w:footnoteReference w:id="2"/>
      </w:r>
      <w:r w:rsidRPr="000D083C">
        <w:rPr>
          <w:rFonts w:eastAsia="Times New Roman" w:hint="cs"/>
          <w:rtl/>
        </w:rPr>
        <w:t xml:space="preserve"> این جعل البته به لسان وجوب عمل مطابق مودّی اماره رخ داده است . </w:t>
      </w:r>
    </w:p>
    <w:p w:rsidR="009D1FE8" w:rsidRPr="000D083C" w:rsidRDefault="009D1FE8" w:rsidP="009D1FE8">
      <w:pPr>
        <w:pStyle w:val="Heading6"/>
        <w:rPr>
          <w:rtl/>
        </w:rPr>
      </w:pPr>
      <w:bookmarkStart w:id="18" w:name="_Toc527152967"/>
      <w:bookmarkStart w:id="19" w:name="_Toc527712960"/>
      <w:bookmarkStart w:id="20" w:name="_Toc529017363"/>
      <w:bookmarkStart w:id="21" w:name="_Toc529017382"/>
      <w:r w:rsidRPr="000D083C">
        <w:rPr>
          <w:rFonts w:hint="cs"/>
          <w:rtl/>
        </w:rPr>
        <w:t>مبنای دوم : جعل تعذیر و تنجیز</w:t>
      </w:r>
      <w:bookmarkEnd w:id="18"/>
      <w:bookmarkEnd w:id="19"/>
      <w:bookmarkEnd w:id="20"/>
      <w:bookmarkEnd w:id="21"/>
    </w:p>
    <w:p w:rsidR="009D1FE8" w:rsidRPr="000D083C" w:rsidRDefault="003D580A" w:rsidP="009D1FE8">
      <w:pPr>
        <w:jc w:val="both"/>
        <w:rPr>
          <w:shd w:val="clear" w:color="auto" w:fill="FFFFFF"/>
          <w:rtl/>
        </w:rPr>
      </w:pPr>
      <w:r>
        <w:rPr>
          <w:rFonts w:hint="cs"/>
          <w:shd w:val="clear" w:color="auto" w:fill="FFFFFF"/>
          <w:rtl/>
        </w:rPr>
        <w:t xml:space="preserve">   مبنای دوم </w:t>
      </w:r>
      <w:r w:rsidR="009D1FE8" w:rsidRPr="000D083C">
        <w:rPr>
          <w:rFonts w:hint="cs"/>
          <w:shd w:val="clear" w:color="auto" w:fill="FFFFFF"/>
          <w:rtl/>
        </w:rPr>
        <w:t xml:space="preserve">مختار مرحوم آخوند است </w:t>
      </w:r>
      <w:r w:rsidR="009D1FE8" w:rsidRPr="000D083C">
        <w:rPr>
          <w:rStyle w:val="FootnoteReference"/>
          <w:rFonts w:ascii="Tahoma" w:hAnsi="Tahoma" w:cs="B Lotus"/>
          <w:color w:val="000000"/>
          <w:sz w:val="28"/>
          <w:shd w:val="clear" w:color="auto" w:fill="FFFFFF"/>
          <w:rtl/>
        </w:rPr>
        <w:footnoteReference w:id="3"/>
      </w:r>
      <w:r w:rsidR="009D1FE8" w:rsidRPr="000D083C">
        <w:rPr>
          <w:rFonts w:hint="cs"/>
          <w:shd w:val="clear" w:color="auto" w:fill="FFFFFF"/>
          <w:rtl/>
        </w:rPr>
        <w:t xml:space="preserve">، در این مبنا شارع تنها یک حکم مجعول دارد که همان حکم واقعی ست . اما همانگونه که در مورد قطع این ویژگی ذاتی وجود دارد که در صورت اصابت به واقع منجّز آن است و در صورت خطا موجب تعذیر می شود ، شارع تعبّدا اماره را </w:t>
      </w:r>
      <w:r w:rsidR="00535607">
        <w:rPr>
          <w:rFonts w:hint="cs"/>
          <w:shd w:val="clear" w:color="auto" w:fill="FFFFFF"/>
          <w:rtl/>
        </w:rPr>
        <w:t xml:space="preserve">هم </w:t>
      </w:r>
      <w:r w:rsidR="009D1FE8" w:rsidRPr="000D083C">
        <w:rPr>
          <w:rFonts w:hint="cs"/>
          <w:shd w:val="clear" w:color="auto" w:fill="FFFFFF"/>
          <w:rtl/>
        </w:rPr>
        <w:t>موجب تعذیر و تنجیز دانسته است .</w:t>
      </w:r>
    </w:p>
    <w:p w:rsidR="009D1FE8" w:rsidRPr="000D083C" w:rsidRDefault="009D1FE8" w:rsidP="009D1FE8">
      <w:pPr>
        <w:pStyle w:val="Heading6"/>
        <w:rPr>
          <w:shd w:val="clear" w:color="auto" w:fill="FFFFFF"/>
          <w:rtl/>
        </w:rPr>
      </w:pPr>
      <w:bookmarkStart w:id="22" w:name="_Toc527152968"/>
      <w:bookmarkStart w:id="23" w:name="_Toc527712961"/>
      <w:bookmarkStart w:id="24" w:name="_Toc529017364"/>
      <w:bookmarkStart w:id="25" w:name="_Toc529017383"/>
      <w:r w:rsidRPr="000D083C">
        <w:rPr>
          <w:rFonts w:hint="cs"/>
          <w:rtl/>
        </w:rPr>
        <w:t>مبنای سوم : تتمیم کشف</w:t>
      </w:r>
      <w:bookmarkEnd w:id="22"/>
      <w:bookmarkEnd w:id="23"/>
      <w:bookmarkEnd w:id="24"/>
      <w:bookmarkEnd w:id="25"/>
    </w:p>
    <w:p w:rsidR="009D1FE8" w:rsidRPr="000D083C" w:rsidRDefault="009D1FE8" w:rsidP="009D1FE8">
      <w:pPr>
        <w:jc w:val="both"/>
        <w:rPr>
          <w:shd w:val="clear" w:color="auto" w:fill="FFFFFF"/>
          <w:rtl/>
        </w:rPr>
      </w:pPr>
      <w:r w:rsidRPr="000D083C">
        <w:rPr>
          <w:rFonts w:hint="cs"/>
          <w:shd w:val="clear" w:color="auto" w:fill="FFFFFF"/>
          <w:rtl/>
        </w:rPr>
        <w:t xml:space="preserve">   سومین مبنا که بعدا مورد قبو</w:t>
      </w:r>
      <w:r w:rsidR="00C87F5D">
        <w:rPr>
          <w:rFonts w:hint="cs"/>
          <w:shd w:val="clear" w:color="auto" w:fill="FFFFFF"/>
          <w:rtl/>
        </w:rPr>
        <w:t>ل مرحوم نایینی هم قرار گرفته ، چنی</w:t>
      </w:r>
      <w:r w:rsidRPr="000D083C">
        <w:rPr>
          <w:rFonts w:hint="cs"/>
          <w:shd w:val="clear" w:color="auto" w:fill="FFFFFF"/>
          <w:rtl/>
        </w:rPr>
        <w:t xml:space="preserve">ن است که بنای عقلا </w:t>
      </w:r>
      <w:r w:rsidRPr="000D083C">
        <w:rPr>
          <w:rFonts w:ascii="Times New Roman" w:hAnsi="Times New Roman" w:cs="Times New Roman" w:hint="cs"/>
          <w:shd w:val="clear" w:color="auto" w:fill="FFFFFF"/>
          <w:rtl/>
        </w:rPr>
        <w:t>–</w:t>
      </w:r>
      <w:r w:rsidRPr="000D083C">
        <w:rPr>
          <w:rFonts w:hint="cs"/>
          <w:shd w:val="clear" w:color="auto" w:fill="FFFFFF"/>
          <w:rtl/>
        </w:rPr>
        <w:t xml:space="preserve"> به عنوان مدرک اعتبار حجیت امارات </w:t>
      </w:r>
      <w:r w:rsidRPr="000D083C">
        <w:rPr>
          <w:rFonts w:ascii="Times New Roman" w:hAnsi="Times New Roman" w:cs="Times New Roman" w:hint="cs"/>
          <w:shd w:val="clear" w:color="auto" w:fill="FFFFFF"/>
          <w:rtl/>
        </w:rPr>
        <w:t>–</w:t>
      </w:r>
      <w:r w:rsidRPr="000D083C">
        <w:rPr>
          <w:rFonts w:hint="cs"/>
          <w:shd w:val="clear" w:color="auto" w:fill="FFFFFF"/>
          <w:rtl/>
        </w:rPr>
        <w:t xml:space="preserve"> آن است که اماره را تنزیل منزله ی علم کرده اند و آن را اعتبارا علم دانسته اند .</w:t>
      </w:r>
    </w:p>
    <w:p w:rsidR="009D1FE8" w:rsidRPr="000D083C" w:rsidRDefault="009D1FE8" w:rsidP="009D1FE8">
      <w:pPr>
        <w:pStyle w:val="Heading1"/>
        <w:rPr>
          <w:rtl/>
        </w:rPr>
      </w:pPr>
      <w:bookmarkStart w:id="26" w:name="_Toc527152969"/>
      <w:bookmarkStart w:id="27" w:name="_Toc527712962"/>
      <w:bookmarkStart w:id="28" w:name="_Toc529017365"/>
      <w:bookmarkStart w:id="29" w:name="_Toc529017384"/>
      <w:r w:rsidRPr="000D083C">
        <w:rPr>
          <w:rFonts w:hint="cs"/>
          <w:rtl/>
        </w:rPr>
        <w:lastRenderedPageBreak/>
        <w:t>تطبیق ضابطه حکومت</w:t>
      </w:r>
      <w:bookmarkEnd w:id="26"/>
      <w:bookmarkEnd w:id="27"/>
      <w:bookmarkEnd w:id="28"/>
      <w:bookmarkEnd w:id="29"/>
    </w:p>
    <w:p w:rsidR="009D1FE8" w:rsidRPr="000D083C" w:rsidRDefault="009D1FE8" w:rsidP="009D1FE8">
      <w:pPr>
        <w:jc w:val="both"/>
        <w:rPr>
          <w:shd w:val="clear" w:color="auto" w:fill="FFFFFF"/>
          <w:rtl/>
        </w:rPr>
      </w:pPr>
      <w:r w:rsidRPr="000D083C">
        <w:rPr>
          <w:rFonts w:hint="cs"/>
          <w:shd w:val="clear" w:color="auto" w:fill="FFFFFF"/>
          <w:rtl/>
        </w:rPr>
        <w:t xml:space="preserve">   مرحوم آخوند فرموده اند مطابق مبنای مشهور ضابطه ی حکومت قابل انطباق نیست ؛ زیرا شارع تنها امر کرده به مودّی اماره عمل کنید ، آیا معنای این وجوب آن است که اصل عملی شرعی در مورد اشتراک حجت نباشد ؟ به عبارت دوم آیا معنای وجوب عمل به مودّی اماره ، نبود شک و رفع موضوع اصل است ؟ این لسان برای دلیل اعتبار اماره اصلا متعرّض موارد شک نیست . همراه با این که اصل مبنا هم صحیح نیست . در مورد مبنای دوم هم عدم انطباق ملاک حکومت پر واضح است و نیاز به بحث ندارد .</w:t>
      </w:r>
    </w:p>
    <w:p w:rsidR="009D1FE8" w:rsidRPr="000D083C" w:rsidRDefault="009D1FE8" w:rsidP="009D1FE8">
      <w:pPr>
        <w:jc w:val="both"/>
        <w:rPr>
          <w:shd w:val="clear" w:color="auto" w:fill="FFFFFF"/>
          <w:rtl/>
        </w:rPr>
      </w:pPr>
      <w:r w:rsidRPr="000D083C">
        <w:rPr>
          <w:rFonts w:hint="cs"/>
          <w:shd w:val="clear" w:color="auto" w:fill="FFFFFF"/>
          <w:rtl/>
        </w:rPr>
        <w:t xml:space="preserve">   اما مطابق مبنای سوم « یختلف الحال » ، و دیگر سوال « لِمَ لا یُعکَس ؟ » قابل طرح نیست زیرا امر متعیّن در تقدیم امارات به ملاک حکومت است . توضیح آن که در این مبنا لسان دلیل اعتبار اماره متعرّض حال اصل عملی شرعی ست زیرا اماره را علم می داند و شک را که موضوع اصل است ، به لسان خود منتفی می کند . </w:t>
      </w:r>
      <w:r w:rsidRPr="000D083C">
        <w:rPr>
          <w:rStyle w:val="FootnoteReference"/>
          <w:rFonts w:ascii="Tahoma" w:hAnsi="Tahoma" w:cs="B Lotus"/>
          <w:color w:val="000000"/>
          <w:sz w:val="28"/>
          <w:shd w:val="clear" w:color="auto" w:fill="FFFFFF"/>
          <w:rtl/>
        </w:rPr>
        <w:footnoteReference w:id="4"/>
      </w:r>
      <w:r w:rsidRPr="000D083C">
        <w:rPr>
          <w:rFonts w:hint="cs"/>
          <w:shd w:val="clear" w:color="auto" w:fill="FFFFFF"/>
          <w:rtl/>
        </w:rPr>
        <w:t xml:space="preserve"> </w:t>
      </w:r>
    </w:p>
    <w:p w:rsidR="001A1EA5" w:rsidRPr="009D1FE8" w:rsidRDefault="009D1FE8" w:rsidP="009D1FE8">
      <w:pPr>
        <w:jc w:val="both"/>
        <w:rPr>
          <w:shd w:val="clear" w:color="auto" w:fill="FFFFFF"/>
          <w:rtl/>
        </w:rPr>
      </w:pPr>
      <w:r w:rsidRPr="000D083C">
        <w:rPr>
          <w:rFonts w:hint="cs"/>
          <w:shd w:val="clear" w:color="auto" w:fill="FFFFFF"/>
          <w:rtl/>
        </w:rPr>
        <w:t xml:space="preserve">   به حسب لسان دلیل اعتبار اماره ، باید به آن عمل کرد زیرا احتمال مطابقت با واقع نسبت به مودّی آن مطرح است ، اما مفاد لسان دلیل اعتبار اصل آن است که حجت می باشد زیرا احتمال مخالفت مودّی آن با واقع ، وجود دارد . یعنی مثلا در مورد برائت شارع می فرماید : « احتمال ثبوت تکلیفی که نزد مکلّف موجود است ، منجّز نیست . » به عبارت دیگر حیث تعلیلی جعل حجیت برای اماره « احتمال وفاق مودّی اماره » است اما همین حیث تعلیلی در مورد اصل « احتمال خلاف مودّی اصل » است . به سومین عبارت حیث اعتبار اماره « احتمال صدق » است و حیث اعتبار اصول شرعیه « احتمال کذب » . و همین مطلب موجب تقدّم امارات بر اصول به ملاک حکومت است . با این بیان مرحوم آخوند اشکالی که در کلام مرحوم خویی است و بعدا مطرح می کنیم ، قابل دفع می باشد .</w:t>
      </w:r>
    </w:p>
    <w:sectPr w:rsidR="001A1EA5" w:rsidRPr="009D1FE8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91E" w:rsidRDefault="002B191E" w:rsidP="008B750B">
      <w:pPr>
        <w:spacing w:line="240" w:lineRule="auto"/>
      </w:pPr>
      <w:r>
        <w:separator/>
      </w:r>
    </w:p>
  </w:endnote>
  <w:endnote w:type="continuationSeparator" w:id="0">
    <w:p w:rsidR="002B191E" w:rsidRDefault="002B191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F785C" w:rsidRPr="009F785C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FA1F5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7" w:name="BokAdres"/>
          <w:bookmarkEnd w:id="37"/>
          <w:r>
            <w:rPr>
              <w:color w:val="808080" w:themeColor="background1" w:themeShade="80"/>
            </w:rPr>
            <w:t>U1mq1_13970710-006_ab1_mfeb.ir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91E" w:rsidRDefault="002B191E" w:rsidP="008B750B">
      <w:pPr>
        <w:spacing w:line="240" w:lineRule="auto"/>
      </w:pPr>
      <w:r>
        <w:separator/>
      </w:r>
    </w:p>
  </w:footnote>
  <w:footnote w:type="continuationSeparator" w:id="0">
    <w:p w:rsidR="002B191E" w:rsidRDefault="002B191E" w:rsidP="008B750B">
      <w:pPr>
        <w:spacing w:line="240" w:lineRule="auto"/>
      </w:pPr>
      <w:r>
        <w:continuationSeparator/>
      </w:r>
    </w:p>
  </w:footnote>
  <w:footnote w:id="1">
    <w:p w:rsidR="009D1FE8" w:rsidRPr="006D3BB2" w:rsidRDefault="009D1FE8" w:rsidP="009D1FE8">
      <w:pPr>
        <w:pStyle w:val="FootnoteText"/>
        <w:jc w:val="both"/>
        <w:rPr>
          <w:rFonts w:cs="B Lotus"/>
        </w:rPr>
      </w:pPr>
      <w:r w:rsidRPr="006D3BB2">
        <w:rPr>
          <w:rStyle w:val="FootnoteReference"/>
          <w:rFonts w:cs="B Lotus"/>
          <w:vertAlign w:val="baseline"/>
        </w:rPr>
        <w:footnoteRef/>
      </w:r>
      <w:r w:rsidRPr="006D3BB2">
        <w:rPr>
          <w:rFonts w:cs="B Lotus" w:hint="cs"/>
          <w:rtl/>
        </w:rPr>
        <w:t xml:space="preserve">. موضوع حکم به اعتبار اماره هم شک است و حجیت اماره مقیّد به شک می باشد ، اصلا اطلاق آن نسبت به موارد علم معقول نیست ، تفکیک میان مورد و موضوع هم حلّی در پی ندارد ، همانگونه که مرحوم خویی به این مطلب اشکال کرده اند . </w:t>
      </w:r>
    </w:p>
  </w:footnote>
  <w:footnote w:id="2">
    <w:p w:rsidR="009D1FE8" w:rsidRPr="006D3BB2" w:rsidRDefault="009D1FE8" w:rsidP="009D1FE8">
      <w:pPr>
        <w:pStyle w:val="FootnoteText"/>
        <w:jc w:val="both"/>
        <w:rPr>
          <w:rFonts w:cs="B Lotus"/>
        </w:rPr>
      </w:pPr>
      <w:r w:rsidRPr="006D3BB2">
        <w:rPr>
          <w:rStyle w:val="FootnoteReference"/>
          <w:rFonts w:cs="B Lotus"/>
          <w:vertAlign w:val="baseline"/>
        </w:rPr>
        <w:footnoteRef/>
      </w:r>
      <w:r w:rsidRPr="006D3BB2">
        <w:rPr>
          <w:rFonts w:cs="B Lotus" w:hint="cs"/>
          <w:rtl/>
        </w:rPr>
        <w:t>. مصلحت سلوکیه مبنای مستقلی در مفاد حجیت امارات نمی باشد ، بلکه مصحّح مبنای مشهور در این امرو جعل حکم مماثل است .</w:t>
      </w:r>
    </w:p>
  </w:footnote>
  <w:footnote w:id="3">
    <w:p w:rsidR="009D1FE8" w:rsidRPr="006D3BB2" w:rsidRDefault="009D1FE8" w:rsidP="009D1FE8">
      <w:pPr>
        <w:pStyle w:val="FootnoteText"/>
        <w:jc w:val="both"/>
        <w:rPr>
          <w:rFonts w:cs="B Lotus"/>
          <w:rtl/>
        </w:rPr>
      </w:pPr>
      <w:r w:rsidRPr="006D3BB2">
        <w:rPr>
          <w:rStyle w:val="FootnoteReference"/>
          <w:rFonts w:cs="B Lotus"/>
          <w:vertAlign w:val="baseline"/>
        </w:rPr>
        <w:footnoteRef/>
      </w:r>
      <w:r w:rsidRPr="006D3BB2">
        <w:rPr>
          <w:rFonts w:cs="B Lotus" w:hint="cs"/>
          <w:rtl/>
        </w:rPr>
        <w:t>. کفایه الأصول : 277</w:t>
      </w:r>
    </w:p>
  </w:footnote>
  <w:footnote w:id="4">
    <w:p w:rsidR="009D1FE8" w:rsidRPr="006D3BB2" w:rsidRDefault="009D1FE8" w:rsidP="009D1FE8">
      <w:pPr>
        <w:pStyle w:val="FootnoteText"/>
        <w:jc w:val="both"/>
        <w:rPr>
          <w:rFonts w:cs="B Lotus"/>
        </w:rPr>
      </w:pPr>
      <w:r w:rsidRPr="006D3BB2">
        <w:rPr>
          <w:rStyle w:val="FootnoteReference"/>
          <w:rFonts w:cs="B Lotus"/>
          <w:vertAlign w:val="baseline"/>
        </w:rPr>
        <w:footnoteRef/>
      </w:r>
      <w:r w:rsidRPr="006D3BB2">
        <w:rPr>
          <w:rFonts w:cs="B Lotus" w:hint="cs"/>
          <w:rtl/>
        </w:rPr>
        <w:t>. این مطلب منافاتی با آن ندارد که موضوع هر دو به حسب لبّ و ثبوت « شک » 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30" w:name="BokNum"/>
    <w:bookmarkEnd w:id="30"/>
    <w:r w:rsidR="00FA1F5F">
      <w:rPr>
        <w:b/>
        <w:bCs/>
        <w:sz w:val="20"/>
        <w:szCs w:val="24"/>
        <w:rtl/>
      </w:rPr>
      <w:t>006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31" w:name="Bokdars"/>
    <w:bookmarkEnd w:id="31"/>
    <w:r w:rsidR="00FA1F5F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32" w:name="Bokostad"/>
    <w:bookmarkEnd w:id="32"/>
    <w:r w:rsidR="00FA1F5F">
      <w:rPr>
        <w:b/>
        <w:bCs/>
        <w:color w:val="632423" w:themeColor="accent2" w:themeShade="80"/>
        <w:sz w:val="20"/>
        <w:szCs w:val="24"/>
        <w:rtl/>
      </w:rPr>
      <w:t>قائ</w:t>
    </w:r>
    <w:r w:rsidR="00FA1F5F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1F5F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FA1F5F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33" w:name="BokTarikh"/>
    <w:bookmarkEnd w:id="33"/>
    <w:r w:rsidR="00FA1F5F">
      <w:rPr>
        <w:sz w:val="24"/>
        <w:szCs w:val="24"/>
        <w:rtl/>
      </w:rPr>
      <w:t>10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34" w:name="BokSabj"/>
    <w:bookmarkEnd w:id="34"/>
    <w:r w:rsidR="00FA1F5F">
      <w:rPr>
        <w:color w:val="000000" w:themeColor="text1"/>
        <w:sz w:val="24"/>
        <w:szCs w:val="24"/>
        <w:rtl/>
      </w:rPr>
      <w:t>تعارض غ</w:t>
    </w:r>
    <w:r w:rsidR="00FA1F5F">
      <w:rPr>
        <w:rFonts w:hint="cs"/>
        <w:color w:val="000000" w:themeColor="text1"/>
        <w:sz w:val="24"/>
        <w:szCs w:val="24"/>
        <w:rtl/>
      </w:rPr>
      <w:t>ی</w:t>
    </w:r>
    <w:r w:rsidR="00FA1F5F">
      <w:rPr>
        <w:rFonts w:hint="eastAsia"/>
        <w:color w:val="000000" w:themeColor="text1"/>
        <w:sz w:val="24"/>
        <w:szCs w:val="24"/>
        <w:rtl/>
      </w:rPr>
      <w:t>ر</w:t>
    </w:r>
    <w:r w:rsidR="00FA1F5F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35" w:name="Bokmoqarer"/>
    <w:bookmarkEnd w:id="35"/>
    <w:r w:rsidR="00FA1F5F">
      <w:rPr>
        <w:sz w:val="24"/>
        <w:szCs w:val="24"/>
        <w:rtl/>
      </w:rPr>
      <w:t>عل</w:t>
    </w:r>
    <w:r w:rsidR="00FA1F5F">
      <w:rPr>
        <w:rFonts w:hint="cs"/>
        <w:sz w:val="24"/>
        <w:szCs w:val="24"/>
        <w:rtl/>
      </w:rPr>
      <w:t>ی</w:t>
    </w:r>
    <w:r w:rsidR="00FA1F5F">
      <w:rPr>
        <w:sz w:val="24"/>
        <w:szCs w:val="24"/>
        <w:rtl/>
      </w:rPr>
      <w:t xml:space="preserve"> بهادرزا</w:t>
    </w:r>
    <w:r w:rsidR="00FA1F5F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6" w:name="BokSabj2"/>
    <w:bookmarkEnd w:id="36"/>
    <w:r w:rsidR="00FA1F5F">
      <w:rPr>
        <w:sz w:val="24"/>
        <w:szCs w:val="24"/>
        <w:rtl/>
      </w:rPr>
      <w:t>حکومت امارات بر اصول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12F6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191E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580A"/>
    <w:rsid w:val="003E0BCB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C7309"/>
    <w:rsid w:val="004D2DD7"/>
    <w:rsid w:val="004D75C5"/>
    <w:rsid w:val="004E2186"/>
    <w:rsid w:val="004E66FB"/>
    <w:rsid w:val="004F470A"/>
    <w:rsid w:val="004F4C59"/>
    <w:rsid w:val="00500C8F"/>
    <w:rsid w:val="00501909"/>
    <w:rsid w:val="00503AAF"/>
    <w:rsid w:val="00507BBB"/>
    <w:rsid w:val="005128DF"/>
    <w:rsid w:val="0051592A"/>
    <w:rsid w:val="005206FE"/>
    <w:rsid w:val="005257ED"/>
    <w:rsid w:val="005306F8"/>
    <w:rsid w:val="00535607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96B1D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132E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1FE8"/>
    <w:rsid w:val="009D266A"/>
    <w:rsid w:val="009F785C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2AA9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87F5D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B7648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1F5F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58350-8E41-4701-9926-C07077BBC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8</TotalTime>
  <Pages>3</Pages>
  <Words>708</Words>
  <Characters>4037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4736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13</cp:revision>
  <dcterms:created xsi:type="dcterms:W3CDTF">2018-10-19T08:16:00Z</dcterms:created>
  <dcterms:modified xsi:type="dcterms:W3CDTF">2018-11-03T10:37:00Z</dcterms:modified>
  <cp:contentStatus>ویرایش 2.5</cp:contentStatus>
  <cp:version>2.7</cp:version>
</cp:coreProperties>
</file>