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6D7" w:rsidRPr="008A522A" w:rsidRDefault="003D36D7" w:rsidP="003D36D7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793F880C" wp14:editId="15532BB9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6D7" w:rsidRDefault="003D36D7" w:rsidP="003D36D7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2939219" w:history="1">
        <w:r w:rsidRPr="00807749">
          <w:rPr>
            <w:rStyle w:val="Hyperlink"/>
            <w:noProof/>
            <w:rtl/>
          </w:rPr>
          <w:t>وجوه تقد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rFonts w:hint="eastAsia"/>
            <w:noProof/>
            <w:rtl/>
          </w:rPr>
          <w:t>م</w:t>
        </w:r>
        <w:r w:rsidRPr="00807749">
          <w:rPr>
            <w:rStyle w:val="Hyperlink"/>
            <w:noProof/>
            <w:rtl/>
          </w:rPr>
          <w:t xml:space="preserve"> اصل سبب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noProof/>
            <w:rtl/>
          </w:rPr>
          <w:t xml:space="preserve"> بر مسبب</w:t>
        </w:r>
        <w:r w:rsidRPr="00807749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532939219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D36D7" w:rsidRDefault="003D36D7" w:rsidP="003D36D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2939220" w:history="1">
        <w:r w:rsidRPr="00807749">
          <w:rPr>
            <w:rStyle w:val="Hyperlink"/>
            <w:noProof/>
            <w:rtl/>
          </w:rPr>
          <w:t>وجه تقد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rFonts w:hint="eastAsia"/>
            <w:noProof/>
            <w:rtl/>
          </w:rPr>
          <w:t>م</w:t>
        </w:r>
        <w:r w:rsidRPr="00807749">
          <w:rPr>
            <w:rStyle w:val="Hyperlink"/>
            <w:noProof/>
            <w:rtl/>
          </w:rPr>
          <w:t xml:space="preserve"> اصل مسبب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noProof/>
            <w:rtl/>
          </w:rPr>
          <w:t xml:space="preserve"> در ب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rFonts w:hint="eastAsia"/>
            <w:noProof/>
            <w:rtl/>
          </w:rPr>
          <w:t>ان</w:t>
        </w:r>
        <w:r w:rsidRPr="00807749">
          <w:rPr>
            <w:rStyle w:val="Hyperlink"/>
            <w:noProof/>
            <w:rtl/>
          </w:rPr>
          <w:t xml:space="preserve"> محقق حائر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532939220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3D36D7" w:rsidRDefault="003D36D7" w:rsidP="003D36D7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2939221" w:history="1">
        <w:r w:rsidRPr="00807749">
          <w:rPr>
            <w:rStyle w:val="Hyperlink"/>
            <w:noProof/>
            <w:rtl/>
          </w:rPr>
          <w:t>تقر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rFonts w:hint="eastAsia"/>
            <w:noProof/>
            <w:rtl/>
          </w:rPr>
          <w:t>ب</w:t>
        </w:r>
        <w:r w:rsidRPr="00807749">
          <w:rPr>
            <w:rStyle w:val="Hyperlink"/>
            <w:noProof/>
            <w:rtl/>
          </w:rPr>
          <w:t xml:space="preserve"> محقق اصفهان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noProof/>
            <w:rtl/>
          </w:rPr>
          <w:t xml:space="preserve"> در تب</w:t>
        </w:r>
        <w:r w:rsidRPr="00807749">
          <w:rPr>
            <w:rStyle w:val="Hyperlink"/>
            <w:rFonts w:hint="cs"/>
            <w:noProof/>
            <w:rtl/>
          </w:rPr>
          <w:t>یی</w:t>
        </w:r>
        <w:r w:rsidRPr="00807749">
          <w:rPr>
            <w:rStyle w:val="Hyperlink"/>
            <w:rFonts w:hint="eastAsia"/>
            <w:noProof/>
            <w:rtl/>
          </w:rPr>
          <w:t>ن</w:t>
        </w:r>
        <w:r w:rsidRPr="00807749">
          <w:rPr>
            <w:rStyle w:val="Hyperlink"/>
            <w:noProof/>
            <w:rtl/>
          </w:rPr>
          <w:t xml:space="preserve"> مراد محقق حائر</w:t>
        </w:r>
        <w:r w:rsidRPr="00807749">
          <w:rPr>
            <w:rStyle w:val="Hyperlink"/>
            <w:rFonts w:hint="cs"/>
            <w:noProof/>
            <w:rtl/>
          </w:rPr>
          <w:t>ی</w:t>
        </w:r>
        <w:r w:rsidRPr="00807749">
          <w:rPr>
            <w:rStyle w:val="Hyperlink"/>
            <w:noProof/>
            <w:rtl/>
          </w:rPr>
          <w:t>: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532939221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D36D7" w:rsidRPr="00C91EB6" w:rsidRDefault="003D36D7" w:rsidP="003D36D7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3D36D7" w:rsidRPr="00A6366F" w:rsidRDefault="003D36D7" w:rsidP="003D36D7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Pr="00A6366F">
        <w:rPr>
          <w:rFonts w:hint="cs"/>
          <w:rtl/>
        </w:rPr>
        <w:t xml:space="preserve"> </w:t>
      </w:r>
      <w:bookmarkStart w:id="0" w:name="BokSabj2_d"/>
      <w:bookmarkEnd w:id="0"/>
      <w:r>
        <w:rPr>
          <w:rtl/>
        </w:rPr>
        <w:t>استصحاب سبب</w:t>
      </w:r>
      <w:r>
        <w:rPr>
          <w:rFonts w:hint="cs"/>
          <w:rtl/>
        </w:rPr>
        <w:t>ی</w:t>
      </w:r>
      <w:r>
        <w:rPr>
          <w:rtl/>
        </w:rPr>
        <w:t xml:space="preserve"> و مسسب</w:t>
      </w:r>
      <w:r>
        <w:rPr>
          <w:rFonts w:hint="cs"/>
          <w:rtl/>
        </w:rPr>
        <w:t xml:space="preserve">ی </w:t>
      </w:r>
      <w:r w:rsidRPr="00A6366F">
        <w:rPr>
          <w:rFonts w:hint="cs"/>
          <w:rtl/>
        </w:rPr>
        <w:t>/</w:t>
      </w:r>
      <w:bookmarkStart w:id="1" w:name="BokSabj_d"/>
      <w:bookmarkEnd w:id="1"/>
      <w:r>
        <w:rPr>
          <w:rtl/>
        </w:rPr>
        <w:t>تعارض استصحاب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A6366F">
        <w:rPr>
          <w:rFonts w:hint="cs"/>
          <w:rtl/>
        </w:rPr>
        <w:t xml:space="preserve"> /</w:t>
      </w:r>
      <w:bookmarkStart w:id="2" w:name="Bokkolli"/>
      <w:bookmarkEnd w:id="2"/>
      <w:r>
        <w:rPr>
          <w:rtl/>
        </w:rPr>
        <w:t>تعادل و تراج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Pr="00A6366F">
        <w:rPr>
          <w:rFonts w:hint="cs"/>
          <w:rtl/>
        </w:rPr>
        <w:t xml:space="preserve"> </w:t>
      </w:r>
    </w:p>
    <w:p w:rsidR="003D36D7" w:rsidRPr="009C66D5" w:rsidRDefault="003D36D7" w:rsidP="003D36D7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D36D7" w:rsidRDefault="003D36D7" w:rsidP="003D36D7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 وجوه تقدیم اصل سببی بر اصل مسببی بود که به بیان محقق حائری رسیدیم</w:t>
      </w:r>
    </w:p>
    <w:p w:rsidR="003D36D7" w:rsidRPr="003A6148" w:rsidRDefault="003D36D7" w:rsidP="003D36D7">
      <w:pPr>
        <w:pBdr>
          <w:bottom w:val="double" w:sz="6" w:space="1" w:color="auto"/>
        </w:pBdr>
      </w:pPr>
    </w:p>
    <w:p w:rsidR="003D36D7" w:rsidRDefault="003D36D7" w:rsidP="003D36D7"/>
    <w:p w:rsidR="003D36D7" w:rsidRDefault="003D36D7" w:rsidP="003D36D7">
      <w:pPr>
        <w:pStyle w:val="Heading1"/>
        <w:rPr>
          <w:rtl/>
        </w:rPr>
      </w:pPr>
      <w:bookmarkStart w:id="3" w:name="_Toc532939219"/>
      <w:r>
        <w:rPr>
          <w:rFonts w:hint="cs"/>
          <w:rtl/>
        </w:rPr>
        <w:t>وجوه تقدیم اصل سببی بر مسببی</w:t>
      </w:r>
      <w:bookmarkEnd w:id="3"/>
    </w:p>
    <w:p w:rsidR="003D36D7" w:rsidRDefault="003D36D7" w:rsidP="003D36D7">
      <w:pPr>
        <w:pStyle w:val="Heading2"/>
        <w:rPr>
          <w:rtl/>
        </w:rPr>
      </w:pPr>
      <w:bookmarkStart w:id="4" w:name="_Toc532939220"/>
      <w:r>
        <w:rPr>
          <w:rFonts w:hint="cs"/>
          <w:rtl/>
        </w:rPr>
        <w:t>وجه تقدیم اصل مسببی در بیان محقق حائری:</w:t>
      </w:r>
      <w:r>
        <w:rPr>
          <w:rStyle w:val="FootnoteReference"/>
          <w:rtl/>
        </w:rPr>
        <w:footnoteReference w:id="1"/>
      </w:r>
      <w:bookmarkEnd w:id="4"/>
    </w:p>
    <w:p w:rsidR="003D36D7" w:rsidRDefault="003D36D7" w:rsidP="003D36D7">
      <w:pPr>
        <w:rPr>
          <w:rtl/>
        </w:rPr>
      </w:pPr>
      <w:r>
        <w:rPr>
          <w:rFonts w:hint="cs"/>
          <w:rtl/>
        </w:rPr>
        <w:t>محقق حائری بیان دیگری در وجه تقدیم اصل مسببی بر اصل سببی دارند که مطابق با آنچه شیخ در رسائل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فرموده اند می باشد و محقق اصفهانی آنرا نقل و رد نموده است.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ایشان می فرمایند: شک سببی دو لازمه دارد یکی حکم لا تنقض برای شک سببی که همان استصحاب است و دیگری شک مسببی که مترتب بر شک سببی است. بنابر این شک مسببی و استصحاب سببی در یک رتبه قرار می گیرند و شک مسببی همانند حکم شک سببی، در رتبه معلول و لازم شک سببی قرار گرفته و متاخر رتبی از آن می باشد.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با توجه به تاخر رتبی شک مسببی از شک سببی، استصحاب در رتبه متقدم در شک سببی جاری می شود و شک مسببی را مرتفع می سازد و استصحاب مسببی، موضوع نخواهد داشت و تعارضی فرض نخواهد شد.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این بیان به ورود نیز قابل تطبیق است به این بیان که با جریان اصل سببی، شک در مسبب حقیقتا از بین می رود</w:t>
      </w:r>
    </w:p>
    <w:p w:rsidR="003D36D7" w:rsidRDefault="003D36D7" w:rsidP="003D36D7">
      <w:pPr>
        <w:pStyle w:val="Heading2"/>
        <w:rPr>
          <w:rtl/>
        </w:rPr>
      </w:pPr>
      <w:bookmarkStart w:id="5" w:name="_Toc532939221"/>
      <w:r>
        <w:rPr>
          <w:rFonts w:hint="cs"/>
          <w:rtl/>
        </w:rPr>
        <w:lastRenderedPageBreak/>
        <w:t>تقریب محقق اصفهانی در تبیین مراد محقق حائری:</w:t>
      </w:r>
      <w:r>
        <w:rPr>
          <w:rStyle w:val="FootnoteReference"/>
          <w:rtl/>
        </w:rPr>
        <w:footnoteReference w:id="3"/>
      </w:r>
      <w:bookmarkEnd w:id="5"/>
    </w:p>
    <w:p w:rsidR="003D36D7" w:rsidRDefault="003D36D7" w:rsidP="003D36D7">
      <w:pPr>
        <w:rPr>
          <w:rtl/>
        </w:rPr>
      </w:pPr>
      <w:r>
        <w:rPr>
          <w:rFonts w:hint="cs"/>
          <w:rtl/>
        </w:rPr>
        <w:t>محقق اصفهانی بیانی از شیخ نقل می کنند و در ادامه کلامی از محقق حائری نقل می کنند که ظاهر آن همانند کلام شیخ است اما محقق اصفهانی، بیان محقق حائری را تغییر داده و تقریب دیگری ازآن ارائه می دهند و می فرمایند: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البته تفاوت کلام شیخ و محقق حائری در اینست که شیخ، ترتب شک مسببی و سببی را  به گونه ای دیگر تبیین می کنند و می فرمایند: شک سببی دو لازمه دارد یکی حکم شک سببی که همان لا تنقض و استصحاب است و یکی شک مسببی است و رتبه لازم متاخر از مزوم است و استصحاب که در رتبه شک مسببی است نمی تواند حکم شک مسببی و متاخر از آن باشد.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بنابر این کلام مرحوم شیخ اینست که رتبه لا تنقض با رتبه شک مسببی یکی است و لذا نمی تواند شک مسببی موضوع آن و مقدم بر آن باشد.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ظاهر کلام محقق حائری نیز همین مطلب است هرچند که محقق اصفهانی آنرا به بیانی دیگر تاویل میبرند و می فرمایند: جریان استصحاب در شک سببی و شک مسببی مانع یکدیگر می باشند و بین این دو استصحاب تمانع وجود دارد. اما از آنجا که رتبه شک سببی مقدم بر شک مسببی است، استصحاب در شک سببی بلا مانع جاری می شود و پس از جریان استصحاب در اصل سببی، جریان استصحاب در مسبب مبتلا به مانع شده و جاری نمی شود.</w:t>
      </w:r>
    </w:p>
    <w:p w:rsidR="003D36D7" w:rsidRDefault="003D36D7" w:rsidP="003D36D7">
      <w:pPr>
        <w:rPr>
          <w:rtl/>
        </w:rPr>
      </w:pPr>
      <w:r>
        <w:rPr>
          <w:rFonts w:hint="cs"/>
          <w:rtl/>
        </w:rPr>
        <w:t>امتیاز این بیان این است که حتی اگر مثبتات استصحاب نیز حجت باشد اصل سببی بر اصل مسببی مقدم است و حکم امارتین متعارضتین را ندارد تا تعارض شکل بگیرد؛ زیرا در امارتین، اماره بر سبب مقدم بر اماره بر مسبب نیست و امارتین به جهت حجیت لوازم در هردو طرف، متعارض بوده و هم دیگر را نفی می کنند. اما در اصل سببی و مسببی حتی اگر مثبتات آن نیز حجت باشد، به جهت تقدم رتبه اصل سببی بر اصل مسببی، جریان اصل در سبب مانعی ندارد و با جریان استصحاب در سبب، استصحاب در مسبب جاری نخواهد شد و از آنجا که اصل مسببی مبتلا به مانع است و جاری نمی شود، و نوبت به حجیت مثبتات آن نخواهد رسید.</w:t>
      </w:r>
    </w:p>
    <w:p w:rsidR="001A1EA5" w:rsidRPr="003D36D7" w:rsidRDefault="003D36D7" w:rsidP="003D36D7">
      <w:pPr>
        <w:rPr>
          <w:rtl/>
        </w:rPr>
      </w:pPr>
      <w:r>
        <w:rPr>
          <w:rFonts w:hint="cs"/>
          <w:rtl/>
        </w:rPr>
        <w:t>بنابرآنچه گذشت روشن میشود بیان محقق حائری منحصر در استصحاب سببی و مسببی نیست و در مانند اصاله الطهاره سببی نیز جاری است زیرا قاعده طهارت هرچند اگر با استصحاب هم عرض باشند، جاری نمی شود و محکوم استصحاب می شود؛ ولی اگر قاعده طهارت در سبب جاری باشد، رتبه آن بر استصحاب مقدم است و در رتبه سابق بدون مانع جاری می شود و پس از جریان آن، مانع از جریان استصحاب مسببی</w:t>
      </w:r>
      <w:r>
        <w:rPr>
          <w:rFonts w:hint="cs"/>
          <w:rtl/>
        </w:rPr>
        <w:t xml:space="preserve"> می شود</w:t>
      </w:r>
      <w:bookmarkStart w:id="6" w:name="_GoBack"/>
      <w:bookmarkEnd w:id="6"/>
    </w:p>
    <w:sectPr w:rsidR="001A1EA5" w:rsidRPr="003D36D7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9F6" w:rsidRDefault="008A69F6" w:rsidP="008B750B">
      <w:pPr>
        <w:spacing w:line="240" w:lineRule="auto"/>
      </w:pPr>
      <w:r>
        <w:separator/>
      </w:r>
    </w:p>
  </w:endnote>
  <w:endnote w:type="continuationSeparator" w:id="0">
    <w:p w:rsidR="008A69F6" w:rsidRDefault="008A69F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D36D7" w:rsidRPr="003D36D7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DB0B6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U1mq1_13970918-041_hs2_mfeb.ir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9F6" w:rsidRDefault="008A69F6" w:rsidP="008B750B">
      <w:pPr>
        <w:spacing w:line="240" w:lineRule="auto"/>
      </w:pPr>
      <w:r>
        <w:separator/>
      </w:r>
    </w:p>
  </w:footnote>
  <w:footnote w:type="continuationSeparator" w:id="0">
    <w:p w:rsidR="008A69F6" w:rsidRDefault="008A69F6" w:rsidP="008B750B">
      <w:pPr>
        <w:spacing w:line="240" w:lineRule="auto"/>
      </w:pPr>
      <w:r>
        <w:continuationSeparator/>
      </w:r>
    </w:p>
  </w:footnote>
  <w:footnote w:id="1">
    <w:p w:rsidR="003D36D7" w:rsidRDefault="003D36D7" w:rsidP="003D36D7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 </w:t>
      </w:r>
      <w:hyperlink r:id="rId1" w:history="1">
        <w:r w:rsidRPr="00CB1CDE">
          <w:rPr>
            <w:rStyle w:val="Hyperlink"/>
            <w:rtl/>
          </w:rPr>
          <w:t>درر الفوائد، عبدالکر</w:t>
        </w:r>
        <w:r w:rsidRPr="00CB1CDE">
          <w:rPr>
            <w:rStyle w:val="Hyperlink"/>
            <w:rFonts w:hint="cs"/>
            <w:rtl/>
          </w:rPr>
          <w:t>ی</w:t>
        </w:r>
        <w:r w:rsidRPr="00CB1CDE">
          <w:rPr>
            <w:rStyle w:val="Hyperlink"/>
            <w:rFonts w:hint="eastAsia"/>
            <w:rtl/>
          </w:rPr>
          <w:t>م</w:t>
        </w:r>
        <w:r w:rsidRPr="00CB1CDE">
          <w:rPr>
            <w:rStyle w:val="Hyperlink"/>
            <w:rtl/>
          </w:rPr>
          <w:t xml:space="preserve"> حائر</w:t>
        </w:r>
        <w:r w:rsidRPr="00CB1CDE">
          <w:rPr>
            <w:rStyle w:val="Hyperlink"/>
            <w:rFonts w:hint="cs"/>
            <w:rtl/>
          </w:rPr>
          <w:t>ی</w:t>
        </w:r>
        <w:r w:rsidRPr="00CB1CDE">
          <w:rPr>
            <w:rStyle w:val="Hyperlink"/>
            <w:rFonts w:hint="eastAsia"/>
            <w:rtl/>
          </w:rPr>
          <w:t>،</w:t>
        </w:r>
        <w:r w:rsidRPr="00CB1CDE">
          <w:rPr>
            <w:rStyle w:val="Hyperlink"/>
            <w:rtl/>
          </w:rPr>
          <w:t xml:space="preserve"> ج2، ص258.</w:t>
        </w:r>
      </w:hyperlink>
    </w:p>
    <w:p w:rsidR="003D36D7" w:rsidRDefault="003D36D7" w:rsidP="003D36D7">
      <w:pPr>
        <w:pStyle w:val="FootnoteText"/>
        <w:rPr>
          <w:rtl/>
        </w:rPr>
      </w:pPr>
    </w:p>
  </w:footnote>
  <w:footnote w:id="2">
    <w:p w:rsidR="003D36D7" w:rsidRDefault="003D36D7" w:rsidP="003D36D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فرائد</w:t>
      </w:r>
      <w:r>
        <w:rPr>
          <w:rtl/>
        </w:rPr>
        <w:t xml:space="preserve"> </w:t>
      </w:r>
      <w:r>
        <w:rPr>
          <w:rFonts w:hint="cs"/>
          <w:rtl/>
        </w:rPr>
        <w:t>الاصول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ج‏</w:t>
      </w:r>
      <w:r>
        <w:rPr>
          <w:rtl/>
        </w:rPr>
        <w:t xml:space="preserve">2 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>739</w:t>
      </w:r>
    </w:p>
    <w:p w:rsidR="003D36D7" w:rsidRDefault="003D36D7" w:rsidP="003D36D7">
      <w:pPr>
        <w:pStyle w:val="FootnoteText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شئت</w:t>
      </w:r>
      <w:r>
        <w:rPr>
          <w:rtl/>
        </w:rPr>
        <w:t xml:space="preserve"> </w:t>
      </w:r>
      <w:r>
        <w:rPr>
          <w:rFonts w:hint="cs"/>
          <w:rtl/>
        </w:rPr>
        <w:t>قلت‏</w:t>
      </w:r>
      <w:r>
        <w:rPr>
          <w:rtl/>
        </w:rPr>
        <w:t xml:space="preserve"> </w:t>
      </w:r>
      <w:r>
        <w:rPr>
          <w:rFonts w:hint="cs"/>
          <w:rtl/>
        </w:rPr>
        <w:t>إن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العام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الوجود</w:t>
      </w:r>
      <w:r>
        <w:rPr>
          <w:rtl/>
        </w:rPr>
        <w:t xml:space="preserve"> </w:t>
      </w:r>
      <w:r>
        <w:rPr>
          <w:rFonts w:hint="cs"/>
          <w:rtl/>
        </w:rPr>
        <w:t>للشك</w:t>
      </w:r>
      <w:r>
        <w:rPr>
          <w:rtl/>
        </w:rPr>
        <w:t xml:space="preserve"> </w:t>
      </w:r>
      <w:r>
        <w:rPr>
          <w:rFonts w:hint="cs"/>
          <w:rtl/>
        </w:rPr>
        <w:t>السببي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الحكم</w:t>
      </w:r>
      <w:r>
        <w:rPr>
          <w:rtl/>
        </w:rPr>
        <w:t xml:space="preserve"> </w:t>
      </w:r>
      <w:r>
        <w:rPr>
          <w:rFonts w:hint="cs"/>
          <w:rtl/>
        </w:rPr>
        <w:t>الشرعي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موضوعه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يوجد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الخارج</w:t>
      </w:r>
      <w:r>
        <w:rPr>
          <w:rtl/>
        </w:rPr>
        <w:t xml:space="preserve"> </w:t>
      </w:r>
      <w:r>
        <w:rPr>
          <w:rFonts w:hint="cs"/>
          <w:rtl/>
        </w:rPr>
        <w:t>إلا</w:t>
      </w:r>
      <w:r>
        <w:rPr>
          <w:rtl/>
        </w:rPr>
        <w:t xml:space="preserve"> </w:t>
      </w:r>
      <w:r>
        <w:rPr>
          <w:rFonts w:hint="cs"/>
          <w:rtl/>
        </w:rPr>
        <w:t>محكوما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المفروض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الشك</w:t>
      </w:r>
      <w:r>
        <w:rPr>
          <w:rtl/>
        </w:rPr>
        <w:t xml:space="preserve"> </w:t>
      </w:r>
      <w:r>
        <w:rPr>
          <w:rFonts w:hint="cs"/>
          <w:rtl/>
        </w:rPr>
        <w:t>المسببي</w:t>
      </w:r>
      <w:r>
        <w:rPr>
          <w:rtl/>
        </w:rPr>
        <w:t xml:space="preserve"> </w:t>
      </w:r>
      <w:r>
        <w:rPr>
          <w:rFonts w:hint="cs"/>
          <w:rtl/>
        </w:rPr>
        <w:t>أيضا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لوازم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الشك</w:t>
      </w:r>
      <w:r>
        <w:rPr>
          <w:rtl/>
        </w:rPr>
        <w:t xml:space="preserve"> </w:t>
      </w:r>
      <w:r>
        <w:rPr>
          <w:rFonts w:hint="cs"/>
          <w:rtl/>
        </w:rPr>
        <w:t>فيكون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العام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الشك</w:t>
      </w:r>
      <w:r>
        <w:rPr>
          <w:rtl/>
        </w:rPr>
        <w:t xml:space="preserve"> </w:t>
      </w:r>
      <w:r>
        <w:rPr>
          <w:rFonts w:hint="cs"/>
          <w:rtl/>
        </w:rPr>
        <w:t>لازمان</w:t>
      </w:r>
      <w:r>
        <w:rPr>
          <w:rtl/>
        </w:rPr>
        <w:t xml:space="preserve"> </w:t>
      </w:r>
      <w:r>
        <w:rPr>
          <w:rFonts w:hint="cs"/>
          <w:rtl/>
        </w:rPr>
        <w:t>لملزوم</w:t>
      </w:r>
      <w:r>
        <w:rPr>
          <w:rtl/>
        </w:rPr>
        <w:t xml:space="preserve"> </w:t>
      </w:r>
      <w:r>
        <w:rPr>
          <w:rFonts w:hint="cs"/>
          <w:rtl/>
        </w:rPr>
        <w:t>ثالث</w:t>
      </w:r>
      <w:r>
        <w:rPr>
          <w:rtl/>
        </w:rPr>
        <w:t xml:space="preserve"> </w:t>
      </w:r>
      <w:r>
        <w:rPr>
          <w:rFonts w:hint="cs"/>
          <w:rtl/>
        </w:rPr>
        <w:t>في</w:t>
      </w:r>
      <w:r>
        <w:rPr>
          <w:rtl/>
        </w:rPr>
        <w:t xml:space="preserve"> </w:t>
      </w:r>
      <w:r>
        <w:rPr>
          <w:rFonts w:hint="cs"/>
          <w:rtl/>
        </w:rPr>
        <w:t>مرتبة</w:t>
      </w:r>
      <w:r>
        <w:rPr>
          <w:rtl/>
        </w:rPr>
        <w:t xml:space="preserve"> </w:t>
      </w:r>
      <w:r>
        <w:rPr>
          <w:rFonts w:hint="cs"/>
          <w:rtl/>
        </w:rPr>
        <w:t>واحدة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يجوز</w:t>
      </w:r>
      <w:r>
        <w:rPr>
          <w:rtl/>
        </w:rPr>
        <w:t xml:space="preserve"> </w:t>
      </w:r>
      <w:r>
        <w:rPr>
          <w:rFonts w:hint="cs"/>
          <w:rtl/>
        </w:rPr>
        <w:t>أن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أحدهما</w:t>
      </w:r>
      <w:r>
        <w:rPr>
          <w:rtl/>
        </w:rPr>
        <w:t xml:space="preserve"> </w:t>
      </w:r>
      <w:r>
        <w:rPr>
          <w:rFonts w:hint="cs"/>
          <w:rtl/>
        </w:rPr>
        <w:t>موضوعا</w:t>
      </w:r>
      <w:r>
        <w:rPr>
          <w:rtl/>
        </w:rPr>
        <w:t xml:space="preserve"> </w:t>
      </w:r>
      <w:r>
        <w:rPr>
          <w:rFonts w:hint="cs"/>
          <w:rtl/>
        </w:rPr>
        <w:t>للآخر</w:t>
      </w:r>
      <w:r>
        <w:rPr>
          <w:rtl/>
        </w:rPr>
        <w:t xml:space="preserve"> </w:t>
      </w:r>
      <w:r>
        <w:rPr>
          <w:rFonts w:hint="cs"/>
          <w:rtl/>
        </w:rPr>
        <w:t>لتقدم</w:t>
      </w:r>
      <w:r>
        <w:rPr>
          <w:rtl/>
        </w:rPr>
        <w:t xml:space="preserve"> </w:t>
      </w:r>
      <w:r>
        <w:rPr>
          <w:rFonts w:hint="cs"/>
          <w:rtl/>
        </w:rPr>
        <w:t>الموضوع</w:t>
      </w:r>
      <w:r>
        <w:rPr>
          <w:rtl/>
        </w:rPr>
        <w:t xml:space="preserve"> </w:t>
      </w:r>
      <w:r>
        <w:rPr>
          <w:rFonts w:hint="cs"/>
          <w:rtl/>
        </w:rPr>
        <w:t>طبعا</w:t>
      </w:r>
    </w:p>
  </w:footnote>
  <w:footnote w:id="3">
    <w:p w:rsidR="003D36D7" w:rsidRDefault="003D36D7" w:rsidP="003D36D7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hyperlink r:id="rId2" w:history="1">
        <w:r w:rsidRPr="0065033A">
          <w:rPr>
            <w:rStyle w:val="Hyperlink"/>
            <w:rtl/>
          </w:rPr>
          <w:t>نها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Fonts w:hint="eastAsia"/>
            <w:rtl/>
          </w:rPr>
          <w:t>ة</w:t>
        </w:r>
        <w:r w:rsidRPr="0065033A">
          <w:rPr>
            <w:rStyle w:val="Hyperlink"/>
            <w:rtl/>
          </w:rPr>
          <w:t xml:space="preserve"> الدرا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Fonts w:hint="eastAsia"/>
            <w:rtl/>
          </w:rPr>
          <w:t>ه</w:t>
        </w:r>
        <w:r w:rsidRPr="0065033A">
          <w:rPr>
            <w:rStyle w:val="Hyperlink"/>
            <w:rtl/>
          </w:rPr>
          <w:t xml:space="preserve"> ف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tl/>
          </w:rPr>
          <w:t xml:space="preserve"> شرح الکفا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Fonts w:hint="eastAsia"/>
            <w:rtl/>
          </w:rPr>
          <w:t>ه،</w:t>
        </w:r>
        <w:r w:rsidRPr="0065033A">
          <w:rPr>
            <w:rStyle w:val="Hyperlink"/>
            <w:rtl/>
          </w:rPr>
          <w:t xml:space="preserve"> محمد حس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Fonts w:hint="eastAsia"/>
            <w:rtl/>
          </w:rPr>
          <w:t>ن</w:t>
        </w:r>
        <w:r w:rsidRPr="0065033A">
          <w:rPr>
            <w:rStyle w:val="Hyperlink"/>
            <w:rtl/>
          </w:rPr>
          <w:t xml:space="preserve"> اصفهان</w:t>
        </w:r>
        <w:r w:rsidRPr="0065033A">
          <w:rPr>
            <w:rStyle w:val="Hyperlink"/>
            <w:rFonts w:hint="cs"/>
            <w:rtl/>
          </w:rPr>
          <w:t>ی</w:t>
        </w:r>
        <w:r w:rsidRPr="0065033A">
          <w:rPr>
            <w:rStyle w:val="Hyperlink"/>
            <w:rFonts w:hint="eastAsia"/>
            <w:rtl/>
          </w:rPr>
          <w:t>،</w:t>
        </w:r>
        <w:r w:rsidRPr="0065033A">
          <w:rPr>
            <w:rStyle w:val="Hyperlink"/>
            <w:rtl/>
          </w:rPr>
          <w:t xml:space="preserve"> ج3، ص299.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7" w:name="BokNum"/>
    <w:bookmarkEnd w:id="7"/>
    <w:r w:rsidR="00DB0B66">
      <w:rPr>
        <w:b/>
        <w:bCs/>
        <w:sz w:val="20"/>
        <w:szCs w:val="24"/>
        <w:rtl/>
      </w:rPr>
      <w:t>041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" w:name="Bokdars"/>
    <w:bookmarkEnd w:id="8"/>
    <w:r w:rsidR="00DB0B66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9" w:name="Bokostad"/>
    <w:bookmarkEnd w:id="9"/>
    <w:r w:rsidR="00DB0B66">
      <w:rPr>
        <w:b/>
        <w:bCs/>
        <w:color w:val="632423" w:themeColor="accent2" w:themeShade="80"/>
        <w:sz w:val="20"/>
        <w:szCs w:val="24"/>
        <w:rtl/>
      </w:rPr>
      <w:t>قائ</w:t>
    </w:r>
    <w:r w:rsidR="00DB0B6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DB0B66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DB0B66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0" w:name="BokTarikh"/>
    <w:bookmarkEnd w:id="10"/>
    <w:r w:rsidR="00DB0B66">
      <w:rPr>
        <w:sz w:val="24"/>
        <w:szCs w:val="24"/>
        <w:rtl/>
      </w:rPr>
      <w:t>18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1" w:name="BokSabj"/>
    <w:bookmarkEnd w:id="11"/>
    <w:r w:rsidR="00DB0B66">
      <w:rPr>
        <w:color w:val="000000" w:themeColor="text1"/>
        <w:sz w:val="24"/>
        <w:szCs w:val="24"/>
        <w:rtl/>
      </w:rPr>
      <w:t>تعارض استصحاب</w:t>
    </w:r>
    <w:r w:rsidR="00DB0B66">
      <w:rPr>
        <w:rFonts w:hint="cs"/>
        <w:color w:val="000000" w:themeColor="text1"/>
        <w:sz w:val="24"/>
        <w:szCs w:val="24"/>
        <w:rtl/>
      </w:rPr>
      <w:t>ی</w:t>
    </w:r>
    <w:r w:rsidR="00DB0B66">
      <w:rPr>
        <w:rFonts w:hint="eastAsia"/>
        <w:color w:val="000000" w:themeColor="text1"/>
        <w:sz w:val="24"/>
        <w:szCs w:val="24"/>
        <w:rtl/>
      </w:rPr>
      <w:t>ن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2" w:name="Bokmoqarer"/>
    <w:bookmarkEnd w:id="12"/>
    <w:r w:rsidR="00DB0B66">
      <w:rPr>
        <w:sz w:val="24"/>
        <w:szCs w:val="24"/>
        <w:rtl/>
      </w:rPr>
      <w:t>حس</w:t>
    </w:r>
    <w:r w:rsidR="00DB0B66">
      <w:rPr>
        <w:rFonts w:hint="cs"/>
        <w:sz w:val="24"/>
        <w:szCs w:val="24"/>
        <w:rtl/>
      </w:rPr>
      <w:t>ی</w:t>
    </w:r>
    <w:r w:rsidR="00DB0B66">
      <w:rPr>
        <w:rFonts w:hint="eastAsia"/>
        <w:sz w:val="24"/>
        <w:szCs w:val="24"/>
        <w:rtl/>
      </w:rPr>
      <w:t>ن</w:t>
    </w:r>
    <w:r w:rsidR="00DB0B66">
      <w:rPr>
        <w:sz w:val="24"/>
        <w:szCs w:val="24"/>
        <w:rtl/>
      </w:rPr>
      <w:t xml:space="preserve"> سل</w:t>
    </w:r>
    <w:r w:rsidR="00DB0B66">
      <w:rPr>
        <w:rFonts w:hint="cs"/>
        <w:sz w:val="24"/>
        <w:szCs w:val="24"/>
        <w:rtl/>
      </w:rPr>
      <w:t>ی</w:t>
    </w:r>
    <w:r w:rsidR="00DB0B66">
      <w:rPr>
        <w:rFonts w:hint="eastAsia"/>
        <w:sz w:val="24"/>
        <w:szCs w:val="24"/>
        <w:rtl/>
      </w:rPr>
      <w:t>م</w:t>
    </w:r>
    <w:r w:rsidR="00DB0B66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DB0B66">
      <w:rPr>
        <w:sz w:val="24"/>
        <w:szCs w:val="24"/>
        <w:rtl/>
      </w:rPr>
      <w:t>استصحاب سبب</w:t>
    </w:r>
    <w:r w:rsidR="00DB0B66">
      <w:rPr>
        <w:rFonts w:hint="cs"/>
        <w:sz w:val="24"/>
        <w:szCs w:val="24"/>
        <w:rtl/>
      </w:rPr>
      <w:t>ی</w:t>
    </w:r>
    <w:r w:rsidR="00DB0B66">
      <w:rPr>
        <w:sz w:val="24"/>
        <w:szCs w:val="24"/>
        <w:rtl/>
      </w:rPr>
      <w:t xml:space="preserve"> و مسبب</w:t>
    </w:r>
    <w:r w:rsidR="00DB0B66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36D7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A69F6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B66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B414B8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897/3/299/&#1575;&#1580;&#1604;&#1607;%20&#1575;&#1604;&#1593;&#1589;&#1585;" TargetMode="External"/><Relationship Id="rId1" Type="http://schemas.openxmlformats.org/officeDocument/2006/relationships/hyperlink" Target="http://lib.eshia.ir/13098/2/258/&#1591;&#1576;&#1593;&#1575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E129D-A897-41AA-A566-469E1438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3277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3</cp:revision>
  <dcterms:created xsi:type="dcterms:W3CDTF">2018-12-18T21:20:00Z</dcterms:created>
  <dcterms:modified xsi:type="dcterms:W3CDTF">2018-12-18T21:21:00Z</dcterms:modified>
  <cp:contentStatus>ویرایش 2.5</cp:contentStatus>
  <cp:version>2.7</cp:version>
</cp:coreProperties>
</file>