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D5B25">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509BE" w:rsidRDefault="007509BE" w:rsidP="007509BE">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294578" w:history="1">
        <w:r w:rsidRPr="009B7154">
          <w:rPr>
            <w:rStyle w:val="Hyperlink"/>
            <w:noProof/>
            <w:rtl/>
          </w:rPr>
          <w:t>محذور 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7294578 </w:instrText>
        </w:r>
        <w:r>
          <w:rPr>
            <w:noProof/>
            <w:webHidden/>
          </w:rPr>
          <w:instrText>\h</w:instrText>
        </w:r>
        <w:r>
          <w:rPr>
            <w:noProof/>
            <w:webHidden/>
            <w:rtl/>
          </w:rPr>
          <w:instrText xml:space="preserve"> </w:instrText>
        </w:r>
        <w:r>
          <w:rPr>
            <w:noProof/>
            <w:webHidden/>
            <w:rtl/>
          </w:rPr>
        </w:r>
        <w:r>
          <w:rPr>
            <w:noProof/>
            <w:webHidden/>
            <w:rtl/>
          </w:rPr>
          <w:fldChar w:fldCharType="separate"/>
        </w:r>
        <w:r w:rsidR="00DB29C7">
          <w:rPr>
            <w:noProof/>
            <w:webHidden/>
            <w:rtl/>
          </w:rPr>
          <w:t>2</w:t>
        </w:r>
        <w:r>
          <w:rPr>
            <w:noProof/>
            <w:webHidden/>
            <w:rtl/>
          </w:rPr>
          <w:fldChar w:fldCharType="end"/>
        </w:r>
      </w:hyperlink>
    </w:p>
    <w:p w:rsidR="007509BE" w:rsidRDefault="00C9740F" w:rsidP="007509BE">
      <w:pPr>
        <w:pStyle w:val="TOC1"/>
        <w:rPr>
          <w:rFonts w:asciiTheme="minorHAnsi" w:eastAsiaTheme="minorEastAsia" w:hAnsiTheme="minorHAnsi" w:cstheme="minorBidi"/>
          <w:noProof/>
          <w:color w:val="auto"/>
          <w:szCs w:val="22"/>
          <w:rtl/>
          <w:lang w:bidi="ar-SA"/>
        </w:rPr>
      </w:pPr>
      <w:hyperlink w:anchor="_Toc7294579" w:history="1">
        <w:r w:rsidR="007509BE" w:rsidRPr="009B7154">
          <w:rPr>
            <w:rStyle w:val="Hyperlink"/>
            <w:noProof/>
            <w:rtl/>
          </w:rPr>
          <w:t>وجه تقد</w:t>
        </w:r>
        <w:r w:rsidR="007509BE" w:rsidRPr="009B7154">
          <w:rPr>
            <w:rStyle w:val="Hyperlink"/>
            <w:rFonts w:hint="cs"/>
            <w:noProof/>
            <w:rtl/>
          </w:rPr>
          <w:t>ی</w:t>
        </w:r>
        <w:r w:rsidR="007509BE" w:rsidRPr="009B7154">
          <w:rPr>
            <w:rStyle w:val="Hyperlink"/>
            <w:rFonts w:hint="eastAsia"/>
            <w:noProof/>
            <w:rtl/>
          </w:rPr>
          <w:t>م</w:t>
        </w:r>
        <w:r w:rsidR="007509BE" w:rsidRPr="009B7154">
          <w:rPr>
            <w:rStyle w:val="Hyperlink"/>
            <w:noProof/>
            <w:rtl/>
          </w:rPr>
          <w:t xml:space="preserve"> ادله ترج</w:t>
        </w:r>
        <w:r w:rsidR="007509BE" w:rsidRPr="009B7154">
          <w:rPr>
            <w:rStyle w:val="Hyperlink"/>
            <w:rFonts w:hint="cs"/>
            <w:noProof/>
            <w:rtl/>
          </w:rPr>
          <w:t>ی</w:t>
        </w:r>
        <w:r w:rsidR="007509BE" w:rsidRPr="009B7154">
          <w:rPr>
            <w:rStyle w:val="Hyperlink"/>
            <w:rFonts w:hint="eastAsia"/>
            <w:noProof/>
            <w:rtl/>
          </w:rPr>
          <w:t>ح</w:t>
        </w:r>
        <w:r w:rsidR="007509BE">
          <w:rPr>
            <w:noProof/>
            <w:webHidden/>
            <w:rtl/>
          </w:rPr>
          <w:tab/>
        </w:r>
        <w:r w:rsidR="007509BE">
          <w:rPr>
            <w:noProof/>
            <w:webHidden/>
            <w:rtl/>
          </w:rPr>
          <w:fldChar w:fldCharType="begin"/>
        </w:r>
        <w:r w:rsidR="007509BE">
          <w:rPr>
            <w:noProof/>
            <w:webHidden/>
            <w:rtl/>
          </w:rPr>
          <w:instrText xml:space="preserve"> </w:instrText>
        </w:r>
        <w:r w:rsidR="007509BE">
          <w:rPr>
            <w:noProof/>
            <w:webHidden/>
          </w:rPr>
          <w:instrText>PAGEREF</w:instrText>
        </w:r>
        <w:r w:rsidR="007509BE">
          <w:rPr>
            <w:noProof/>
            <w:webHidden/>
            <w:rtl/>
          </w:rPr>
          <w:instrText xml:space="preserve"> _</w:instrText>
        </w:r>
        <w:r w:rsidR="007509BE">
          <w:rPr>
            <w:noProof/>
            <w:webHidden/>
          </w:rPr>
          <w:instrText>Toc</w:instrText>
        </w:r>
        <w:r w:rsidR="007509BE">
          <w:rPr>
            <w:noProof/>
            <w:webHidden/>
            <w:rtl/>
          </w:rPr>
          <w:instrText xml:space="preserve">7294579 </w:instrText>
        </w:r>
        <w:r w:rsidR="007509BE">
          <w:rPr>
            <w:noProof/>
            <w:webHidden/>
          </w:rPr>
          <w:instrText>\h</w:instrText>
        </w:r>
        <w:r w:rsidR="007509BE">
          <w:rPr>
            <w:noProof/>
            <w:webHidden/>
            <w:rtl/>
          </w:rPr>
          <w:instrText xml:space="preserve"> </w:instrText>
        </w:r>
        <w:r w:rsidR="007509BE">
          <w:rPr>
            <w:noProof/>
            <w:webHidden/>
            <w:rtl/>
          </w:rPr>
        </w:r>
        <w:r w:rsidR="007509BE">
          <w:rPr>
            <w:noProof/>
            <w:webHidden/>
            <w:rtl/>
          </w:rPr>
          <w:fldChar w:fldCharType="separate"/>
        </w:r>
        <w:r w:rsidR="00DB29C7">
          <w:rPr>
            <w:noProof/>
            <w:webHidden/>
            <w:rtl/>
          </w:rPr>
          <w:t>3</w:t>
        </w:r>
        <w:r w:rsidR="007509BE">
          <w:rPr>
            <w:noProof/>
            <w:webHidden/>
            <w:rtl/>
          </w:rPr>
          <w:fldChar w:fldCharType="end"/>
        </w:r>
      </w:hyperlink>
    </w:p>
    <w:p w:rsidR="007509BE" w:rsidRDefault="00C9740F" w:rsidP="007509BE">
      <w:pPr>
        <w:pStyle w:val="TOC2"/>
        <w:tabs>
          <w:tab w:val="right" w:leader="dot" w:pos="10194"/>
        </w:tabs>
        <w:rPr>
          <w:rFonts w:asciiTheme="minorHAnsi" w:eastAsiaTheme="minorEastAsia" w:hAnsiTheme="minorHAnsi" w:cstheme="minorBidi"/>
          <w:bCs w:val="0"/>
          <w:noProof/>
          <w:color w:val="auto"/>
          <w:szCs w:val="22"/>
          <w:rtl/>
          <w:lang w:bidi="ar-SA"/>
        </w:rPr>
      </w:pPr>
      <w:hyperlink w:anchor="_Toc7294580" w:history="1">
        <w:r w:rsidR="007509BE" w:rsidRPr="009B7154">
          <w:rPr>
            <w:rStyle w:val="Hyperlink"/>
            <w:noProof/>
            <w:rtl/>
          </w:rPr>
          <w:t>اجماع</w:t>
        </w:r>
        <w:r w:rsidR="007509BE">
          <w:rPr>
            <w:noProof/>
            <w:webHidden/>
            <w:rtl/>
          </w:rPr>
          <w:tab/>
        </w:r>
        <w:r w:rsidR="007509BE">
          <w:rPr>
            <w:noProof/>
            <w:webHidden/>
            <w:rtl/>
          </w:rPr>
          <w:fldChar w:fldCharType="begin"/>
        </w:r>
        <w:r w:rsidR="007509BE">
          <w:rPr>
            <w:noProof/>
            <w:webHidden/>
            <w:rtl/>
          </w:rPr>
          <w:instrText xml:space="preserve"> </w:instrText>
        </w:r>
        <w:r w:rsidR="007509BE">
          <w:rPr>
            <w:noProof/>
            <w:webHidden/>
          </w:rPr>
          <w:instrText>PAGEREF</w:instrText>
        </w:r>
        <w:r w:rsidR="007509BE">
          <w:rPr>
            <w:noProof/>
            <w:webHidden/>
            <w:rtl/>
          </w:rPr>
          <w:instrText xml:space="preserve"> _</w:instrText>
        </w:r>
        <w:r w:rsidR="007509BE">
          <w:rPr>
            <w:noProof/>
            <w:webHidden/>
          </w:rPr>
          <w:instrText>Toc</w:instrText>
        </w:r>
        <w:r w:rsidR="007509BE">
          <w:rPr>
            <w:noProof/>
            <w:webHidden/>
            <w:rtl/>
          </w:rPr>
          <w:instrText xml:space="preserve">7294580 </w:instrText>
        </w:r>
        <w:r w:rsidR="007509BE">
          <w:rPr>
            <w:noProof/>
            <w:webHidden/>
          </w:rPr>
          <w:instrText>\h</w:instrText>
        </w:r>
        <w:r w:rsidR="007509BE">
          <w:rPr>
            <w:noProof/>
            <w:webHidden/>
            <w:rtl/>
          </w:rPr>
          <w:instrText xml:space="preserve"> </w:instrText>
        </w:r>
        <w:r w:rsidR="007509BE">
          <w:rPr>
            <w:noProof/>
            <w:webHidden/>
            <w:rtl/>
          </w:rPr>
        </w:r>
        <w:r w:rsidR="007509BE">
          <w:rPr>
            <w:noProof/>
            <w:webHidden/>
            <w:rtl/>
          </w:rPr>
          <w:fldChar w:fldCharType="separate"/>
        </w:r>
        <w:r w:rsidR="00DB29C7">
          <w:rPr>
            <w:noProof/>
            <w:webHidden/>
            <w:rtl/>
          </w:rPr>
          <w:t>3</w:t>
        </w:r>
        <w:r w:rsidR="007509BE">
          <w:rPr>
            <w:noProof/>
            <w:webHidden/>
            <w:rtl/>
          </w:rPr>
          <w:fldChar w:fldCharType="end"/>
        </w:r>
      </w:hyperlink>
    </w:p>
    <w:p w:rsidR="00C91EB6" w:rsidRPr="00C91EB6" w:rsidRDefault="007509BE" w:rsidP="00CD5B25">
      <w:pPr>
        <w:jc w:val="both"/>
      </w:pPr>
      <w:r>
        <w:rPr>
          <w:rFonts w:cs="B Titr"/>
          <w:noProof/>
          <w:webHidden/>
          <w:color w:val="632423" w:themeColor="accent2" w:themeShade="80"/>
          <w:szCs w:val="24"/>
          <w:rtl/>
        </w:rPr>
        <w:fldChar w:fldCharType="end"/>
      </w:r>
    </w:p>
    <w:p w:rsidR="00F343FB" w:rsidRPr="00A6366F" w:rsidRDefault="00F842AD" w:rsidP="00CD5B2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7473C">
        <w:rPr>
          <w:rtl/>
        </w:rPr>
        <w:t>اخبار ترج</w:t>
      </w:r>
      <w:r w:rsidR="00D7473C">
        <w:rPr>
          <w:rFonts w:hint="cs"/>
          <w:rtl/>
        </w:rPr>
        <w:t>ی</w:t>
      </w:r>
      <w:r w:rsidR="00D7473C">
        <w:rPr>
          <w:rFonts w:hint="eastAsia"/>
          <w:rtl/>
        </w:rPr>
        <w:t>ح</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CD5B25">
      <w:pPr>
        <w:jc w:val="both"/>
        <w:rPr>
          <w:rStyle w:val="Emphasis"/>
          <w:b/>
          <w:bCs w:val="0"/>
          <w:rtl/>
        </w:rPr>
      </w:pPr>
      <w:r w:rsidRPr="009C66D5">
        <w:rPr>
          <w:rStyle w:val="Emphasis"/>
          <w:rFonts w:hint="cs"/>
          <w:b/>
          <w:bCs w:val="0"/>
          <w:rtl/>
        </w:rPr>
        <w:t>خلاصه مباحث گذشته:</w:t>
      </w:r>
    </w:p>
    <w:p w:rsidR="00B838CE" w:rsidRDefault="000A6348" w:rsidP="00CD5B25">
      <w:pPr>
        <w:jc w:val="both"/>
        <w:rPr>
          <w:rtl/>
        </w:rPr>
      </w:pPr>
      <w:r w:rsidRPr="000A6348">
        <w:rPr>
          <w:rtl/>
        </w:rPr>
        <w:t xml:space="preserve">بحث در </w:t>
      </w:r>
      <w:r>
        <w:rPr>
          <w:rFonts w:hint="cs"/>
          <w:rtl/>
        </w:rPr>
        <w:t xml:space="preserve">بررسی </w:t>
      </w:r>
      <w:r w:rsidRPr="000A6348">
        <w:rPr>
          <w:rtl/>
        </w:rPr>
        <w:t>اخبار ترج</w:t>
      </w:r>
      <w:r w:rsidRPr="000A6348">
        <w:rPr>
          <w:rFonts w:hint="cs"/>
          <w:rtl/>
        </w:rPr>
        <w:t>ی</w:t>
      </w:r>
      <w:r w:rsidRPr="000A6348">
        <w:rPr>
          <w:rFonts w:hint="eastAsia"/>
          <w:rtl/>
        </w:rPr>
        <w:t>ح</w:t>
      </w:r>
      <w:r w:rsidRPr="000A6348">
        <w:rPr>
          <w:rtl/>
        </w:rPr>
        <w:t xml:space="preserve"> </w:t>
      </w:r>
      <w:r>
        <w:rPr>
          <w:rFonts w:hint="cs"/>
          <w:rtl/>
        </w:rPr>
        <w:t xml:space="preserve">به صفات راوی و موافقت و مخالفت با کتاب و عامه </w:t>
      </w:r>
      <w:r w:rsidRPr="000A6348">
        <w:rPr>
          <w:rtl/>
        </w:rPr>
        <w:t xml:space="preserve">بود </w:t>
      </w:r>
      <w:r>
        <w:rPr>
          <w:rFonts w:hint="cs"/>
          <w:rtl/>
        </w:rPr>
        <w:t>که</w:t>
      </w:r>
      <w:r w:rsidRPr="000A6348">
        <w:rPr>
          <w:rtl/>
        </w:rPr>
        <w:t xml:space="preserve"> مرحوم آخوند </w:t>
      </w:r>
      <w:r>
        <w:rPr>
          <w:rFonts w:hint="cs"/>
          <w:rtl/>
        </w:rPr>
        <w:t>تمامی ادله ترجیح را تاویل و ترجیه نموده و هی</w:t>
      </w:r>
      <w:r w:rsidR="00B838CE">
        <w:rPr>
          <w:rFonts w:hint="cs"/>
          <w:rtl/>
        </w:rPr>
        <w:t>چیک را مقید ادله تخییر ندانس</w:t>
      </w:r>
      <w:r w:rsidR="00605F74">
        <w:rPr>
          <w:rFonts w:hint="cs"/>
          <w:rtl/>
        </w:rPr>
        <w:t>تند و محذوراتی برای تقیید ادله ت</w:t>
      </w:r>
      <w:r w:rsidR="00B838CE">
        <w:rPr>
          <w:rFonts w:hint="cs"/>
          <w:rtl/>
        </w:rPr>
        <w:t>خییر بیان نمودند.</w:t>
      </w:r>
    </w:p>
    <w:p w:rsidR="001A1EA5" w:rsidRDefault="000A6348" w:rsidP="00605F74">
      <w:pPr>
        <w:jc w:val="both"/>
        <w:rPr>
          <w:rtl/>
        </w:rPr>
      </w:pPr>
      <w:r>
        <w:rPr>
          <w:rFonts w:hint="cs"/>
          <w:rtl/>
        </w:rPr>
        <w:t xml:space="preserve"> ایشان</w:t>
      </w:r>
      <w:r w:rsidRPr="000A6348">
        <w:rPr>
          <w:rtl/>
        </w:rPr>
        <w:t xml:space="preserve"> سپس به اخبار ترج</w:t>
      </w:r>
      <w:r w:rsidRPr="000A6348">
        <w:rPr>
          <w:rFonts w:hint="cs"/>
          <w:rtl/>
        </w:rPr>
        <w:t>ی</w:t>
      </w:r>
      <w:r w:rsidRPr="000A6348">
        <w:rPr>
          <w:rFonts w:hint="eastAsia"/>
          <w:rtl/>
        </w:rPr>
        <w:t>ح</w:t>
      </w:r>
      <w:r w:rsidRPr="000A6348">
        <w:rPr>
          <w:rtl/>
        </w:rPr>
        <w:t xml:space="preserve"> به موافقت </w:t>
      </w:r>
      <w:r w:rsidR="00605F74">
        <w:rPr>
          <w:rtl/>
        </w:rPr>
        <w:t>کتاب و مخالفت عامه اشاره کرد</w:t>
      </w:r>
      <w:r w:rsidR="00605F74">
        <w:rPr>
          <w:rFonts w:hint="cs"/>
          <w:rtl/>
        </w:rPr>
        <w:t>ه</w:t>
      </w:r>
      <w:r w:rsidRPr="000A6348">
        <w:rPr>
          <w:rtl/>
        </w:rPr>
        <w:t xml:space="preserve"> و فرمودند ا</w:t>
      </w:r>
      <w:r w:rsidRPr="000A6348">
        <w:rPr>
          <w:rFonts w:hint="cs"/>
          <w:rtl/>
        </w:rPr>
        <w:t>ی</w:t>
      </w:r>
      <w:r w:rsidRPr="000A6348">
        <w:rPr>
          <w:rFonts w:hint="eastAsia"/>
          <w:rtl/>
        </w:rPr>
        <w:t>ن</w:t>
      </w:r>
      <w:r w:rsidRPr="000A6348">
        <w:rPr>
          <w:rtl/>
        </w:rPr>
        <w:t xml:space="preserve"> ادله اصلا مرتبط به مقام ن</w:t>
      </w:r>
      <w:r w:rsidRPr="000A6348">
        <w:rPr>
          <w:rFonts w:hint="cs"/>
          <w:rtl/>
        </w:rPr>
        <w:t>ی</w:t>
      </w:r>
      <w:r w:rsidRPr="000A6348">
        <w:rPr>
          <w:rFonts w:hint="eastAsia"/>
          <w:rtl/>
        </w:rPr>
        <w:t>ستند</w:t>
      </w:r>
      <w:r w:rsidR="00605F74">
        <w:rPr>
          <w:rFonts w:hint="cs"/>
          <w:rtl/>
        </w:rPr>
        <w:t>؛ بلکه</w:t>
      </w:r>
      <w:r>
        <w:rPr>
          <w:rFonts w:hint="cs"/>
          <w:rtl/>
        </w:rPr>
        <w:t xml:space="preserve"> برای تمییز حجت از لا حجت است</w:t>
      </w:r>
      <w:r w:rsidR="00605F74">
        <w:rPr>
          <w:rFonts w:hint="cs"/>
          <w:rtl/>
        </w:rPr>
        <w:t xml:space="preserve"> نه ترجیح حجتی بر حجت دیگر.</w:t>
      </w:r>
    </w:p>
    <w:p w:rsidR="000A6348" w:rsidRDefault="000A6348" w:rsidP="00CD5B25">
      <w:pPr>
        <w:jc w:val="both"/>
        <w:rPr>
          <w:rtl/>
        </w:rPr>
      </w:pPr>
      <w:r>
        <w:rPr>
          <w:rFonts w:hint="cs"/>
          <w:rtl/>
        </w:rPr>
        <w:t xml:space="preserve">ابتداء ایشان از ظاهر روایاتی که در آن ملاک موافقت با کتاب و مخالفت با عامه مطرح شده بود اینچنین برداشت نمودند که این روایات به لسان بیان تمییز حجت از غیر حجت هستند </w:t>
      </w:r>
      <w:r w:rsidR="00813E8E">
        <w:rPr>
          <w:rFonts w:hint="cs"/>
          <w:rtl/>
        </w:rPr>
        <w:t>و عباراتی مانند « ماخالف... لم نقله و باط</w:t>
      </w:r>
      <w:r w:rsidR="00605F74">
        <w:rPr>
          <w:rFonts w:hint="cs"/>
          <w:rtl/>
        </w:rPr>
        <w:t>ل ...زخرف و..» دلالت بر تحاشی و عدم</w:t>
      </w:r>
      <w:r w:rsidR="00813E8E">
        <w:rPr>
          <w:rFonts w:hint="cs"/>
          <w:rtl/>
        </w:rPr>
        <w:t xml:space="preserve"> صدور خبر مخالف قرآن دارد و همینگونه در مورد خبر موافق عامه نیز تعبیراتی حاکی از عدم حجیت موافق عامه در روایات </w:t>
      </w:r>
      <w:r w:rsidR="00605F74">
        <w:rPr>
          <w:rFonts w:hint="cs"/>
          <w:rtl/>
        </w:rPr>
        <w:t xml:space="preserve">مذکور </w:t>
      </w:r>
      <w:r w:rsidR="00813E8E">
        <w:rPr>
          <w:rFonts w:hint="cs"/>
          <w:rtl/>
        </w:rPr>
        <w:t>وجود دارد</w:t>
      </w:r>
      <w:r w:rsidR="00E57A14">
        <w:rPr>
          <w:rFonts w:hint="cs"/>
          <w:rtl/>
        </w:rPr>
        <w:t>؛</w:t>
      </w:r>
      <w:r w:rsidR="00813E8E">
        <w:rPr>
          <w:rFonts w:hint="cs"/>
          <w:rtl/>
        </w:rPr>
        <w:t xml:space="preserve"> اما عمده دلیل عدم حجیت </w:t>
      </w:r>
      <w:r w:rsidR="00E57A14">
        <w:rPr>
          <w:rFonts w:hint="cs"/>
          <w:rtl/>
        </w:rPr>
        <w:t>در مورد خبر موافق عامه، اقتضای قاعده است؛ زیرا با وجود خبر مخالف با عامه و وثوق به صدور آن، مقتضی حجیت در خبر موافق وجود ندارد و خبر معارض موجب می شود مقتضی حجیت خبر موفق عامه مختل شود نه اینکه به سبب تمانع از حجیت ساقط شود؛ زیرا با وجود خبر مخالف عامه که وثوق یا یقین به صدور آن هست؛ خبر موافق عامه قطعا یا اطمینانا، از روی تقیه بوده و یا اینکه حداقل اصل عدم تقیه در مورد خبر موافق عامه جاری نمی شود.</w:t>
      </w:r>
    </w:p>
    <w:p w:rsidR="00E57A14" w:rsidRDefault="00E57A14" w:rsidP="00CD5B25">
      <w:pPr>
        <w:jc w:val="both"/>
        <w:rPr>
          <w:rtl/>
        </w:rPr>
      </w:pPr>
      <w:r>
        <w:rPr>
          <w:rFonts w:hint="cs"/>
          <w:rtl/>
        </w:rPr>
        <w:t>به تعبیر دیگر با وجود خبر مخالف عامه، ادله حجیت شامل خبر موافق عامه نمی شود و لذا نه اینکه خبر موافق عامه به سبب معارضه از حجیت ساقط شود بلکه در ظرف تعارض، اصل عدم تقیه در مورد آن جاری نمی شود و مقتضی حجیت را از دست می دهد.</w:t>
      </w:r>
    </w:p>
    <w:p w:rsidR="00E57A14" w:rsidRDefault="00E57A14" w:rsidP="00605F74">
      <w:pPr>
        <w:jc w:val="both"/>
        <w:rPr>
          <w:rtl/>
        </w:rPr>
      </w:pPr>
      <w:r>
        <w:rPr>
          <w:rFonts w:hint="cs"/>
          <w:rtl/>
        </w:rPr>
        <w:t>ایشان پس از این</w:t>
      </w:r>
      <w:r w:rsidR="00605F74">
        <w:rPr>
          <w:rFonts w:hint="cs"/>
          <w:rtl/>
        </w:rPr>
        <w:t>،</w:t>
      </w:r>
      <w:r>
        <w:rPr>
          <w:rFonts w:hint="cs"/>
          <w:rtl/>
        </w:rPr>
        <w:t xml:space="preserve"> در مورد خبر مخالف با قرآن نیز علاوه بر استظهار از ظاهر ادله، بر اینکه خبر مخالف کتاب </w:t>
      </w:r>
      <w:r w:rsidR="00605F74">
        <w:rPr>
          <w:rFonts w:cs="Cambria" w:hint="cs"/>
          <w:rtl/>
        </w:rPr>
        <w:t>_</w:t>
      </w:r>
      <w:r>
        <w:rPr>
          <w:rFonts w:hint="cs"/>
          <w:rtl/>
        </w:rPr>
        <w:t>مانند خبر دال بر حجیت مطلق ظن و قیاس و...</w:t>
      </w:r>
      <w:r w:rsidR="00605F74">
        <w:rPr>
          <w:rFonts w:cs="Cambria" w:hint="cs"/>
          <w:rtl/>
        </w:rPr>
        <w:t xml:space="preserve">_ </w:t>
      </w:r>
      <w:r>
        <w:rPr>
          <w:rFonts w:hint="cs"/>
          <w:rtl/>
        </w:rPr>
        <w:t xml:space="preserve"> حتی در غیر فرض تعارض، شرط حجیت را نداشته و صادر نشده است، این مطلب را </w:t>
      </w:r>
      <w:r>
        <w:rPr>
          <w:rFonts w:hint="cs"/>
          <w:rtl/>
        </w:rPr>
        <w:lastRenderedPageBreak/>
        <w:t>مطابق قاعده در فرض تعارض نیز می دانند و می فرمایند: در فرض تعارض، با وجود خبر موافق با کتاب؛ خبری که مخالف با قرآن باشد مقتضی حجیت را ندارد</w:t>
      </w:r>
      <w:r w:rsidR="00CD5B25">
        <w:rPr>
          <w:rFonts w:hint="cs"/>
          <w:rtl/>
        </w:rPr>
        <w:t>؛ زیرا عقلاء در این صورت</w:t>
      </w:r>
      <w:r w:rsidR="00605F74">
        <w:rPr>
          <w:rFonts w:hint="cs"/>
          <w:rtl/>
        </w:rPr>
        <w:t>،</w:t>
      </w:r>
      <w:r w:rsidR="00CD5B25">
        <w:rPr>
          <w:rFonts w:hint="cs"/>
          <w:rtl/>
        </w:rPr>
        <w:t xml:space="preserve"> خبر مخالف با کتاب را در صدور و یا در ظهور حجت نمی دانند ولذا ترجیح به مخالفت با کتاب به جهت قصور خبر مخالف کتاب از حجیت بوده و حجیت شامل خبر مخالف کتاب نمی شود</w:t>
      </w:r>
      <w:r w:rsidR="00605F74">
        <w:rPr>
          <w:rFonts w:hint="cs"/>
          <w:rtl/>
        </w:rPr>
        <w:t>؛ زیرا</w:t>
      </w:r>
      <w:r w:rsidR="00CD5B25">
        <w:rPr>
          <w:rFonts w:hint="cs"/>
          <w:rtl/>
        </w:rPr>
        <w:t xml:space="preserve"> یا در نصوص طرح مخالف کتاب </w:t>
      </w:r>
      <w:r w:rsidR="00605F74">
        <w:rPr>
          <w:rFonts w:hint="cs"/>
          <w:rtl/>
        </w:rPr>
        <w:t xml:space="preserve">متعبد </w:t>
      </w:r>
      <w:r w:rsidR="00CD5B25">
        <w:rPr>
          <w:rFonts w:hint="cs"/>
          <w:rtl/>
        </w:rPr>
        <w:t xml:space="preserve">به عدم حجیت </w:t>
      </w:r>
      <w:r w:rsidR="00605F74">
        <w:rPr>
          <w:rFonts w:hint="cs"/>
          <w:rtl/>
        </w:rPr>
        <w:t xml:space="preserve">شدیم </w:t>
      </w:r>
      <w:r w:rsidR="00CD5B25">
        <w:rPr>
          <w:rFonts w:hint="cs"/>
          <w:rtl/>
        </w:rPr>
        <w:t>و یا به جهت عدم حجیت عقلائی</w:t>
      </w:r>
      <w:r w:rsidR="00605F74">
        <w:rPr>
          <w:rFonts w:hint="cs"/>
          <w:rtl/>
        </w:rPr>
        <w:t xml:space="preserve"> خبر مخالف با کتاب در فرض تعارض</w:t>
      </w:r>
      <w:r w:rsidR="00CD5B25">
        <w:rPr>
          <w:rFonts w:hint="cs"/>
          <w:rtl/>
        </w:rPr>
        <w:t>؛</w:t>
      </w:r>
      <w:r w:rsidR="00605F74">
        <w:rPr>
          <w:rFonts w:hint="cs"/>
          <w:rtl/>
        </w:rPr>
        <w:t xml:space="preserve"> خبر مخالف کتاب حجت نیست. بنابر این</w:t>
      </w:r>
      <w:r w:rsidR="00CD5B25">
        <w:rPr>
          <w:rFonts w:hint="cs"/>
          <w:rtl/>
        </w:rPr>
        <w:t xml:space="preserve"> پس از مخالفت خبری با عموم قرآنی و تعارض آن با خبری دیگر که موافق قرآن و معتضد به آن است، عقلاء صدور و یا ظهور خبر مخالف کتاب را مختل می دانند و آن را فاقد شرط حجیت خبر می دانند و لذا ادله حجیت خبر واحد، شامل چنین فرضی نشده و طرح خبر مخالف با کتاب به جهت تمییز حجت از لا حجت است نه ترجیح بین حجتین.</w:t>
      </w:r>
    </w:p>
    <w:p w:rsidR="00CD5B25" w:rsidRDefault="00CD5B25" w:rsidP="00B505F3">
      <w:pPr>
        <w:jc w:val="both"/>
        <w:rPr>
          <w:rtl/>
        </w:rPr>
      </w:pPr>
      <w:r>
        <w:rPr>
          <w:rFonts w:hint="cs"/>
          <w:rtl/>
        </w:rPr>
        <w:t xml:space="preserve">بنابر این با وجود تعارض خبری با خبر دیگر که متعاضد به قرآن است، عقلاء نسبت سنجی نکرده و خبر معتضد به قرآن </w:t>
      </w:r>
      <w:r w:rsidR="00B505F3">
        <w:rPr>
          <w:rFonts w:cs="Cambria" w:hint="cs"/>
          <w:rtl/>
        </w:rPr>
        <w:t>_</w:t>
      </w:r>
      <w:r>
        <w:rPr>
          <w:rFonts w:hint="cs"/>
          <w:rtl/>
        </w:rPr>
        <w:t>که</w:t>
      </w:r>
      <w:r w:rsidR="00B505F3">
        <w:rPr>
          <w:rFonts w:hint="cs"/>
          <w:rtl/>
        </w:rPr>
        <w:t xml:space="preserve"> عام و </w:t>
      </w:r>
      <w:r>
        <w:rPr>
          <w:rFonts w:hint="cs"/>
          <w:rtl/>
        </w:rPr>
        <w:t>قطعی الصدور است</w:t>
      </w:r>
      <w:r w:rsidR="00B505F3">
        <w:rPr>
          <w:rFonts w:cs="Cambria" w:hint="cs"/>
          <w:rtl/>
        </w:rPr>
        <w:t>_</w:t>
      </w:r>
      <w:r>
        <w:rPr>
          <w:rFonts w:hint="cs"/>
          <w:rtl/>
        </w:rPr>
        <w:t xml:space="preserve"> را</w:t>
      </w:r>
      <w:r w:rsidR="00B505F3">
        <w:rPr>
          <w:rFonts w:hint="cs"/>
          <w:rtl/>
        </w:rPr>
        <w:t xml:space="preserve"> مقدم می دانند.</w:t>
      </w:r>
    </w:p>
    <w:p w:rsidR="00B505F3" w:rsidRDefault="00B505F3" w:rsidP="00B505F3">
      <w:pPr>
        <w:jc w:val="both"/>
        <w:rPr>
          <w:rtl/>
        </w:rPr>
      </w:pPr>
      <w:r>
        <w:rPr>
          <w:rFonts w:hint="cs"/>
          <w:rtl/>
        </w:rPr>
        <w:t xml:space="preserve">علاوه بر اینکه حتی اگر </w:t>
      </w:r>
      <w:r w:rsidR="00B838CE">
        <w:rPr>
          <w:rFonts w:hint="cs"/>
          <w:rtl/>
        </w:rPr>
        <w:t>این بیان پذیرفته نشده و ملاک موافقت و مخالفت با کتاب و عامه را برای تمییز حجیت از لا حجت ندانسته و آن را مرجح در فرض تعارض بدانیم؛ نمی توان ادله تخییر را به این مرجحات، تخصیص زد و باید این روایات را حمل بر تمییز حجت از لا حجت و یا حمل بر استحباب نمود؛ زیرا تقیید ادله تخییر موجب حمل مطلق بر فرد نادر می شود.</w:t>
      </w:r>
    </w:p>
    <w:p w:rsidR="00B838CE" w:rsidRDefault="00B838CE" w:rsidP="00B838CE">
      <w:pPr>
        <w:pStyle w:val="Heading1"/>
        <w:rPr>
          <w:rtl/>
        </w:rPr>
      </w:pPr>
      <w:bookmarkStart w:id="3" w:name="_Toc7294578"/>
      <w:r>
        <w:rPr>
          <w:rFonts w:hint="cs"/>
          <w:rtl/>
        </w:rPr>
        <w:t>محذور هشتم</w:t>
      </w:r>
      <w:r w:rsidR="00330989">
        <w:rPr>
          <w:rStyle w:val="FootnoteReference"/>
          <w:rtl/>
        </w:rPr>
        <w:footnoteReference w:id="1"/>
      </w:r>
      <w:bookmarkEnd w:id="3"/>
    </w:p>
    <w:p w:rsidR="00144215" w:rsidRDefault="00F07A76" w:rsidP="00F07A76">
      <w:pPr>
        <w:rPr>
          <w:rtl/>
        </w:rPr>
      </w:pPr>
      <w:r>
        <w:rPr>
          <w:rFonts w:hint="cs"/>
          <w:rtl/>
        </w:rPr>
        <w:t>اخبار ترجیح به موافقت و مخالفت با کتاب و عامه، اگر هم به عنوان مرجح پذیرفته شود باید به ادله ترجیح به مثل صفات راوی و شهرت و... تخصیص بخورد؛ زیرا در مقبوله ابتداء ترجیح به صفات راوی و سپس ترجیح به شهرت و سپس موافقت با کتاب و بعد از آن مخالفت با عامه را مطرح نموده است و لذا ترجیح به موافقت و مخالفت با کتاب و عامه باید تخصیص به مرجحات دیگر زده شودند در حالیکه آبی از تخصیص هستند، زیرا ادله ای که مخالف کتاب را زخرف و با</w:t>
      </w:r>
      <w:r w:rsidR="007B4886">
        <w:rPr>
          <w:rFonts w:hint="cs"/>
          <w:rtl/>
        </w:rPr>
        <w:t>طل و... می داند قابل تقیید به فرض وجود شهرت و مرجحات صفات راوی، نیست.</w:t>
      </w:r>
    </w:p>
    <w:p w:rsidR="007B4886" w:rsidRDefault="007B4886" w:rsidP="007B4886">
      <w:pPr>
        <w:rPr>
          <w:rtl/>
        </w:rPr>
      </w:pPr>
      <w:r>
        <w:rPr>
          <w:rFonts w:hint="cs"/>
          <w:rtl/>
        </w:rPr>
        <w:lastRenderedPageBreak/>
        <w:t xml:space="preserve">البته به نظر ما این اشکال صحیح نیست و تنها تبیین صحیح از مقبوله این است که مخالفت با کتابی که در مقبوله مطرح شده است، مخالفت به مثل عام و خاص است که جمع عرفی داشته و ادله طرح مخالف کتاب و باطل دانستن آن شامل این نوع از مخالفت نمی شود؛ بلکه تنها مخالفت به تباین از آن ادله اراده شده است. </w:t>
      </w:r>
    </w:p>
    <w:p w:rsidR="007B4886" w:rsidRDefault="007B4886" w:rsidP="00F07A76">
      <w:r>
        <w:rPr>
          <w:rFonts w:hint="cs"/>
          <w:rtl/>
        </w:rPr>
        <w:t>بنابر این مرحوم آخوند هشت محذور برای اخذ به ادله ترجیح در قبال ادله تخییر بیان نموده و لذا همه آنها را حمل بر استحباب و... نموده و ترجیح به هیچیک را نپذیرفتند.</w:t>
      </w:r>
    </w:p>
    <w:p w:rsidR="00207E79" w:rsidRDefault="00207E79" w:rsidP="00207E79">
      <w:pPr>
        <w:pStyle w:val="Heading1"/>
        <w:rPr>
          <w:rtl/>
        </w:rPr>
      </w:pPr>
      <w:bookmarkStart w:id="4" w:name="_Toc7294579"/>
      <w:r>
        <w:rPr>
          <w:rFonts w:hint="cs"/>
          <w:rtl/>
        </w:rPr>
        <w:t>وجه تقدیم ادله ترجیح</w:t>
      </w:r>
      <w:bookmarkEnd w:id="4"/>
    </w:p>
    <w:p w:rsidR="00207E79" w:rsidRDefault="00207E79" w:rsidP="00207E79">
      <w:pPr>
        <w:pStyle w:val="Heading2"/>
        <w:rPr>
          <w:rtl/>
        </w:rPr>
      </w:pPr>
      <w:bookmarkStart w:id="5" w:name="_Toc7294580"/>
      <w:r>
        <w:rPr>
          <w:rFonts w:hint="cs"/>
          <w:rtl/>
        </w:rPr>
        <w:t>اجماع</w:t>
      </w:r>
      <w:r w:rsidR="00F2277C">
        <w:rPr>
          <w:rStyle w:val="FootnoteReference"/>
          <w:rtl/>
        </w:rPr>
        <w:footnoteReference w:id="2"/>
      </w:r>
      <w:bookmarkEnd w:id="5"/>
    </w:p>
    <w:p w:rsidR="00207E79" w:rsidRDefault="00207E79" w:rsidP="00207E79">
      <w:pPr>
        <w:rPr>
          <w:rtl/>
        </w:rPr>
      </w:pPr>
      <w:r>
        <w:rPr>
          <w:rFonts w:hint="cs"/>
          <w:rtl/>
        </w:rPr>
        <w:t>مرحوم شیخ انصاری ادعای اجماع و سیره قطعیه بر اعمال مرجحات نموده است.</w:t>
      </w:r>
    </w:p>
    <w:p w:rsidR="00CA40F0" w:rsidRDefault="00207E79" w:rsidP="00207E79">
      <w:pPr>
        <w:rPr>
          <w:rtl/>
        </w:rPr>
      </w:pPr>
      <w:r>
        <w:rPr>
          <w:rFonts w:hint="cs"/>
          <w:rtl/>
        </w:rPr>
        <w:t xml:space="preserve">مرحوم آخوند در رد این ادعا می فرمایند با وجود مخالفت مرحوم کلینی و فتوا به تخییر از جانب ایشان که از فقهاء عصر غیبت صغرا بوده، ادعای اجماع در این مساله بر ترجیح، صحیح نیست. ایشان عبارت مرحوم کلینی را از دیباجه نقل می کنند  که تفاوتی با متن اصلی دیباجه دارد. عبارت کفایه به نقل از مرحوم کلینی« </w:t>
      </w:r>
      <w:r w:rsidR="00CA40F0" w:rsidRPr="00CA40F0">
        <w:rPr>
          <w:rtl/>
        </w:rPr>
        <w:t xml:space="preserve"> لا نجد شيئا أوسع و لا أحوط من التخيير</w:t>
      </w:r>
      <w:r w:rsidR="00CA40F0">
        <w:rPr>
          <w:rFonts w:hint="cs"/>
          <w:rtl/>
        </w:rPr>
        <w:t>.» و عبارت مرحوم کلینی در دیباجه «</w:t>
      </w:r>
      <w:r w:rsidR="00DB2805">
        <w:t xml:space="preserve"> </w:t>
      </w:r>
      <w:r w:rsidR="00DB2805" w:rsidRPr="00DB2805">
        <w:rPr>
          <w:rtl/>
        </w:rPr>
        <w:t>لا نجد شيئا أحوط و لا أوسع من ردّ علم ذلك كلّه إلى العالم عليه السّلام و قبول ما وسّع من</w:t>
      </w:r>
      <w:r w:rsidR="00DB2805">
        <w:rPr>
          <w:rtl/>
        </w:rPr>
        <w:t xml:space="preserve"> الأمر فيه بقوله عليه السّلام: </w:t>
      </w:r>
      <w:r w:rsidR="00DB2805" w:rsidRPr="00DB2805">
        <w:rPr>
          <w:rtl/>
        </w:rPr>
        <w:t>بأيّما أخذتم من باب التسليم وسعكم».</w:t>
      </w:r>
      <w:r w:rsidR="00DB2805">
        <w:rPr>
          <w:rStyle w:val="FootnoteReference"/>
          <w:rtl/>
        </w:rPr>
        <w:footnoteReference w:id="3"/>
      </w:r>
    </w:p>
    <w:p w:rsidR="00DB2805" w:rsidRDefault="00DB2805" w:rsidP="00DB2805">
      <w:pPr>
        <w:rPr>
          <w:rtl/>
        </w:rPr>
      </w:pPr>
      <w:r>
        <w:rPr>
          <w:rFonts w:hint="cs"/>
          <w:rtl/>
        </w:rPr>
        <w:t>تفاوت این دو عبارت این است که در عبارت مرحوم کلینی در دیباجه</w:t>
      </w:r>
      <w:r w:rsidR="00637142">
        <w:rPr>
          <w:rFonts w:hint="cs"/>
          <w:rtl/>
        </w:rPr>
        <w:t>،</w:t>
      </w:r>
      <w:r>
        <w:rPr>
          <w:rFonts w:hint="cs"/>
          <w:rtl/>
        </w:rPr>
        <w:t xml:space="preserve"> احوط و اوسع برای رد علم به امام و تخییر بیان شده که ممکن است مرادشان این بوده که رد به امام احوط و تخییر اوسع</w:t>
      </w:r>
      <w:r w:rsidR="00637142">
        <w:rPr>
          <w:rFonts w:hint="cs"/>
          <w:rtl/>
        </w:rPr>
        <w:t xml:space="preserve"> است اما در عبارت مرحوم آخوند، </w:t>
      </w:r>
      <w:r>
        <w:rPr>
          <w:rFonts w:hint="cs"/>
          <w:rtl/>
        </w:rPr>
        <w:t xml:space="preserve"> اوسعیت و احوطیت برای تخییر ذکر شده که به نظر احوطیت مناسبتی با تخییر نداشته و مناسب حکم به رد علم به امام است.</w:t>
      </w:r>
    </w:p>
    <w:p w:rsidR="00F2277C" w:rsidRDefault="00F2277C" w:rsidP="00F2277C">
      <w:pPr>
        <w:rPr>
          <w:rtl/>
        </w:rPr>
      </w:pPr>
      <w:r>
        <w:rPr>
          <w:rFonts w:hint="cs"/>
          <w:rtl/>
        </w:rPr>
        <w:t>بله مرحوم کلینی قبل از بیان تخییر، برخی از مرجحات را نیز ذکر می کنند که ممکن است دلالت بر قول به ترجیح از جانب ایشان داشته و ممکن است ذکر این مرجحات برای بیان این بوده که بیان کنند این مرجحات قابل اعتناء نب</w:t>
      </w:r>
      <w:r w:rsidR="00637142">
        <w:rPr>
          <w:rFonts w:hint="cs"/>
          <w:rtl/>
        </w:rPr>
        <w:t>وده و مشکل تعارض را حل نمی کنند پس باید به تخییر فتوا داد.</w:t>
      </w:r>
    </w:p>
    <w:p w:rsidR="00207E79" w:rsidRDefault="00CA40F0" w:rsidP="00DB2805">
      <w:pPr>
        <w:rPr>
          <w:rtl/>
        </w:rPr>
      </w:pPr>
      <w:r>
        <w:rPr>
          <w:rFonts w:hint="cs"/>
          <w:rtl/>
        </w:rPr>
        <w:lastRenderedPageBreak/>
        <w:t>همچنین عبارتی از مرحوم صدوق نقل شده است که ظهور در این دارد که ایشان قائل به تخییر در فرض تعارض هستند. ایشان در مورد کسی که نماز طواف را فراموش کرده و در حال سعی است دو روایت نقل نموده که یک روایت امر به قطع طواف و نماز خلف مقام امر نموده و سپس حکم به ادامه سعی می کند اما در روایت دیگر انجام نماز طواف را پس از سعی جائز دانسته است که مرحوم صدوق می فرمایند بین این دو روایت مخیر بوده و به هر یک از این دو روایت می توان اخذ نمود</w:t>
      </w:r>
      <w:r w:rsidR="00DB2805">
        <w:rPr>
          <w:rFonts w:hint="cs"/>
          <w:rtl/>
        </w:rPr>
        <w:t>به این عبارت که «</w:t>
      </w:r>
      <w:r w:rsidR="00DB2805" w:rsidRPr="00DB2805">
        <w:rPr>
          <w:rtl/>
        </w:rPr>
        <w:t xml:space="preserve"> فَبِأَيِّ الْخَبَرَيْنِ أَخَذَ جَاز</w:t>
      </w:r>
      <w:r w:rsidR="00DB2805">
        <w:rPr>
          <w:rFonts w:hint="cs"/>
          <w:rtl/>
        </w:rPr>
        <w:t>»</w:t>
      </w:r>
      <w:r w:rsidR="00DB2805">
        <w:rPr>
          <w:rStyle w:val="FootnoteReference"/>
          <w:rtl/>
        </w:rPr>
        <w:footnoteReference w:id="4"/>
      </w:r>
    </w:p>
    <w:p w:rsidR="00DB2805" w:rsidRDefault="00DB2805" w:rsidP="00207E79">
      <w:pPr>
        <w:rPr>
          <w:rtl/>
        </w:rPr>
      </w:pPr>
      <w:r>
        <w:rPr>
          <w:rFonts w:hint="cs"/>
          <w:rtl/>
        </w:rPr>
        <w:t>بنابر این با توجه به مخالفت مرحوم کلینی و صدوق با قول به ترجیح ادعای اجماع بر ترجیح مجازفه است.</w:t>
      </w:r>
    </w:p>
    <w:p w:rsidR="00F2277C" w:rsidRDefault="00F2277C" w:rsidP="00207E79">
      <w:pPr>
        <w:rPr>
          <w:rtl/>
        </w:rPr>
      </w:pPr>
      <w:r>
        <w:rPr>
          <w:rFonts w:hint="cs"/>
          <w:rtl/>
        </w:rPr>
        <w:t>بلکه با توجه به ادله متعدد بر تخییر، نبود اجماع بر ترجیح کاملا قریب است و اگر هم اجماعی بر ترجیح شکل بگیرد قابل اعتناء نیست؛ زیرا قطعا تعبدی نبوده و مستند به مدارک موجود است.</w:t>
      </w:r>
    </w:p>
    <w:p w:rsidR="00F2277C" w:rsidRPr="00207E79" w:rsidRDefault="00F2277C" w:rsidP="00207E79">
      <w:bookmarkStart w:id="6" w:name="_GoBack"/>
      <w:bookmarkEnd w:id="6"/>
    </w:p>
    <w:sectPr w:rsidR="00F2277C" w:rsidRPr="00207E7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40F" w:rsidRDefault="00C9740F" w:rsidP="008B750B">
      <w:pPr>
        <w:spacing w:line="240" w:lineRule="auto"/>
      </w:pPr>
      <w:r>
        <w:separator/>
      </w:r>
    </w:p>
  </w:endnote>
  <w:endnote w:type="continuationSeparator" w:id="0">
    <w:p w:rsidR="00C9740F" w:rsidRDefault="00C9740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B29C7" w:rsidRPr="00DB29C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7473C" w:rsidP="001B6799">
          <w:pPr>
            <w:pStyle w:val="Footer"/>
            <w:bidi w:val="0"/>
            <w:rPr>
              <w:color w:val="808080" w:themeColor="background1" w:themeShade="80"/>
              <w:rtl/>
            </w:rPr>
          </w:pPr>
          <w:bookmarkStart w:id="14" w:name="BokAdres"/>
          <w:bookmarkEnd w:id="14"/>
          <w:r>
            <w:rPr>
              <w:color w:val="808080" w:themeColor="background1" w:themeShade="80"/>
            </w:rPr>
            <w:t>U1mq1_13980207-112_hs2_mfeb.ir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40F" w:rsidRDefault="00C9740F" w:rsidP="008B750B">
      <w:pPr>
        <w:spacing w:line="240" w:lineRule="auto"/>
      </w:pPr>
      <w:r>
        <w:separator/>
      </w:r>
    </w:p>
  </w:footnote>
  <w:footnote w:type="continuationSeparator" w:id="0">
    <w:p w:rsidR="00C9740F" w:rsidRDefault="00C9740F" w:rsidP="008B750B">
      <w:pPr>
        <w:spacing w:line="240" w:lineRule="auto"/>
      </w:pPr>
      <w:r>
        <w:continuationSeparator/>
      </w:r>
    </w:p>
  </w:footnote>
  <w:footnote w:id="1">
    <w:p w:rsidR="00330989" w:rsidRPr="00330989" w:rsidRDefault="00330989" w:rsidP="00330989">
      <w:pPr>
        <w:pStyle w:val="FootnoteText"/>
      </w:pPr>
      <w:r w:rsidRPr="00330989">
        <w:footnoteRef/>
      </w:r>
      <w:r w:rsidRPr="00330989">
        <w:rPr>
          <w:rtl/>
        </w:rPr>
        <w:t xml:space="preserve"> </w:t>
      </w:r>
      <w:hyperlink r:id="rId1" w:history="1">
        <w:r w:rsidRPr="00330989">
          <w:rPr>
            <w:rStyle w:val="Hyperlink"/>
            <w:rtl/>
          </w:rPr>
          <w:t>کفا</w:t>
        </w:r>
        <w:r w:rsidRPr="00330989">
          <w:rPr>
            <w:rStyle w:val="Hyperlink"/>
            <w:rFonts w:hint="cs"/>
            <w:rtl/>
          </w:rPr>
          <w:t>ی</w:t>
        </w:r>
        <w:r w:rsidRPr="00330989">
          <w:rPr>
            <w:rStyle w:val="Hyperlink"/>
            <w:rFonts w:hint="eastAsia"/>
            <w:rtl/>
          </w:rPr>
          <w:t>ه</w:t>
        </w:r>
        <w:r w:rsidRPr="00330989">
          <w:rPr>
            <w:rStyle w:val="Hyperlink"/>
            <w:rtl/>
          </w:rPr>
          <w:t xml:space="preserve"> الاصول، آخوند خراسان</w:t>
        </w:r>
        <w:r w:rsidRPr="00330989">
          <w:rPr>
            <w:rStyle w:val="Hyperlink"/>
            <w:rFonts w:hint="cs"/>
            <w:rtl/>
          </w:rPr>
          <w:t>ی</w:t>
        </w:r>
        <w:r w:rsidRPr="00330989">
          <w:rPr>
            <w:rStyle w:val="Hyperlink"/>
            <w:rFonts w:hint="eastAsia"/>
            <w:rtl/>
          </w:rPr>
          <w:t>،</w:t>
        </w:r>
        <w:r w:rsidRPr="00330989">
          <w:rPr>
            <w:rStyle w:val="Hyperlink"/>
            <w:rtl/>
          </w:rPr>
          <w:t xml:space="preserve"> ج1، ص445.</w:t>
        </w:r>
      </w:hyperlink>
    </w:p>
  </w:footnote>
  <w:footnote w:id="2">
    <w:p w:rsidR="00F2277C" w:rsidRDefault="00F2277C" w:rsidP="00F2277C">
      <w:pPr>
        <w:pStyle w:val="FootnoteText"/>
      </w:pPr>
      <w:r>
        <w:rPr>
          <w:rStyle w:val="FootnoteReference"/>
        </w:rPr>
        <w:footnoteRef/>
      </w:r>
      <w:r>
        <w:rPr>
          <w:rtl/>
        </w:rPr>
        <w:t xml:space="preserve"> </w:t>
      </w:r>
      <w:hyperlink r:id="rId2" w:history="1">
        <w:r w:rsidRPr="00330989">
          <w:rPr>
            <w:rStyle w:val="Hyperlink"/>
            <w:rtl/>
          </w:rPr>
          <w:t>کفا</w:t>
        </w:r>
        <w:r w:rsidRPr="00330989">
          <w:rPr>
            <w:rStyle w:val="Hyperlink"/>
            <w:rFonts w:hint="cs"/>
            <w:rtl/>
          </w:rPr>
          <w:t>ی</w:t>
        </w:r>
        <w:r w:rsidRPr="00330989">
          <w:rPr>
            <w:rStyle w:val="Hyperlink"/>
            <w:rFonts w:hint="eastAsia"/>
            <w:rtl/>
          </w:rPr>
          <w:t>ه</w:t>
        </w:r>
        <w:r w:rsidRPr="00330989">
          <w:rPr>
            <w:rStyle w:val="Hyperlink"/>
            <w:rtl/>
          </w:rPr>
          <w:t xml:space="preserve"> الاصول، آخوند خراسان</w:t>
        </w:r>
        <w:r w:rsidRPr="00330989">
          <w:rPr>
            <w:rStyle w:val="Hyperlink"/>
            <w:rFonts w:hint="cs"/>
            <w:rtl/>
          </w:rPr>
          <w:t>ی</w:t>
        </w:r>
        <w:r w:rsidRPr="00330989">
          <w:rPr>
            <w:rStyle w:val="Hyperlink"/>
            <w:rFonts w:hint="eastAsia"/>
            <w:rtl/>
          </w:rPr>
          <w:t>،</w:t>
        </w:r>
        <w:r w:rsidRPr="00330989">
          <w:rPr>
            <w:rStyle w:val="Hyperlink"/>
            <w:rtl/>
          </w:rPr>
          <w:t xml:space="preserve"> ج1، ص445.</w:t>
        </w:r>
      </w:hyperlink>
    </w:p>
  </w:footnote>
  <w:footnote w:id="3">
    <w:p w:rsidR="00DB2805" w:rsidRPr="00DB2805" w:rsidRDefault="00DB2805" w:rsidP="00DB2805">
      <w:pPr>
        <w:pStyle w:val="FootnoteText"/>
      </w:pPr>
      <w:r w:rsidRPr="00DB2805">
        <w:footnoteRef/>
      </w:r>
      <w:r w:rsidRPr="00DB2805">
        <w:rPr>
          <w:rtl/>
        </w:rPr>
        <w:t xml:space="preserve"> </w:t>
      </w:r>
      <w:hyperlink r:id="rId3" w:history="1">
        <w:r w:rsidRPr="00DB2805">
          <w:rPr>
            <w:rStyle w:val="Hyperlink"/>
            <w:rtl/>
          </w:rPr>
          <w:t>الکاف</w:t>
        </w:r>
        <w:r w:rsidRPr="00DB2805">
          <w:rPr>
            <w:rStyle w:val="Hyperlink"/>
            <w:rFonts w:hint="cs"/>
            <w:rtl/>
          </w:rPr>
          <w:t>ی</w:t>
        </w:r>
        <w:r w:rsidRPr="00DB2805">
          <w:rPr>
            <w:rStyle w:val="Hyperlink"/>
            <w:rFonts w:hint="eastAsia"/>
            <w:rtl/>
          </w:rPr>
          <w:t>،</w:t>
        </w:r>
        <w:r w:rsidRPr="00DB2805">
          <w:rPr>
            <w:rStyle w:val="Hyperlink"/>
            <w:rtl/>
          </w:rPr>
          <w:t xml:space="preserve"> محمد بن </w:t>
        </w:r>
        <w:r w:rsidRPr="00DB2805">
          <w:rPr>
            <w:rStyle w:val="Hyperlink"/>
            <w:rFonts w:hint="cs"/>
            <w:rtl/>
          </w:rPr>
          <w:t>ی</w:t>
        </w:r>
        <w:r w:rsidRPr="00DB2805">
          <w:rPr>
            <w:rStyle w:val="Hyperlink"/>
            <w:rFonts w:hint="eastAsia"/>
            <w:rtl/>
          </w:rPr>
          <w:t>عقوب</w:t>
        </w:r>
        <w:r w:rsidRPr="00DB2805">
          <w:rPr>
            <w:rStyle w:val="Hyperlink"/>
            <w:rtl/>
          </w:rPr>
          <w:t xml:space="preserve"> کل</w:t>
        </w:r>
        <w:r w:rsidRPr="00DB2805">
          <w:rPr>
            <w:rStyle w:val="Hyperlink"/>
            <w:rFonts w:hint="cs"/>
            <w:rtl/>
          </w:rPr>
          <w:t>ی</w:t>
        </w:r>
        <w:r w:rsidRPr="00DB2805">
          <w:rPr>
            <w:rStyle w:val="Hyperlink"/>
            <w:rFonts w:hint="eastAsia"/>
            <w:rtl/>
          </w:rPr>
          <w:t>ن</w:t>
        </w:r>
        <w:r w:rsidRPr="00DB2805">
          <w:rPr>
            <w:rStyle w:val="Hyperlink"/>
            <w:rFonts w:hint="cs"/>
            <w:rtl/>
          </w:rPr>
          <w:t>ی</w:t>
        </w:r>
        <w:r w:rsidRPr="00DB2805">
          <w:rPr>
            <w:rStyle w:val="Hyperlink"/>
            <w:rFonts w:hint="eastAsia"/>
            <w:rtl/>
          </w:rPr>
          <w:t>،</w:t>
        </w:r>
        <w:r w:rsidRPr="00DB2805">
          <w:rPr>
            <w:rStyle w:val="Hyperlink"/>
            <w:rtl/>
          </w:rPr>
          <w:t xml:space="preserve"> ج1، ص9.</w:t>
        </w:r>
      </w:hyperlink>
    </w:p>
  </w:footnote>
  <w:footnote w:id="4">
    <w:p w:rsidR="00DB2805" w:rsidRPr="00DB2805" w:rsidRDefault="00DB2805" w:rsidP="00DB2805">
      <w:pPr>
        <w:pStyle w:val="FootnoteText"/>
      </w:pPr>
      <w:r w:rsidRPr="00DB2805">
        <w:footnoteRef/>
      </w:r>
      <w:r w:rsidRPr="00DB2805">
        <w:rPr>
          <w:rtl/>
        </w:rPr>
        <w:t xml:space="preserve"> </w:t>
      </w:r>
      <w:hyperlink r:id="rId4" w:history="1">
        <w:r w:rsidRPr="00DB2805">
          <w:rPr>
            <w:rStyle w:val="Hyperlink"/>
            <w:rtl/>
          </w:rPr>
          <w:t xml:space="preserve">من لا </w:t>
        </w:r>
        <w:r w:rsidRPr="00DB2805">
          <w:rPr>
            <w:rStyle w:val="Hyperlink"/>
            <w:rFonts w:hint="cs"/>
            <w:rtl/>
          </w:rPr>
          <w:t>ی</w:t>
        </w:r>
        <w:r w:rsidRPr="00DB2805">
          <w:rPr>
            <w:rStyle w:val="Hyperlink"/>
            <w:rFonts w:hint="eastAsia"/>
            <w:rtl/>
          </w:rPr>
          <w:t>حضره</w:t>
        </w:r>
        <w:r w:rsidRPr="00DB2805">
          <w:rPr>
            <w:rStyle w:val="Hyperlink"/>
            <w:rtl/>
          </w:rPr>
          <w:t xml:space="preserve"> الفق</w:t>
        </w:r>
        <w:r w:rsidRPr="00DB2805">
          <w:rPr>
            <w:rStyle w:val="Hyperlink"/>
            <w:rFonts w:hint="cs"/>
            <w:rtl/>
          </w:rPr>
          <w:t>ی</w:t>
        </w:r>
        <w:r w:rsidRPr="00DB2805">
          <w:rPr>
            <w:rStyle w:val="Hyperlink"/>
            <w:rFonts w:hint="eastAsia"/>
            <w:rtl/>
          </w:rPr>
          <w:t>ه،</w:t>
        </w:r>
        <w:r w:rsidRPr="00DB2805">
          <w:rPr>
            <w:rStyle w:val="Hyperlink"/>
            <w:rtl/>
          </w:rPr>
          <w:t xml:space="preserve"> ش</w:t>
        </w:r>
        <w:r w:rsidRPr="00DB2805">
          <w:rPr>
            <w:rStyle w:val="Hyperlink"/>
            <w:rFonts w:hint="cs"/>
            <w:rtl/>
          </w:rPr>
          <w:t>ی</w:t>
        </w:r>
        <w:r w:rsidRPr="00DB2805">
          <w:rPr>
            <w:rStyle w:val="Hyperlink"/>
            <w:rFonts w:hint="eastAsia"/>
            <w:rtl/>
          </w:rPr>
          <w:t>خ</w:t>
        </w:r>
        <w:r w:rsidRPr="00DB2805">
          <w:rPr>
            <w:rStyle w:val="Hyperlink"/>
            <w:rtl/>
          </w:rPr>
          <w:t xml:space="preserve"> صدوق، ج2، ص407.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0A634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D7473C">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D7473C">
      <w:rPr>
        <w:sz w:val="24"/>
        <w:szCs w:val="24"/>
        <w:rtl/>
      </w:rPr>
      <w:t xml:space="preserve">7 </w:t>
    </w:r>
    <w:r w:rsidR="000A6348">
      <w:rPr>
        <w:rFonts w:hint="cs"/>
        <w:sz w:val="24"/>
        <w:szCs w:val="24"/>
        <w:rtl/>
      </w:rPr>
      <w:t>0</w:t>
    </w:r>
    <w:r w:rsidR="00BC3214">
      <w:rPr>
        <w:sz w:val="24"/>
        <w:szCs w:val="24"/>
        <w:rtl/>
      </w:rPr>
      <w:t>/</w:t>
    </w:r>
    <w:r w:rsidR="004F4C8E">
      <w:rPr>
        <w:rFonts w:hint="cs"/>
        <w:sz w:val="24"/>
        <w:szCs w:val="24"/>
        <w:rtl/>
      </w:rPr>
      <w:t>0</w:t>
    </w:r>
    <w:r w:rsidR="000A6348">
      <w:rPr>
        <w:rFonts w:hint="cs"/>
        <w:sz w:val="24"/>
        <w:szCs w:val="24"/>
        <w:rtl/>
      </w:rPr>
      <w:t>2</w:t>
    </w:r>
    <w:r w:rsidR="00BC3214">
      <w:rPr>
        <w:sz w:val="24"/>
        <w:szCs w:val="24"/>
        <w:rtl/>
      </w:rPr>
      <w:t xml:space="preserve"> /</w:t>
    </w:r>
    <w:r w:rsidR="004F4C8E">
      <w:rPr>
        <w:rFonts w:hint="cs"/>
        <w:sz w:val="24"/>
        <w:szCs w:val="24"/>
        <w:rtl/>
      </w:rPr>
      <w:t>1398</w:t>
    </w:r>
  </w:p>
  <w:p w:rsidR="000A6348" w:rsidRPr="00F16B53" w:rsidRDefault="00935A55" w:rsidP="000A634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BC3214">
      <w:rPr>
        <w:sz w:val="24"/>
        <w:szCs w:val="24"/>
        <w:rtl/>
      </w:rPr>
      <w:t>حس</w:t>
    </w:r>
    <w:r w:rsidR="00BC3214">
      <w:rPr>
        <w:rFonts w:hint="cs"/>
        <w:sz w:val="24"/>
        <w:szCs w:val="24"/>
        <w:rtl/>
      </w:rPr>
      <w:t>ی</w:t>
    </w:r>
    <w:r w:rsidR="00BC3214">
      <w:rPr>
        <w:rFonts w:hint="eastAsia"/>
        <w:sz w:val="24"/>
        <w:szCs w:val="24"/>
        <w:rtl/>
      </w:rPr>
      <w:t>ن</w:t>
    </w:r>
    <w:r w:rsidR="00BC3214">
      <w:rPr>
        <w:sz w:val="24"/>
        <w:szCs w:val="24"/>
        <w:rtl/>
      </w:rPr>
      <w:t xml:space="preserve"> سل</w:t>
    </w:r>
    <w:r w:rsidR="00BC3214">
      <w:rPr>
        <w:rFonts w:hint="cs"/>
        <w:sz w:val="24"/>
        <w:szCs w:val="24"/>
        <w:rtl/>
      </w:rPr>
      <w:t>ی</w:t>
    </w:r>
    <w:r w:rsidR="00BC3214">
      <w:rPr>
        <w:rFonts w:hint="eastAsia"/>
        <w:sz w:val="24"/>
        <w:szCs w:val="24"/>
        <w:rtl/>
      </w:rPr>
      <w:t>م</w:t>
    </w:r>
    <w:r w:rsidR="00BC321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D7473C">
      <w:rPr>
        <w:sz w:val="24"/>
        <w:szCs w:val="24"/>
        <w:rtl/>
      </w:rPr>
      <w:t xml:space="preserve">اخبار </w:t>
    </w:r>
    <w:r w:rsidR="000A6348">
      <w:rPr>
        <w:rFonts w:hint="cs"/>
        <w:sz w:val="24"/>
        <w:szCs w:val="24"/>
        <w:rtl/>
      </w:rPr>
      <w:t>ترجیح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6348"/>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4215"/>
    <w:rsid w:val="00151937"/>
    <w:rsid w:val="00181844"/>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07E79"/>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189E"/>
    <w:rsid w:val="00307311"/>
    <w:rsid w:val="0032100F"/>
    <w:rsid w:val="00330989"/>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5F74"/>
    <w:rsid w:val="006162A2"/>
    <w:rsid w:val="006240DA"/>
    <w:rsid w:val="0063256E"/>
    <w:rsid w:val="00633F04"/>
    <w:rsid w:val="00635219"/>
    <w:rsid w:val="00635EC0"/>
    <w:rsid w:val="00637142"/>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9BE"/>
    <w:rsid w:val="00762452"/>
    <w:rsid w:val="007639E0"/>
    <w:rsid w:val="00775507"/>
    <w:rsid w:val="00783473"/>
    <w:rsid w:val="0078594B"/>
    <w:rsid w:val="007920BC"/>
    <w:rsid w:val="00795E02"/>
    <w:rsid w:val="007979D0"/>
    <w:rsid w:val="007A4E18"/>
    <w:rsid w:val="007A7B8C"/>
    <w:rsid w:val="007B4886"/>
    <w:rsid w:val="007C6D9E"/>
    <w:rsid w:val="007D1C43"/>
    <w:rsid w:val="007D6C53"/>
    <w:rsid w:val="007E1564"/>
    <w:rsid w:val="007E1E87"/>
    <w:rsid w:val="007E5B3F"/>
    <w:rsid w:val="007F2257"/>
    <w:rsid w:val="0080091D"/>
    <w:rsid w:val="00804108"/>
    <w:rsid w:val="00804FC4"/>
    <w:rsid w:val="00813E8E"/>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2D12"/>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05F3"/>
    <w:rsid w:val="00B55AE4"/>
    <w:rsid w:val="00B70B46"/>
    <w:rsid w:val="00B739B0"/>
    <w:rsid w:val="00B814A3"/>
    <w:rsid w:val="00B838CE"/>
    <w:rsid w:val="00B96F38"/>
    <w:rsid w:val="00BC321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740F"/>
    <w:rsid w:val="00CA10B0"/>
    <w:rsid w:val="00CA2F8E"/>
    <w:rsid w:val="00CA3EE2"/>
    <w:rsid w:val="00CA40F0"/>
    <w:rsid w:val="00CA7FD5"/>
    <w:rsid w:val="00CB3287"/>
    <w:rsid w:val="00CB33E2"/>
    <w:rsid w:val="00CB4E68"/>
    <w:rsid w:val="00CC2733"/>
    <w:rsid w:val="00CD0050"/>
    <w:rsid w:val="00CD5B25"/>
    <w:rsid w:val="00CE7481"/>
    <w:rsid w:val="00CF0A8F"/>
    <w:rsid w:val="00D048CE"/>
    <w:rsid w:val="00D10998"/>
    <w:rsid w:val="00D15CBD"/>
    <w:rsid w:val="00D221CB"/>
    <w:rsid w:val="00D23391"/>
    <w:rsid w:val="00D31805"/>
    <w:rsid w:val="00D552B9"/>
    <w:rsid w:val="00D735B2"/>
    <w:rsid w:val="00D74021"/>
    <w:rsid w:val="00D7473C"/>
    <w:rsid w:val="00D76D01"/>
    <w:rsid w:val="00D922A9"/>
    <w:rsid w:val="00D9394A"/>
    <w:rsid w:val="00DB0CBB"/>
    <w:rsid w:val="00DB2805"/>
    <w:rsid w:val="00DB29C7"/>
    <w:rsid w:val="00DB67CC"/>
    <w:rsid w:val="00DC3783"/>
    <w:rsid w:val="00DE1070"/>
    <w:rsid w:val="00E00219"/>
    <w:rsid w:val="00E0316B"/>
    <w:rsid w:val="00E25E10"/>
    <w:rsid w:val="00E50B41"/>
    <w:rsid w:val="00E5219B"/>
    <w:rsid w:val="00E52D07"/>
    <w:rsid w:val="00E5518B"/>
    <w:rsid w:val="00E57A14"/>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A76"/>
    <w:rsid w:val="00F07FB6"/>
    <w:rsid w:val="00F149D0"/>
    <w:rsid w:val="00F16B53"/>
    <w:rsid w:val="00F2277C"/>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6CB3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3857374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00020174">
      <w:bodyDiv w:val="1"/>
      <w:marLeft w:val="0"/>
      <w:marRight w:val="0"/>
      <w:marTop w:val="0"/>
      <w:marBottom w:val="0"/>
      <w:divBdr>
        <w:top w:val="none" w:sz="0" w:space="0" w:color="auto"/>
        <w:left w:val="none" w:sz="0" w:space="0" w:color="auto"/>
        <w:bottom w:val="none" w:sz="0" w:space="0" w:color="auto"/>
        <w:right w:val="none" w:sz="0" w:space="0" w:color="auto"/>
      </w:divBdr>
    </w:div>
    <w:div w:id="115245448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1/9/&#1575;&#1604;&#1593;&#1575;&#1604;&#1605;" TargetMode="External"/><Relationship Id="rId2" Type="http://schemas.openxmlformats.org/officeDocument/2006/relationships/hyperlink" Target="http://lib.eshia.ir/27004/1/445/&#1575;&#1604;&#1606;&#1608;&#1575;&#1576;" TargetMode="External"/><Relationship Id="rId1" Type="http://schemas.openxmlformats.org/officeDocument/2006/relationships/hyperlink" Target="http://lib.eshia.ir/27004/1/445/&#1575;&#1604;&#1606;&#1608;&#1575;&#1576;" TargetMode="External"/><Relationship Id="rId4" Type="http://schemas.openxmlformats.org/officeDocument/2006/relationships/hyperlink" Target="http://lib.eshia.ir/11021/2/407/&#1580;&#1575;&#15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DD806-920E-42AE-93DB-FF3AB4C19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191</TotalTime>
  <Pages>1</Pages>
  <Words>909</Words>
  <Characters>5186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17</cp:revision>
  <cp:lastPrinted>2019-04-27T17:39:00Z</cp:lastPrinted>
  <dcterms:created xsi:type="dcterms:W3CDTF">2019-04-27T14:28:00Z</dcterms:created>
  <dcterms:modified xsi:type="dcterms:W3CDTF">2019-04-27T17:39:00Z</dcterms:modified>
  <cp:contentStatus>ویرایش 2.5</cp:contentStatus>
  <cp:version>2.7</cp:version>
</cp:coreProperties>
</file>