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12A20" w:rsidRDefault="00412A20" w:rsidP="00412A20">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048793" w:history="1">
        <w:r w:rsidRPr="00A973B9">
          <w:rPr>
            <w:rStyle w:val="Hyperlink"/>
            <w:noProof/>
            <w:rtl/>
          </w:rPr>
          <w:t>ب</w:t>
        </w:r>
        <w:r w:rsidRPr="00A973B9">
          <w:rPr>
            <w:rStyle w:val="Hyperlink"/>
            <w:rFonts w:hint="cs"/>
            <w:noProof/>
            <w:rtl/>
          </w:rPr>
          <w:t>ی</w:t>
        </w:r>
        <w:r w:rsidRPr="00A973B9">
          <w:rPr>
            <w:rStyle w:val="Hyperlink"/>
            <w:rFonts w:hint="eastAsia"/>
            <w:noProof/>
            <w:rtl/>
          </w:rPr>
          <w:t>ان</w:t>
        </w:r>
        <w:r w:rsidRPr="00A973B9">
          <w:rPr>
            <w:rStyle w:val="Hyperlink"/>
            <w:noProof/>
            <w:rtl/>
          </w:rPr>
          <w:t xml:space="preserve"> استاد در رفع مانع</w:t>
        </w:r>
        <w:r w:rsidRPr="00A973B9">
          <w:rPr>
            <w:rStyle w:val="Hyperlink"/>
            <w:rFonts w:hint="cs"/>
            <w:noProof/>
            <w:rtl/>
          </w:rPr>
          <w:t>ی</w:t>
        </w:r>
        <w:r w:rsidRPr="00A973B9">
          <w:rPr>
            <w:rStyle w:val="Hyperlink"/>
            <w:rFonts w:hint="eastAsia"/>
            <w:noProof/>
            <w:rtl/>
          </w:rPr>
          <w:t>ت</w:t>
        </w:r>
        <w:r w:rsidRPr="00A973B9">
          <w:rPr>
            <w:rStyle w:val="Hyperlink"/>
            <w:noProof/>
            <w:rtl/>
          </w:rPr>
          <w:t xml:space="preserve"> قرعه با استصحاب و احت</w:t>
        </w:r>
        <w:r w:rsidRPr="00A973B9">
          <w:rPr>
            <w:rStyle w:val="Hyperlink"/>
            <w:rFonts w:hint="cs"/>
            <w:noProof/>
            <w:rtl/>
          </w:rPr>
          <w:t>ی</w:t>
        </w:r>
        <w:r w:rsidRPr="00A973B9">
          <w:rPr>
            <w:rStyle w:val="Hyperlink"/>
            <w:rFonts w:hint="eastAsia"/>
            <w:noProof/>
            <w:rtl/>
          </w:rPr>
          <w:t>اط</w:t>
        </w:r>
        <w:r w:rsidRPr="00A973B9">
          <w:rPr>
            <w:rStyle w:val="Hyperlink"/>
            <w:noProof/>
            <w:rtl/>
          </w:rPr>
          <w:t xml:space="preserve">  به جهت اختصاص قرعه به موارد علم اجمال</w:t>
        </w:r>
        <w:r w:rsidRPr="00A973B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534048793 </w:instrText>
        </w:r>
        <w:r>
          <w:rPr>
            <w:noProof/>
            <w:webHidden/>
          </w:rPr>
          <w:instrText>\h</w:instrText>
        </w:r>
        <w:r>
          <w:rPr>
            <w:noProof/>
            <w:webHidden/>
            <w:rtl/>
          </w:rPr>
          <w:instrText xml:space="preserve"> </w:instrText>
        </w:r>
        <w:r>
          <w:rPr>
            <w:noProof/>
            <w:webHidden/>
            <w:rtl/>
          </w:rPr>
        </w:r>
        <w:r>
          <w:rPr>
            <w:noProof/>
            <w:webHidden/>
            <w:rtl/>
          </w:rPr>
          <w:fldChar w:fldCharType="separate"/>
        </w:r>
        <w:r w:rsidR="00A13445">
          <w:rPr>
            <w:noProof/>
            <w:webHidden/>
            <w:rtl/>
          </w:rPr>
          <w:t>2</w:t>
        </w:r>
        <w:r>
          <w:rPr>
            <w:noProof/>
            <w:webHidden/>
            <w:rtl/>
          </w:rPr>
          <w:fldChar w:fldCharType="end"/>
        </w:r>
      </w:hyperlink>
    </w:p>
    <w:p w:rsidR="00412A20" w:rsidRDefault="00385BE2" w:rsidP="00412A20">
      <w:pPr>
        <w:pStyle w:val="TOC2"/>
        <w:tabs>
          <w:tab w:val="right" w:leader="dot" w:pos="10194"/>
        </w:tabs>
        <w:rPr>
          <w:rFonts w:asciiTheme="minorHAnsi" w:eastAsiaTheme="minorEastAsia" w:hAnsiTheme="minorHAnsi" w:cstheme="minorBidi"/>
          <w:bCs w:val="0"/>
          <w:noProof/>
          <w:color w:val="auto"/>
          <w:szCs w:val="22"/>
          <w:rtl/>
          <w:lang w:bidi="ar-SA"/>
        </w:rPr>
      </w:pPr>
      <w:hyperlink w:anchor="_Toc534048794" w:history="1">
        <w:r w:rsidR="00412A20" w:rsidRPr="00A973B9">
          <w:rPr>
            <w:rStyle w:val="Hyperlink"/>
            <w:noProof/>
            <w:rtl/>
          </w:rPr>
          <w:t>وجه اختصاص قرعه به موارد علم اجمال</w:t>
        </w:r>
        <w:r w:rsidR="00412A20" w:rsidRPr="00A973B9">
          <w:rPr>
            <w:rStyle w:val="Hyperlink"/>
            <w:rFonts w:hint="cs"/>
            <w:noProof/>
            <w:rtl/>
          </w:rPr>
          <w:t>ی</w:t>
        </w:r>
        <w:r w:rsidR="00412A20">
          <w:rPr>
            <w:noProof/>
            <w:webHidden/>
            <w:rtl/>
          </w:rPr>
          <w:tab/>
        </w:r>
        <w:r w:rsidR="00412A20">
          <w:rPr>
            <w:noProof/>
            <w:webHidden/>
            <w:rtl/>
          </w:rPr>
          <w:fldChar w:fldCharType="begin"/>
        </w:r>
        <w:r w:rsidR="00412A20">
          <w:rPr>
            <w:noProof/>
            <w:webHidden/>
            <w:rtl/>
          </w:rPr>
          <w:instrText xml:space="preserve"> </w:instrText>
        </w:r>
        <w:r w:rsidR="00412A20">
          <w:rPr>
            <w:noProof/>
            <w:webHidden/>
          </w:rPr>
          <w:instrText>PAGEREF</w:instrText>
        </w:r>
        <w:r w:rsidR="00412A20">
          <w:rPr>
            <w:noProof/>
            <w:webHidden/>
            <w:rtl/>
          </w:rPr>
          <w:instrText xml:space="preserve"> _</w:instrText>
        </w:r>
        <w:r w:rsidR="00412A20">
          <w:rPr>
            <w:noProof/>
            <w:webHidden/>
          </w:rPr>
          <w:instrText>Toc</w:instrText>
        </w:r>
        <w:r w:rsidR="00412A20">
          <w:rPr>
            <w:noProof/>
            <w:webHidden/>
            <w:rtl/>
          </w:rPr>
          <w:instrText xml:space="preserve">534048794 </w:instrText>
        </w:r>
        <w:r w:rsidR="00412A20">
          <w:rPr>
            <w:noProof/>
            <w:webHidden/>
          </w:rPr>
          <w:instrText>\h</w:instrText>
        </w:r>
        <w:r w:rsidR="00412A20">
          <w:rPr>
            <w:noProof/>
            <w:webHidden/>
            <w:rtl/>
          </w:rPr>
          <w:instrText xml:space="preserve"> </w:instrText>
        </w:r>
        <w:r w:rsidR="00412A20">
          <w:rPr>
            <w:noProof/>
            <w:webHidden/>
            <w:rtl/>
          </w:rPr>
        </w:r>
        <w:r w:rsidR="00412A20">
          <w:rPr>
            <w:noProof/>
            <w:webHidden/>
            <w:rtl/>
          </w:rPr>
          <w:fldChar w:fldCharType="separate"/>
        </w:r>
        <w:r w:rsidR="00A13445">
          <w:rPr>
            <w:noProof/>
            <w:webHidden/>
            <w:rtl/>
          </w:rPr>
          <w:t>2</w:t>
        </w:r>
        <w:r w:rsidR="00412A20">
          <w:rPr>
            <w:noProof/>
            <w:webHidden/>
            <w:rtl/>
          </w:rPr>
          <w:fldChar w:fldCharType="end"/>
        </w:r>
      </w:hyperlink>
    </w:p>
    <w:p w:rsidR="00412A20" w:rsidRDefault="00385BE2" w:rsidP="00412A20">
      <w:pPr>
        <w:pStyle w:val="TOC2"/>
        <w:tabs>
          <w:tab w:val="right" w:leader="dot" w:pos="10194"/>
        </w:tabs>
        <w:rPr>
          <w:rFonts w:asciiTheme="minorHAnsi" w:eastAsiaTheme="minorEastAsia" w:hAnsiTheme="minorHAnsi" w:cstheme="minorBidi"/>
          <w:bCs w:val="0"/>
          <w:noProof/>
          <w:color w:val="auto"/>
          <w:szCs w:val="22"/>
          <w:rtl/>
          <w:lang w:bidi="ar-SA"/>
        </w:rPr>
      </w:pPr>
      <w:hyperlink w:anchor="_Toc534048795" w:history="1">
        <w:r w:rsidR="00412A20" w:rsidRPr="00A973B9">
          <w:rPr>
            <w:rStyle w:val="Hyperlink"/>
            <w:noProof/>
            <w:rtl/>
          </w:rPr>
          <w:t>نسبت قرعه و استصحاب</w:t>
        </w:r>
        <w:r w:rsidR="00412A20">
          <w:rPr>
            <w:noProof/>
            <w:webHidden/>
            <w:rtl/>
          </w:rPr>
          <w:tab/>
        </w:r>
        <w:r w:rsidR="00412A20">
          <w:rPr>
            <w:noProof/>
            <w:webHidden/>
            <w:rtl/>
          </w:rPr>
          <w:fldChar w:fldCharType="begin"/>
        </w:r>
        <w:r w:rsidR="00412A20">
          <w:rPr>
            <w:noProof/>
            <w:webHidden/>
            <w:rtl/>
          </w:rPr>
          <w:instrText xml:space="preserve"> </w:instrText>
        </w:r>
        <w:r w:rsidR="00412A20">
          <w:rPr>
            <w:noProof/>
            <w:webHidden/>
          </w:rPr>
          <w:instrText>PAGEREF</w:instrText>
        </w:r>
        <w:r w:rsidR="00412A20">
          <w:rPr>
            <w:noProof/>
            <w:webHidden/>
            <w:rtl/>
          </w:rPr>
          <w:instrText xml:space="preserve"> _</w:instrText>
        </w:r>
        <w:r w:rsidR="00412A20">
          <w:rPr>
            <w:noProof/>
            <w:webHidden/>
          </w:rPr>
          <w:instrText>Toc</w:instrText>
        </w:r>
        <w:r w:rsidR="00412A20">
          <w:rPr>
            <w:noProof/>
            <w:webHidden/>
            <w:rtl/>
          </w:rPr>
          <w:instrText xml:space="preserve">534048795 </w:instrText>
        </w:r>
        <w:r w:rsidR="00412A20">
          <w:rPr>
            <w:noProof/>
            <w:webHidden/>
          </w:rPr>
          <w:instrText>\h</w:instrText>
        </w:r>
        <w:r w:rsidR="00412A20">
          <w:rPr>
            <w:noProof/>
            <w:webHidden/>
            <w:rtl/>
          </w:rPr>
          <w:instrText xml:space="preserve"> </w:instrText>
        </w:r>
        <w:r w:rsidR="00412A20">
          <w:rPr>
            <w:noProof/>
            <w:webHidden/>
            <w:rtl/>
          </w:rPr>
        </w:r>
        <w:r w:rsidR="00412A20">
          <w:rPr>
            <w:noProof/>
            <w:webHidden/>
            <w:rtl/>
          </w:rPr>
          <w:fldChar w:fldCharType="separate"/>
        </w:r>
        <w:r w:rsidR="00A13445">
          <w:rPr>
            <w:noProof/>
            <w:webHidden/>
            <w:rtl/>
          </w:rPr>
          <w:t>3</w:t>
        </w:r>
        <w:r w:rsidR="00412A20">
          <w:rPr>
            <w:noProof/>
            <w:webHidden/>
            <w:rtl/>
          </w:rPr>
          <w:fldChar w:fldCharType="end"/>
        </w:r>
      </w:hyperlink>
    </w:p>
    <w:p w:rsidR="00412A20" w:rsidRDefault="00385BE2" w:rsidP="00412A20">
      <w:pPr>
        <w:pStyle w:val="TOC2"/>
        <w:tabs>
          <w:tab w:val="right" w:leader="dot" w:pos="10194"/>
        </w:tabs>
        <w:rPr>
          <w:rFonts w:asciiTheme="minorHAnsi" w:eastAsiaTheme="minorEastAsia" w:hAnsiTheme="minorHAnsi" w:cstheme="minorBidi"/>
          <w:bCs w:val="0"/>
          <w:noProof/>
          <w:color w:val="auto"/>
          <w:szCs w:val="22"/>
          <w:rtl/>
          <w:lang w:bidi="ar-SA"/>
        </w:rPr>
      </w:pPr>
      <w:hyperlink w:anchor="_Toc534048796" w:history="1">
        <w:r w:rsidR="00412A20" w:rsidRPr="00A973B9">
          <w:rPr>
            <w:rStyle w:val="Hyperlink"/>
            <w:noProof/>
            <w:rtl/>
          </w:rPr>
          <w:t>نسبت قرعه و اصل احت</w:t>
        </w:r>
        <w:r w:rsidR="00412A20" w:rsidRPr="00A973B9">
          <w:rPr>
            <w:rStyle w:val="Hyperlink"/>
            <w:rFonts w:hint="cs"/>
            <w:noProof/>
            <w:rtl/>
          </w:rPr>
          <w:t>ی</w:t>
        </w:r>
        <w:r w:rsidR="00412A20" w:rsidRPr="00A973B9">
          <w:rPr>
            <w:rStyle w:val="Hyperlink"/>
            <w:rFonts w:hint="eastAsia"/>
            <w:noProof/>
            <w:rtl/>
          </w:rPr>
          <w:t>اط</w:t>
        </w:r>
        <w:r w:rsidR="00412A20">
          <w:rPr>
            <w:noProof/>
            <w:webHidden/>
            <w:rtl/>
          </w:rPr>
          <w:tab/>
        </w:r>
        <w:r w:rsidR="00412A20">
          <w:rPr>
            <w:noProof/>
            <w:webHidden/>
            <w:rtl/>
          </w:rPr>
          <w:fldChar w:fldCharType="begin"/>
        </w:r>
        <w:r w:rsidR="00412A20">
          <w:rPr>
            <w:noProof/>
            <w:webHidden/>
            <w:rtl/>
          </w:rPr>
          <w:instrText xml:space="preserve"> </w:instrText>
        </w:r>
        <w:r w:rsidR="00412A20">
          <w:rPr>
            <w:noProof/>
            <w:webHidden/>
          </w:rPr>
          <w:instrText>PAGEREF</w:instrText>
        </w:r>
        <w:r w:rsidR="00412A20">
          <w:rPr>
            <w:noProof/>
            <w:webHidden/>
            <w:rtl/>
          </w:rPr>
          <w:instrText xml:space="preserve"> _</w:instrText>
        </w:r>
        <w:r w:rsidR="00412A20">
          <w:rPr>
            <w:noProof/>
            <w:webHidden/>
          </w:rPr>
          <w:instrText>Toc</w:instrText>
        </w:r>
        <w:r w:rsidR="00412A20">
          <w:rPr>
            <w:noProof/>
            <w:webHidden/>
            <w:rtl/>
          </w:rPr>
          <w:instrText xml:space="preserve">534048796 </w:instrText>
        </w:r>
        <w:r w:rsidR="00412A20">
          <w:rPr>
            <w:noProof/>
            <w:webHidden/>
          </w:rPr>
          <w:instrText>\h</w:instrText>
        </w:r>
        <w:r w:rsidR="00412A20">
          <w:rPr>
            <w:noProof/>
            <w:webHidden/>
            <w:rtl/>
          </w:rPr>
          <w:instrText xml:space="preserve"> </w:instrText>
        </w:r>
        <w:r w:rsidR="00412A20">
          <w:rPr>
            <w:noProof/>
            <w:webHidden/>
            <w:rtl/>
          </w:rPr>
        </w:r>
        <w:r w:rsidR="00412A20">
          <w:rPr>
            <w:noProof/>
            <w:webHidden/>
            <w:rtl/>
          </w:rPr>
          <w:fldChar w:fldCharType="separate"/>
        </w:r>
        <w:r w:rsidR="00A13445">
          <w:rPr>
            <w:noProof/>
            <w:webHidden/>
            <w:rtl/>
          </w:rPr>
          <w:t>3</w:t>
        </w:r>
        <w:r w:rsidR="00412A20">
          <w:rPr>
            <w:noProof/>
            <w:webHidden/>
            <w:rtl/>
          </w:rPr>
          <w:fldChar w:fldCharType="end"/>
        </w:r>
      </w:hyperlink>
    </w:p>
    <w:p w:rsidR="00C91EB6" w:rsidRPr="00C91EB6" w:rsidRDefault="00412A20"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E2C77">
        <w:rPr>
          <w:rtl/>
        </w:rPr>
        <w:t>تعارض استصحاب و قرعه</w:t>
      </w:r>
      <w:r w:rsidR="00025B70">
        <w:rPr>
          <w:rFonts w:hint="cs"/>
          <w:rtl/>
        </w:rPr>
        <w:t xml:space="preserve"> </w:t>
      </w:r>
      <w:r w:rsidR="00386C11" w:rsidRPr="00A6366F">
        <w:rPr>
          <w:rFonts w:hint="cs"/>
          <w:rtl/>
        </w:rPr>
        <w:t>/</w:t>
      </w:r>
      <w:bookmarkStart w:id="2" w:name="BokSabj_d"/>
      <w:bookmarkEnd w:id="2"/>
      <w:r w:rsidR="00CE2C77">
        <w:rPr>
          <w:rtl/>
        </w:rPr>
        <w:t>تعارض استصحاب</w:t>
      </w:r>
      <w:r w:rsidR="00386C11" w:rsidRPr="00A6366F">
        <w:rPr>
          <w:rFonts w:hint="cs"/>
          <w:rtl/>
        </w:rPr>
        <w:t xml:space="preserve"> /</w:t>
      </w:r>
      <w:bookmarkStart w:id="3" w:name="Bokkolli"/>
      <w:bookmarkEnd w:id="3"/>
      <w:r w:rsidR="00CE2C77">
        <w:rPr>
          <w:rtl/>
        </w:rPr>
        <w:t>تعادل و تراج</w:t>
      </w:r>
      <w:r w:rsidR="00CE2C77">
        <w:rPr>
          <w:rFonts w:hint="cs"/>
          <w:rtl/>
        </w:rPr>
        <w:t>ی</w:t>
      </w:r>
      <w:r w:rsidR="00CE2C77">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936F9" w:rsidRDefault="000936F9" w:rsidP="000936F9">
      <w:pPr>
        <w:pBdr>
          <w:bottom w:val="double" w:sz="6" w:space="1" w:color="auto"/>
        </w:pBdr>
        <w:rPr>
          <w:rtl/>
        </w:rPr>
      </w:pPr>
      <w:r>
        <w:rPr>
          <w:rFonts w:hint="cs"/>
          <w:rtl/>
        </w:rPr>
        <w:t>بحث در نسبت بیین استصحاب وقرعه بود</w:t>
      </w:r>
    </w:p>
    <w:p w:rsidR="000936F9" w:rsidRDefault="000936F9" w:rsidP="000936F9">
      <w:pPr>
        <w:pBdr>
          <w:bottom w:val="double" w:sz="6" w:space="1" w:color="auto"/>
        </w:pBdr>
        <w:rPr>
          <w:rtl/>
        </w:rPr>
      </w:pPr>
      <w:r>
        <w:rPr>
          <w:rFonts w:hint="cs"/>
          <w:rtl/>
        </w:rPr>
        <w:t xml:space="preserve"> مرحوم آخوند</w:t>
      </w:r>
      <w:r w:rsidR="00412A20">
        <w:rPr>
          <w:rFonts w:hint="cs"/>
          <w:rtl/>
        </w:rPr>
        <w:t>،</w:t>
      </w:r>
      <w:r>
        <w:rPr>
          <w:rFonts w:hint="cs"/>
          <w:rtl/>
        </w:rPr>
        <w:t xml:space="preserve"> استصحاب را اخص از قرعه دانستند و به جهت</w:t>
      </w:r>
      <w:r w:rsidR="00412A20">
        <w:rPr>
          <w:rFonts w:hint="cs"/>
          <w:rtl/>
        </w:rPr>
        <w:t xml:space="preserve"> اخص</w:t>
      </w:r>
      <w:r>
        <w:rPr>
          <w:rFonts w:hint="cs"/>
          <w:rtl/>
        </w:rPr>
        <w:t xml:space="preserve"> </w:t>
      </w:r>
      <w:r w:rsidR="00412A20">
        <w:rPr>
          <w:rFonts w:hint="cs"/>
          <w:rtl/>
        </w:rPr>
        <w:t xml:space="preserve">بودن </w:t>
      </w:r>
      <w:r>
        <w:rPr>
          <w:rFonts w:hint="cs"/>
          <w:rtl/>
        </w:rPr>
        <w:t>استصحاب، آن را بر قرعه مقدم دانستند.</w:t>
      </w:r>
      <w:r w:rsidR="00412A20">
        <w:rPr>
          <w:rStyle w:val="FootnoteReference"/>
          <w:rtl/>
        </w:rPr>
        <w:footnoteReference w:id="1"/>
      </w:r>
    </w:p>
    <w:p w:rsidR="000936F9" w:rsidRDefault="000936F9" w:rsidP="000936F9">
      <w:pPr>
        <w:pBdr>
          <w:bottom w:val="double" w:sz="6" w:space="1" w:color="auto"/>
        </w:pBdr>
        <w:rPr>
          <w:rtl/>
        </w:rPr>
      </w:pPr>
      <w:r>
        <w:rPr>
          <w:rFonts w:hint="cs"/>
          <w:rtl/>
        </w:rPr>
        <w:t>مرحوم خویی قائل به ورود استصحاب برقرعه</w:t>
      </w:r>
      <w:r w:rsidR="00412A20">
        <w:rPr>
          <w:rStyle w:val="FootnoteReference"/>
          <w:rtl/>
        </w:rPr>
        <w:footnoteReference w:id="2"/>
      </w:r>
      <w:r>
        <w:rPr>
          <w:rFonts w:hint="cs"/>
          <w:rtl/>
        </w:rPr>
        <w:t xml:space="preserve"> و مرحوم امام قائل به حکومت استصحاب بر قرعه بودند</w:t>
      </w:r>
      <w:r w:rsidR="00412A20">
        <w:rPr>
          <w:rStyle w:val="FootnoteReference"/>
          <w:rtl/>
        </w:rPr>
        <w:footnoteReference w:id="3"/>
      </w:r>
      <w:r>
        <w:rPr>
          <w:rFonts w:hint="cs"/>
          <w:rtl/>
        </w:rPr>
        <w:t xml:space="preserve"> که بیان هیچ کدام، تمام</w:t>
      </w:r>
      <w:r w:rsidR="00F04395">
        <w:rPr>
          <w:rFonts w:hint="cs"/>
          <w:rtl/>
        </w:rPr>
        <w:t xml:space="preserve"> نبود و مشکل را مرتفع نمی کرد.</w:t>
      </w:r>
    </w:p>
    <w:p w:rsidR="000936F9" w:rsidRDefault="000936F9" w:rsidP="000936F9">
      <w:pPr>
        <w:pBdr>
          <w:bottom w:val="double" w:sz="6" w:space="1" w:color="auto"/>
        </w:pBdr>
        <w:rPr>
          <w:rtl/>
        </w:rPr>
      </w:pPr>
      <w:r>
        <w:rPr>
          <w:rFonts w:hint="cs"/>
          <w:rtl/>
        </w:rPr>
        <w:t>مرحوم نائینی فرموده بودند:</w:t>
      </w:r>
      <w:r w:rsidR="00F04395">
        <w:rPr>
          <w:rFonts w:hint="cs"/>
          <w:rtl/>
        </w:rPr>
        <w:t xml:space="preserve"> موضوع قرعه با</w:t>
      </w:r>
      <w:r>
        <w:rPr>
          <w:rFonts w:hint="cs"/>
          <w:rtl/>
        </w:rPr>
        <w:t xml:space="preserve"> استصحاب</w:t>
      </w:r>
      <w:r w:rsidR="00F04395">
        <w:rPr>
          <w:rFonts w:hint="cs"/>
          <w:rtl/>
        </w:rPr>
        <w:t xml:space="preserve"> وبرائت</w:t>
      </w:r>
      <w:r>
        <w:rPr>
          <w:rFonts w:hint="cs"/>
          <w:rtl/>
        </w:rPr>
        <w:t xml:space="preserve"> متفاوت است و در مورد واحدی جمع نمی شوند تا شبهه تعارض ایندو مطرح شود؛ زیرا موضوع قرعه، علم اجمالی و موضوع استصحاب، شبهات بدویه است. بنابر این جعل قرعه تنها در موارد اشتباه موضوع خارجی و تردد معلوم بالاجمال در اطراف است</w:t>
      </w:r>
      <w:r w:rsidR="008041C9">
        <w:rPr>
          <w:rFonts w:hint="cs"/>
          <w:rtl/>
        </w:rPr>
        <w:t xml:space="preserve">؛ </w:t>
      </w:r>
      <w:r w:rsidR="00F04395">
        <w:rPr>
          <w:rFonts w:hint="cs"/>
          <w:rtl/>
        </w:rPr>
        <w:t>مانند اینکه جهل به عتق احد العبید یا طلاق احدی الزوجات و ... است</w:t>
      </w:r>
      <w:r>
        <w:rPr>
          <w:rFonts w:hint="cs"/>
          <w:rtl/>
        </w:rPr>
        <w:t>؛ ولی در استصحاب تردید بین احتمالات است نه بین اشیاء خارجی، پس مورد اجتماعی با یکدیگر ندارند و نسبت آن دو تب</w:t>
      </w:r>
      <w:r w:rsidR="00F04395">
        <w:rPr>
          <w:rFonts w:hint="cs"/>
          <w:rtl/>
        </w:rPr>
        <w:t>این است.</w:t>
      </w:r>
    </w:p>
    <w:p w:rsidR="00F04395" w:rsidRDefault="000936F9" w:rsidP="00736916">
      <w:pPr>
        <w:pBdr>
          <w:bottom w:val="double" w:sz="6" w:space="1" w:color="auto"/>
        </w:pBdr>
        <w:rPr>
          <w:rtl/>
        </w:rPr>
      </w:pPr>
      <w:r>
        <w:rPr>
          <w:rFonts w:hint="cs"/>
          <w:rtl/>
        </w:rPr>
        <w:t xml:space="preserve">آنچه موضوعا با قرعه متحد است و نسبت آن با قرعه باید سنجیده شود، اصل احتیاط است که موضوعا با قرعه متحد است ولی حکم آن با قرعه متفاوت است </w:t>
      </w:r>
      <w:r w:rsidR="00F04395">
        <w:rPr>
          <w:rFonts w:hint="cs"/>
          <w:rtl/>
        </w:rPr>
        <w:t xml:space="preserve">و مفاد احتیاط لزوم اجتناب از کل افراد است و مفاد قرعه تعیین یک طرف </w:t>
      </w:r>
      <w:r w:rsidR="00412A20">
        <w:rPr>
          <w:rFonts w:hint="cs"/>
          <w:rtl/>
        </w:rPr>
        <w:t>و عدم لزوم اجتناب از اطراف است.</w:t>
      </w:r>
      <w:r w:rsidR="00412A20">
        <w:rPr>
          <w:rStyle w:val="FootnoteReference"/>
          <w:rtl/>
        </w:rPr>
        <w:footnoteReference w:id="4"/>
      </w:r>
    </w:p>
    <w:p w:rsidR="000936F9" w:rsidRDefault="000936F9" w:rsidP="000936F9">
      <w:pPr>
        <w:pBdr>
          <w:bottom w:val="double" w:sz="6" w:space="1" w:color="auto"/>
        </w:pBdr>
        <w:rPr>
          <w:rtl/>
        </w:rPr>
      </w:pPr>
      <w:r>
        <w:rPr>
          <w:rFonts w:hint="cs"/>
          <w:rtl/>
        </w:rPr>
        <w:t xml:space="preserve">مرحوم آقا </w:t>
      </w:r>
      <w:r w:rsidR="008041C9">
        <w:rPr>
          <w:rFonts w:hint="cs"/>
          <w:rtl/>
        </w:rPr>
        <w:t>ضیاء عراقی در نقد به مرحوم نائینی</w:t>
      </w:r>
      <w:r>
        <w:rPr>
          <w:rFonts w:hint="cs"/>
          <w:rtl/>
        </w:rPr>
        <w:t xml:space="preserve"> فرمودند: هر چند که قرعه مختص به موارد علم اجمالی است ولی استصحاب </w:t>
      </w:r>
      <w:r w:rsidR="00F04395">
        <w:rPr>
          <w:rFonts w:hint="cs"/>
          <w:rtl/>
        </w:rPr>
        <w:t xml:space="preserve">و برائت </w:t>
      </w:r>
      <w:r>
        <w:rPr>
          <w:rFonts w:hint="cs"/>
          <w:rtl/>
        </w:rPr>
        <w:t>اختصاص به موارد شبهات بدویه ندارد و در موارد علم اجمال</w:t>
      </w:r>
      <w:r w:rsidR="008041C9">
        <w:rPr>
          <w:rFonts w:hint="cs"/>
          <w:rtl/>
        </w:rPr>
        <w:t>ی</w:t>
      </w:r>
      <w:r>
        <w:rPr>
          <w:rFonts w:hint="cs"/>
          <w:rtl/>
        </w:rPr>
        <w:t xml:space="preserve"> نیز جاری می شود به عنوان مثال در مورد علم </w:t>
      </w:r>
      <w:r>
        <w:rPr>
          <w:rFonts w:hint="cs"/>
          <w:rtl/>
        </w:rPr>
        <w:lastRenderedPageBreak/>
        <w:t>اجمالی به جنب بودن و یا قاتل بودن یک نفر از دو نفر هرچند علم اجمالی وجود دارد و مورد جریان قرعه است ولی استصحاب عدم نیز در دو طرف جاری می شود؛ البته در موردی که قاضی نسبت به موارد علم اجمالی حکم می کند، به جهت محرز بودن استصحاب</w:t>
      </w:r>
      <w:r w:rsidR="00736916">
        <w:rPr>
          <w:rFonts w:hint="cs"/>
          <w:rtl/>
        </w:rPr>
        <w:t>،</w:t>
      </w:r>
      <w:r>
        <w:rPr>
          <w:rFonts w:hint="cs"/>
          <w:rtl/>
        </w:rPr>
        <w:t xml:space="preserve"> نمی تواند نسبت به هر دو استصحاب جاری کند ولی برائت در هر دو طرف جاری می شود در حالیکه مرحوم نائینی در موارد علم اجمالی جریان برائت را نیز صحیح نمی داند</w:t>
      </w:r>
      <w:r w:rsidR="00412A20">
        <w:rPr>
          <w:rFonts w:hint="cs"/>
          <w:rtl/>
        </w:rPr>
        <w:t>.</w:t>
      </w:r>
      <w:r w:rsidR="00412A20">
        <w:rPr>
          <w:rStyle w:val="FootnoteReference"/>
          <w:rtl/>
        </w:rPr>
        <w:footnoteReference w:id="5"/>
      </w:r>
    </w:p>
    <w:p w:rsidR="000936F9" w:rsidRDefault="000936F9" w:rsidP="00736916">
      <w:pPr>
        <w:pBdr>
          <w:bottom w:val="double" w:sz="6" w:space="1" w:color="auto"/>
        </w:pBdr>
        <w:rPr>
          <w:rtl/>
        </w:rPr>
      </w:pPr>
      <w:r>
        <w:rPr>
          <w:rFonts w:hint="cs"/>
          <w:rtl/>
        </w:rPr>
        <w:t>مرحوم امام نیز اشکالی مانند این به مرحوم نائینی دارند و فرموده اند: در موردی که وکیلی، یک زن را</w:t>
      </w:r>
      <w:r w:rsidR="00F04395">
        <w:rPr>
          <w:rFonts w:hint="cs"/>
          <w:rtl/>
        </w:rPr>
        <w:t xml:space="preserve"> به عقد دو مرد در آورد، عقد </w:t>
      </w:r>
      <w:r>
        <w:rPr>
          <w:rFonts w:hint="cs"/>
          <w:rtl/>
        </w:rPr>
        <w:t>دوم باطل است، پس علم اجمالی به بطلان یکی از دو عقد داریم ولی اگر تاریخ یکی از دو عقد روشن باشد در مورد این عقد</w:t>
      </w:r>
      <w:r w:rsidR="00F04395">
        <w:rPr>
          <w:rFonts w:hint="cs"/>
          <w:rtl/>
        </w:rPr>
        <w:t xml:space="preserve"> معلوم التاریخ،</w:t>
      </w:r>
      <w:r>
        <w:rPr>
          <w:rFonts w:hint="cs"/>
          <w:rtl/>
        </w:rPr>
        <w:t xml:space="preserve"> استصحاب عدم تحقق عقد دیگر تا زمان </w:t>
      </w:r>
      <w:r w:rsidR="00F04395">
        <w:rPr>
          <w:rFonts w:hint="cs"/>
          <w:rtl/>
        </w:rPr>
        <w:t xml:space="preserve">تحقق عقد </w:t>
      </w:r>
      <w:r>
        <w:rPr>
          <w:rFonts w:hint="cs"/>
          <w:rtl/>
        </w:rPr>
        <w:t>معلوم جاری می شود و عقدی که تاریخش معلوم است با استصحاب تصحیح می شود. بنابر این در این مثال، در مورد علم اجمالی، استصحاب در یک طرف جاری است؛ در حالیکه طبق نظر مرحوم نائینی،  قرعه نیز موضوع دارد.</w:t>
      </w:r>
    </w:p>
    <w:p w:rsidR="00736916" w:rsidRDefault="00736916" w:rsidP="00736916">
      <w:pPr>
        <w:pBdr>
          <w:bottom w:val="double" w:sz="6" w:space="1" w:color="auto"/>
        </w:pBdr>
        <w:rPr>
          <w:rtl/>
        </w:rPr>
      </w:pPr>
      <w:r>
        <w:rPr>
          <w:rFonts w:hint="cs"/>
          <w:rtl/>
        </w:rPr>
        <w:t>البته این مساله مبتنی بر عدم جریان استصحاب در معلوم ال</w:t>
      </w:r>
      <w:r w:rsidR="008041C9">
        <w:rPr>
          <w:rFonts w:hint="cs"/>
          <w:rtl/>
        </w:rPr>
        <w:t xml:space="preserve">تاریخ است که مرحوم نائینی </w:t>
      </w:r>
      <w:r>
        <w:rPr>
          <w:rFonts w:hint="cs"/>
          <w:rtl/>
        </w:rPr>
        <w:t>به آن قائل نیستند ولی در صورت پذیرش این مبنا نقض مذکور بر این وجه وارد است.</w:t>
      </w:r>
    </w:p>
    <w:p w:rsidR="00247D2F" w:rsidRPr="003A6148" w:rsidRDefault="00247D2F" w:rsidP="003A6148">
      <w:pPr>
        <w:pBdr>
          <w:bottom w:val="double" w:sz="6" w:space="1" w:color="auto"/>
        </w:pBdr>
      </w:pPr>
    </w:p>
    <w:p w:rsidR="008F5B4D" w:rsidRDefault="008F5B4D" w:rsidP="003A6148"/>
    <w:p w:rsidR="003E6650" w:rsidRPr="001A27D7" w:rsidRDefault="000936F9" w:rsidP="000936F9">
      <w:pPr>
        <w:pStyle w:val="Heading1"/>
        <w:rPr>
          <w:rtl/>
        </w:rPr>
      </w:pPr>
      <w:bookmarkStart w:id="4" w:name="_Toc534048793"/>
      <w:r>
        <w:rPr>
          <w:rFonts w:hint="cs"/>
          <w:rtl/>
        </w:rPr>
        <w:t xml:space="preserve">بیان استاد در رفع مانعیت قرعه با استصحاب و احتیاط </w:t>
      </w:r>
      <w:r w:rsidR="00E52D07">
        <w:rPr>
          <w:rFonts w:hint="cs"/>
          <w:rtl/>
        </w:rPr>
        <w:t xml:space="preserve"> </w:t>
      </w:r>
      <w:r w:rsidR="00A175FD">
        <w:rPr>
          <w:rFonts w:hint="cs"/>
          <w:rtl/>
        </w:rPr>
        <w:t>به جهت اختصاص قرعه به موارد علم اجمالی</w:t>
      </w:r>
      <w:bookmarkEnd w:id="4"/>
    </w:p>
    <w:p w:rsidR="00A175FD" w:rsidRDefault="00A175FD" w:rsidP="00A175FD">
      <w:pPr>
        <w:pStyle w:val="Heading2"/>
        <w:rPr>
          <w:rtl/>
        </w:rPr>
      </w:pPr>
      <w:bookmarkStart w:id="5" w:name="_Toc534048794"/>
      <w:r>
        <w:rPr>
          <w:rFonts w:hint="cs"/>
          <w:rtl/>
        </w:rPr>
        <w:t>وجه اختصاص قرعه به موارد علم اجمالی</w:t>
      </w:r>
      <w:bookmarkEnd w:id="5"/>
    </w:p>
    <w:p w:rsidR="001A1EA5" w:rsidRDefault="00B15AD2" w:rsidP="006162A2">
      <w:pPr>
        <w:rPr>
          <w:rtl/>
        </w:rPr>
      </w:pPr>
      <w:r>
        <w:rPr>
          <w:rFonts w:hint="cs"/>
          <w:rtl/>
        </w:rPr>
        <w:t>دلیل قرعه اختصاص به موارد علم اجمالی دارد به دو بیان:</w:t>
      </w:r>
    </w:p>
    <w:p w:rsidR="00B15AD2" w:rsidRDefault="00B15AD2" w:rsidP="00B15AD2">
      <w:pPr>
        <w:pStyle w:val="ListParagraph"/>
        <w:numPr>
          <w:ilvl w:val="0"/>
          <w:numId w:val="16"/>
        </w:numPr>
      </w:pPr>
      <w:r>
        <w:rPr>
          <w:rFonts w:hint="cs"/>
          <w:rtl/>
        </w:rPr>
        <w:t>عنوان مجهول که موضوع قرعه است به معنای موردی است که واقع معینی</w:t>
      </w:r>
      <w:r w:rsidR="00736916">
        <w:rPr>
          <w:rFonts w:hint="cs"/>
          <w:rtl/>
        </w:rPr>
        <w:t>،</w:t>
      </w:r>
      <w:r>
        <w:rPr>
          <w:rFonts w:hint="cs"/>
          <w:rtl/>
        </w:rPr>
        <w:t xml:space="preserve"> مشتبه شده است همانند عنوان مجهول، در مجهول المالک که به معنای مالک معینی است که مشتبه شده است.</w:t>
      </w:r>
    </w:p>
    <w:p w:rsidR="00B15AD2" w:rsidRDefault="00736916" w:rsidP="00B15AD2">
      <w:pPr>
        <w:pStyle w:val="ListParagraph"/>
        <w:numPr>
          <w:ilvl w:val="0"/>
          <w:numId w:val="16"/>
        </w:numPr>
      </w:pPr>
      <w:r>
        <w:rPr>
          <w:rFonts w:hint="cs"/>
          <w:rtl/>
        </w:rPr>
        <w:t xml:space="preserve">ادله قرعه اطلاق دارند ولی </w:t>
      </w:r>
      <w:r w:rsidR="00B15AD2">
        <w:rPr>
          <w:rFonts w:hint="cs"/>
          <w:rtl/>
        </w:rPr>
        <w:t>قدر متیقن از ادله قرعه، هرچند با ملاحظه تطبیق آن در برخی روایات، موارد علم اجمالی است</w:t>
      </w:r>
      <w:r>
        <w:rPr>
          <w:rFonts w:hint="cs"/>
          <w:rtl/>
        </w:rPr>
        <w:t>.</w:t>
      </w:r>
    </w:p>
    <w:p w:rsidR="00A175FD" w:rsidRDefault="00A175FD" w:rsidP="00A175FD">
      <w:pPr>
        <w:pStyle w:val="Heading2"/>
        <w:rPr>
          <w:rtl/>
        </w:rPr>
      </w:pPr>
      <w:bookmarkStart w:id="6" w:name="_Toc534048795"/>
      <w:r>
        <w:rPr>
          <w:rFonts w:hint="cs"/>
          <w:rtl/>
        </w:rPr>
        <w:lastRenderedPageBreak/>
        <w:t>نسبت قرعه و استصحاب</w:t>
      </w:r>
      <w:bookmarkEnd w:id="6"/>
    </w:p>
    <w:p w:rsidR="00B15AD2" w:rsidRDefault="00B15AD2" w:rsidP="0001652A">
      <w:pPr>
        <w:rPr>
          <w:rtl/>
        </w:rPr>
      </w:pPr>
      <w:r>
        <w:rPr>
          <w:rFonts w:hint="cs"/>
          <w:rtl/>
        </w:rPr>
        <w:t xml:space="preserve">با توجه به اختصاص قرعه به فرض علم اجمالی، ادله استصحاب هر چند به سبب اطلاقی که دارند، </w:t>
      </w:r>
      <w:r w:rsidR="00736916">
        <w:rPr>
          <w:rFonts w:hint="cs"/>
          <w:rtl/>
        </w:rPr>
        <w:t xml:space="preserve">علاوه بر شبهات بدویه، </w:t>
      </w:r>
      <w:r>
        <w:rPr>
          <w:rFonts w:hint="cs"/>
          <w:rtl/>
        </w:rPr>
        <w:t xml:space="preserve">برخی از موارد علم اجمالی را نیز در بر می گیرند؛ ولی در غیر از موارد </w:t>
      </w:r>
      <w:r w:rsidR="00736916">
        <w:rPr>
          <w:rFonts w:hint="cs"/>
          <w:rtl/>
        </w:rPr>
        <w:t>اجتماع، در موارد علم اجمالی</w:t>
      </w:r>
      <w:r w:rsidR="008041C9">
        <w:rPr>
          <w:rFonts w:hint="cs"/>
          <w:rtl/>
        </w:rPr>
        <w:t xml:space="preserve"> </w:t>
      </w:r>
      <w:r>
        <w:rPr>
          <w:rFonts w:hint="cs"/>
          <w:rtl/>
        </w:rPr>
        <w:t xml:space="preserve">مانعی در اخذ به قرعه، از جهت استصحاب، وجود ندارد. </w:t>
      </w:r>
      <w:r w:rsidR="00736916">
        <w:rPr>
          <w:rFonts w:hint="cs"/>
          <w:rtl/>
        </w:rPr>
        <w:t xml:space="preserve">بنابر این </w:t>
      </w:r>
      <w:r>
        <w:rPr>
          <w:rFonts w:hint="cs"/>
          <w:rtl/>
        </w:rPr>
        <w:t xml:space="preserve">هر </w:t>
      </w:r>
      <w:r w:rsidR="00A175FD">
        <w:rPr>
          <w:rFonts w:hint="cs"/>
          <w:rtl/>
        </w:rPr>
        <w:t>چند در مورد اجتماع</w:t>
      </w:r>
      <w:r>
        <w:rPr>
          <w:rFonts w:hint="cs"/>
          <w:rtl/>
        </w:rPr>
        <w:t xml:space="preserve"> استصحاب و علم اجمالی</w:t>
      </w:r>
      <w:r w:rsidR="00A175FD">
        <w:rPr>
          <w:rFonts w:hint="cs"/>
          <w:rtl/>
        </w:rPr>
        <w:t>،</w:t>
      </w:r>
      <w:r>
        <w:rPr>
          <w:rFonts w:hint="cs"/>
          <w:rtl/>
        </w:rPr>
        <w:t xml:space="preserve"> بین قرعه و استصحاب تعارض شکل می گیرد و</w:t>
      </w:r>
      <w:r w:rsidR="00736916">
        <w:rPr>
          <w:rFonts w:hint="cs"/>
          <w:rtl/>
        </w:rPr>
        <w:t xml:space="preserve"> </w:t>
      </w:r>
      <w:r>
        <w:rPr>
          <w:rFonts w:hint="cs"/>
          <w:rtl/>
        </w:rPr>
        <w:t xml:space="preserve">لذا در مواردی که محقق عراقی و مرحوم امام مطرح فرمودند </w:t>
      </w:r>
      <w:r w:rsidR="00736916">
        <w:rPr>
          <w:rFonts w:hint="cs"/>
          <w:rtl/>
        </w:rPr>
        <w:t>تعارض محکم می شود؛ ولی قرعه در موارد مختص بدون معارض</w:t>
      </w:r>
      <w:r w:rsidR="0001652A">
        <w:rPr>
          <w:rFonts w:hint="cs"/>
          <w:rtl/>
        </w:rPr>
        <w:t>،</w:t>
      </w:r>
      <w:r w:rsidR="00736916">
        <w:rPr>
          <w:rFonts w:hint="cs"/>
          <w:rtl/>
        </w:rPr>
        <w:t xml:space="preserve"> جریان دارد</w:t>
      </w:r>
      <w:r w:rsidR="009E1B9B">
        <w:t>.</w:t>
      </w:r>
      <w:r w:rsidR="009E1B9B">
        <w:rPr>
          <w:rStyle w:val="FootnoteReference"/>
        </w:rPr>
        <w:footnoteReference w:id="6"/>
      </w:r>
    </w:p>
    <w:p w:rsidR="00A175FD" w:rsidRDefault="00A175FD" w:rsidP="002676EE">
      <w:pPr>
        <w:pStyle w:val="Heading2"/>
        <w:rPr>
          <w:rtl/>
        </w:rPr>
      </w:pPr>
      <w:bookmarkStart w:id="7" w:name="_Toc534048796"/>
      <w:r>
        <w:rPr>
          <w:rFonts w:hint="cs"/>
          <w:rtl/>
        </w:rPr>
        <w:t>نسبت قرعه و اصل احتیاط</w:t>
      </w:r>
      <w:bookmarkEnd w:id="7"/>
    </w:p>
    <w:p w:rsidR="00A175FD" w:rsidRDefault="00A175FD" w:rsidP="00A175FD">
      <w:pPr>
        <w:rPr>
          <w:rtl/>
        </w:rPr>
      </w:pPr>
      <w:r>
        <w:rPr>
          <w:rFonts w:hint="cs"/>
          <w:rtl/>
        </w:rPr>
        <w:t>مشکل اصلی محقق نائینی در تمسک به عموم ادله قرعه در موارد علم اجمالی، تعارض آن با اصل احتیاط بود درحالی که این تعارض قابل رفع است.</w:t>
      </w:r>
    </w:p>
    <w:p w:rsidR="00A175FD" w:rsidRDefault="00A175FD" w:rsidP="00A175FD">
      <w:pPr>
        <w:rPr>
          <w:rtl/>
        </w:rPr>
      </w:pPr>
      <w:r>
        <w:rPr>
          <w:rFonts w:hint="cs"/>
          <w:rtl/>
        </w:rPr>
        <w:t xml:space="preserve">احتیاط در موارد علم اجمالی </w:t>
      </w:r>
      <w:r w:rsidR="002676EE">
        <w:rPr>
          <w:rFonts w:hint="cs"/>
          <w:rtl/>
        </w:rPr>
        <w:t xml:space="preserve">بر </w:t>
      </w:r>
      <w:r>
        <w:rPr>
          <w:rFonts w:hint="cs"/>
          <w:rtl/>
        </w:rPr>
        <w:t>دو قسم است:</w:t>
      </w:r>
    </w:p>
    <w:p w:rsidR="00602629" w:rsidRDefault="00A175FD" w:rsidP="00602629">
      <w:pPr>
        <w:pStyle w:val="ListParagraph"/>
        <w:numPr>
          <w:ilvl w:val="0"/>
          <w:numId w:val="17"/>
        </w:numPr>
        <w:rPr>
          <w:rtl/>
        </w:rPr>
      </w:pPr>
      <w:r>
        <w:rPr>
          <w:rFonts w:hint="cs"/>
          <w:rtl/>
        </w:rPr>
        <w:t xml:space="preserve">احتیاط عقلی: </w:t>
      </w:r>
      <w:r w:rsidR="00602629">
        <w:rPr>
          <w:rFonts w:hint="cs"/>
          <w:rtl/>
        </w:rPr>
        <w:t>مفاد احتیاط عقلی همان مفاد ادله احکام اولی است که معلوم بالتفصیل و معلوم بالاجمال را در بر می گیرد.</w:t>
      </w:r>
    </w:p>
    <w:p w:rsidR="00A175FD" w:rsidRDefault="00A175FD" w:rsidP="00602629">
      <w:pPr>
        <w:rPr>
          <w:rtl/>
        </w:rPr>
      </w:pPr>
      <w:r>
        <w:rPr>
          <w:rFonts w:hint="cs"/>
          <w:rtl/>
        </w:rPr>
        <w:t xml:space="preserve">با وجود دلیل قرعه </w:t>
      </w:r>
      <w:r w:rsidR="00602629">
        <w:rPr>
          <w:rFonts w:hint="cs"/>
          <w:rtl/>
        </w:rPr>
        <w:t>و اخصیت آن نسبت به</w:t>
      </w:r>
      <w:r>
        <w:rPr>
          <w:rFonts w:hint="cs"/>
          <w:rtl/>
        </w:rPr>
        <w:t xml:space="preserve"> ادله احکام و تکالیف اولیه</w:t>
      </w:r>
      <w:r w:rsidR="00602629">
        <w:rPr>
          <w:rFonts w:hint="cs"/>
          <w:rtl/>
        </w:rPr>
        <w:t xml:space="preserve"> به جهت اختصاص به موارد علم اجمالی</w:t>
      </w:r>
      <w:r w:rsidR="00002FCC">
        <w:rPr>
          <w:rFonts w:hint="cs"/>
          <w:rtl/>
        </w:rPr>
        <w:t xml:space="preserve"> یا حکومت بر ادله احکام اولیه در موارد علم اجمالی</w:t>
      </w:r>
      <w:r w:rsidR="00602629">
        <w:rPr>
          <w:rFonts w:hint="cs"/>
          <w:rtl/>
        </w:rPr>
        <w:t>،</w:t>
      </w:r>
      <w:r>
        <w:rPr>
          <w:rFonts w:hint="cs"/>
          <w:rtl/>
        </w:rPr>
        <w:t xml:space="preserve"> </w:t>
      </w:r>
      <w:r w:rsidR="002676EE">
        <w:rPr>
          <w:rFonts w:hint="cs"/>
          <w:rtl/>
        </w:rPr>
        <w:t>احتیاط عقلی که مستفاد از ادله تکالیف اولیه می باشد،</w:t>
      </w:r>
      <w:r w:rsidR="00602629">
        <w:rPr>
          <w:rFonts w:hint="cs"/>
          <w:rtl/>
        </w:rPr>
        <w:t xml:space="preserve"> </w:t>
      </w:r>
      <w:r>
        <w:rPr>
          <w:rFonts w:hint="cs"/>
          <w:rtl/>
        </w:rPr>
        <w:t xml:space="preserve">مرتفع می شود؛ زیرا احتیاط در موارد علم اجمالی </w:t>
      </w:r>
      <w:r w:rsidR="00602629">
        <w:rPr>
          <w:rFonts w:hint="cs"/>
          <w:rtl/>
        </w:rPr>
        <w:t>همانطور که مرحوم شیخ فرموده اند</w:t>
      </w:r>
      <w:r w:rsidR="00CF6BB8">
        <w:rPr>
          <w:rStyle w:val="FootnoteReference"/>
          <w:rtl/>
        </w:rPr>
        <w:footnoteReference w:id="7"/>
      </w:r>
      <w:r>
        <w:rPr>
          <w:rFonts w:hint="cs"/>
          <w:rtl/>
        </w:rPr>
        <w:t xml:space="preserve"> صرفا مقتضی دارد و با وجود دلیل قرعه که حجت در یک طرف است، احتیاط لازم نخواهد بود.</w:t>
      </w:r>
    </w:p>
    <w:p w:rsidR="00A175FD" w:rsidRDefault="00A175FD" w:rsidP="00002FCC">
      <w:pPr>
        <w:pStyle w:val="ListParagraph"/>
        <w:numPr>
          <w:ilvl w:val="0"/>
          <w:numId w:val="17"/>
        </w:numPr>
        <w:rPr>
          <w:rtl/>
        </w:rPr>
      </w:pPr>
      <w:r>
        <w:rPr>
          <w:rFonts w:hint="cs"/>
          <w:rtl/>
        </w:rPr>
        <w:t xml:space="preserve">احتیاط شرعی: دلیل بر احتیاط شرعی </w:t>
      </w:r>
      <w:r w:rsidR="00602629">
        <w:rPr>
          <w:rFonts w:hint="cs"/>
          <w:rtl/>
        </w:rPr>
        <w:t xml:space="preserve">در موارد علم اجمالی، </w:t>
      </w:r>
      <w:r w:rsidR="00002FCC">
        <w:rPr>
          <w:rFonts w:hint="cs"/>
          <w:rtl/>
        </w:rPr>
        <w:t>اطلاقی ندارد و عمومات ادله احتیاط علاوه بر ضعف سند دلالت بر استحباب دارن</w:t>
      </w:r>
      <w:r>
        <w:rPr>
          <w:rFonts w:hint="cs"/>
          <w:rtl/>
        </w:rPr>
        <w:t>د</w:t>
      </w:r>
      <w:r w:rsidR="00002FCC">
        <w:rPr>
          <w:rFonts w:hint="cs"/>
          <w:rtl/>
        </w:rPr>
        <w:t xml:space="preserve"> </w:t>
      </w:r>
      <w:r>
        <w:rPr>
          <w:rFonts w:hint="cs"/>
          <w:rtl/>
        </w:rPr>
        <w:t>و</w:t>
      </w:r>
      <w:r w:rsidR="00002FCC">
        <w:rPr>
          <w:rFonts w:hint="cs"/>
          <w:rtl/>
        </w:rPr>
        <w:t xml:space="preserve"> آنچه عمدتا دلیل</w:t>
      </w:r>
      <w:r w:rsidR="00E259A1">
        <w:rPr>
          <w:rFonts w:hint="cs"/>
          <w:rtl/>
        </w:rPr>
        <w:t xml:space="preserve"> </w:t>
      </w:r>
      <w:r w:rsidR="00002FCC">
        <w:rPr>
          <w:rFonts w:hint="cs"/>
          <w:rtl/>
        </w:rPr>
        <w:t xml:space="preserve">بر احتیاط </w:t>
      </w:r>
      <w:r w:rsidR="00E259A1">
        <w:rPr>
          <w:rFonts w:hint="cs"/>
          <w:rtl/>
        </w:rPr>
        <w:t xml:space="preserve">شرعی </w:t>
      </w:r>
      <w:r w:rsidR="00002FCC">
        <w:rPr>
          <w:rFonts w:hint="cs"/>
          <w:rtl/>
        </w:rPr>
        <w:t>است دو</w:t>
      </w:r>
      <w:r>
        <w:rPr>
          <w:rFonts w:hint="cs"/>
          <w:rtl/>
        </w:rPr>
        <w:t xml:space="preserve"> روایت است که یکی در مورد دو آب که مشتبه به نجاست شده</w:t>
      </w:r>
      <w:r w:rsidR="00E259A1">
        <w:rPr>
          <w:rStyle w:val="FootnoteReference"/>
          <w:rtl/>
        </w:rPr>
        <w:footnoteReference w:id="8"/>
      </w:r>
      <w:r>
        <w:rPr>
          <w:rFonts w:hint="cs"/>
          <w:rtl/>
        </w:rPr>
        <w:t xml:space="preserve"> و دیگری در مورد دو گوشت که مشتبه </w:t>
      </w:r>
      <w:r w:rsidR="009278C0">
        <w:rPr>
          <w:rFonts w:hint="cs"/>
          <w:rtl/>
        </w:rPr>
        <w:t>به میته شده است</w:t>
      </w:r>
      <w:r w:rsidR="00E032F7">
        <w:rPr>
          <w:rStyle w:val="FootnoteReference"/>
          <w:rtl/>
        </w:rPr>
        <w:footnoteReference w:id="9"/>
      </w:r>
      <w:r w:rsidR="009278C0">
        <w:rPr>
          <w:rFonts w:hint="cs"/>
          <w:rtl/>
        </w:rPr>
        <w:t>، می باشد.</w:t>
      </w:r>
    </w:p>
    <w:p w:rsidR="009278C0" w:rsidRDefault="002676EE" w:rsidP="009278C0">
      <w:pPr>
        <w:rPr>
          <w:rtl/>
        </w:rPr>
      </w:pPr>
      <w:r>
        <w:rPr>
          <w:rFonts w:hint="cs"/>
          <w:rtl/>
        </w:rPr>
        <w:lastRenderedPageBreak/>
        <w:t>با الغاء خصوصیت</w:t>
      </w:r>
      <w:r w:rsidR="009278C0">
        <w:rPr>
          <w:rFonts w:hint="cs"/>
          <w:rtl/>
        </w:rPr>
        <w:t xml:space="preserve"> از این دو روایت</w:t>
      </w:r>
      <w:r>
        <w:rPr>
          <w:rFonts w:hint="cs"/>
          <w:rtl/>
        </w:rPr>
        <w:t>،</w:t>
      </w:r>
      <w:r w:rsidR="009278C0">
        <w:rPr>
          <w:rFonts w:hint="cs"/>
          <w:rtl/>
        </w:rPr>
        <w:t xml:space="preserve"> به تمامی تکالیف</w:t>
      </w:r>
      <w:r>
        <w:rPr>
          <w:rFonts w:hint="cs"/>
          <w:rtl/>
        </w:rPr>
        <w:t xml:space="preserve"> معلوم بالاجمال</w:t>
      </w:r>
      <w:r w:rsidR="00602629">
        <w:rPr>
          <w:rFonts w:hint="cs"/>
          <w:rtl/>
        </w:rPr>
        <w:t>، تنها</w:t>
      </w:r>
      <w:r w:rsidR="009278C0">
        <w:rPr>
          <w:rFonts w:hint="cs"/>
          <w:rtl/>
        </w:rPr>
        <w:t xml:space="preserve"> در مواردی که اطراف علم اجمالی کم باشد، تعدی می شود؛ ولی اگر اطراف علم اجمالی زیاد باشد، دلیلی بر احتیاط شرعی وجود ندارد.</w:t>
      </w:r>
      <w:r w:rsidR="00B63D8A">
        <w:rPr>
          <w:rStyle w:val="FootnoteReference"/>
          <w:rtl/>
        </w:rPr>
        <w:footnoteReference w:id="10"/>
      </w:r>
    </w:p>
    <w:p w:rsidR="009278C0" w:rsidRDefault="009278C0" w:rsidP="009278C0">
      <w:pPr>
        <w:rPr>
          <w:rtl/>
        </w:rPr>
      </w:pPr>
      <w:r>
        <w:rPr>
          <w:rFonts w:hint="cs"/>
          <w:rtl/>
        </w:rPr>
        <w:t>بنابر این عموم ادله قرعه به موارد علم اجمالی به تکلیف</w:t>
      </w:r>
      <w:r w:rsidR="00A74FBB">
        <w:rPr>
          <w:rFonts w:hint="cs"/>
          <w:rtl/>
        </w:rPr>
        <w:t>،</w:t>
      </w:r>
      <w:r>
        <w:rPr>
          <w:rFonts w:hint="cs"/>
          <w:rtl/>
        </w:rPr>
        <w:t xml:space="preserve"> در موردی که اطراف آن محدود به سه الی چهار طرف باشد، تخصیص می خورد</w:t>
      </w:r>
      <w:r w:rsidR="00736916">
        <w:rPr>
          <w:rFonts w:hint="cs"/>
          <w:rtl/>
        </w:rPr>
        <w:t>؛ زیرا دلیل شرعی احتیاط در مورد علم اجمالی است</w:t>
      </w:r>
      <w:r w:rsidR="00602629">
        <w:rPr>
          <w:rFonts w:hint="cs"/>
          <w:rtl/>
        </w:rPr>
        <w:t>؛</w:t>
      </w:r>
      <w:r w:rsidR="00736916">
        <w:rPr>
          <w:rFonts w:hint="cs"/>
          <w:rtl/>
        </w:rPr>
        <w:t xml:space="preserve"> </w:t>
      </w:r>
      <w:r>
        <w:rPr>
          <w:rFonts w:hint="cs"/>
          <w:rtl/>
        </w:rPr>
        <w:t>ولی در مواردی مانند غنم موطوئه که اطراف زیاد است، به عموم ادله قرعه تمسک می شود</w:t>
      </w:r>
      <w:r w:rsidR="00A74FBB">
        <w:rPr>
          <w:rFonts w:hint="cs"/>
          <w:rtl/>
        </w:rPr>
        <w:t>.</w:t>
      </w:r>
    </w:p>
    <w:p w:rsidR="00A74FBB" w:rsidRDefault="00A74FBB" w:rsidP="009278C0">
      <w:pPr>
        <w:rPr>
          <w:rtl/>
        </w:rPr>
      </w:pPr>
      <w:r>
        <w:rPr>
          <w:rFonts w:hint="cs"/>
          <w:rtl/>
        </w:rPr>
        <w:t>در حقیقت به عموم قرعه در</w:t>
      </w:r>
      <w:r w:rsidR="00602629">
        <w:rPr>
          <w:rFonts w:hint="cs"/>
          <w:rtl/>
        </w:rPr>
        <w:t xml:space="preserve">تمام </w:t>
      </w:r>
      <w:r>
        <w:rPr>
          <w:rFonts w:hint="cs"/>
          <w:rtl/>
        </w:rPr>
        <w:t>موارد علم اجمالی</w:t>
      </w:r>
      <w:r w:rsidR="00602629">
        <w:rPr>
          <w:rFonts w:hint="cs"/>
          <w:rtl/>
        </w:rPr>
        <w:t xml:space="preserve"> در شبهات موضوعیه،</w:t>
      </w:r>
      <w:r>
        <w:rPr>
          <w:rFonts w:hint="cs"/>
          <w:rtl/>
        </w:rPr>
        <w:t xml:space="preserve"> تمسک می شود</w:t>
      </w:r>
      <w:r w:rsidR="002676EE">
        <w:rPr>
          <w:rFonts w:hint="cs"/>
          <w:rtl/>
        </w:rPr>
        <w:t>؛</w:t>
      </w:r>
      <w:r>
        <w:rPr>
          <w:rFonts w:hint="cs"/>
          <w:rtl/>
        </w:rPr>
        <w:t xml:space="preserve"> مگر موردی که به جهت نص بر احتیاط از عموم قرعه خارج شده باشد و از آنجا که نص بر احتیاط با ملاحظه الغاء خصوصیت مورد، فقط در علم اجمالی با اطراف قلیل وجود دارد، در غیر آن از موارد علم اجمالی به عموم قرعه تمسک می شود.</w:t>
      </w:r>
    </w:p>
    <w:p w:rsidR="002676EE" w:rsidRDefault="002676EE" w:rsidP="00602629">
      <w:pPr>
        <w:rPr>
          <w:rtl/>
        </w:rPr>
      </w:pPr>
      <w:r>
        <w:rPr>
          <w:rFonts w:hint="cs"/>
          <w:rtl/>
        </w:rPr>
        <w:t>شاهد این بیان این است که تطبیقات قرعه در روایات، همگی مختص به موارد علم اجمالی با اطراف زیاد دارد. بله برخی از ادله قرعه به غرض انشاء واقع است نه برای تعیین واقع</w:t>
      </w:r>
      <w:r w:rsidR="00602629">
        <w:rPr>
          <w:rFonts w:hint="cs"/>
          <w:rtl/>
        </w:rPr>
        <w:t>،</w:t>
      </w:r>
      <w:r>
        <w:rPr>
          <w:rFonts w:hint="cs"/>
          <w:rtl/>
        </w:rPr>
        <w:t xml:space="preserve"> که در </w:t>
      </w:r>
      <w:r w:rsidR="00602629">
        <w:rPr>
          <w:rFonts w:hint="cs"/>
          <w:rtl/>
        </w:rPr>
        <w:t>این موارد،</w:t>
      </w:r>
      <w:r>
        <w:rPr>
          <w:rFonts w:hint="cs"/>
          <w:rtl/>
        </w:rPr>
        <w:t xml:space="preserve"> علم اجمالی نیز وجود ندارد و</w:t>
      </w:r>
      <w:r w:rsidR="000C2FE2">
        <w:rPr>
          <w:rFonts w:hint="cs"/>
          <w:rtl/>
        </w:rPr>
        <w:t xml:space="preserve"> از محل بحث خارج است.</w:t>
      </w:r>
      <w:r>
        <w:rPr>
          <w:rFonts w:hint="cs"/>
          <w:rtl/>
        </w:rPr>
        <w:t xml:space="preserve"> </w:t>
      </w:r>
    </w:p>
    <w:p w:rsidR="00A74FBB" w:rsidRPr="006162A2" w:rsidRDefault="00A74FBB" w:rsidP="009278C0">
      <w:pPr>
        <w:rPr>
          <w:rtl/>
        </w:rPr>
      </w:pPr>
      <w:r>
        <w:rPr>
          <w:rFonts w:hint="cs"/>
          <w:rtl/>
        </w:rPr>
        <w:t>این بیان هر چند از جهت صناعت اصولی صحیح است</w:t>
      </w:r>
      <w:r w:rsidR="00002FCC">
        <w:rPr>
          <w:rFonts w:hint="cs"/>
          <w:rtl/>
        </w:rPr>
        <w:t>؛</w:t>
      </w:r>
      <w:r>
        <w:rPr>
          <w:rFonts w:hint="cs"/>
          <w:rtl/>
        </w:rPr>
        <w:t xml:space="preserve"> ولی التزام به آن به جهت </w:t>
      </w:r>
      <w:r w:rsidR="00002FCC">
        <w:rPr>
          <w:rFonts w:hint="cs"/>
          <w:rtl/>
        </w:rPr>
        <w:t>مخالفت با فتوای اصحاب، مشکل است و اطمینان به مفاد استعمالی آن در هیچ موردی وجود ندارد.</w:t>
      </w:r>
    </w:p>
    <w:sectPr w:rsidR="00A74FBB"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BE2" w:rsidRDefault="00385BE2" w:rsidP="008B750B">
      <w:pPr>
        <w:spacing w:line="240" w:lineRule="auto"/>
      </w:pPr>
      <w:r>
        <w:separator/>
      </w:r>
    </w:p>
  </w:endnote>
  <w:endnote w:type="continuationSeparator" w:id="0">
    <w:p w:rsidR="00385BE2" w:rsidRDefault="00385BE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13445" w:rsidRPr="00A1344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E2C77" w:rsidP="001B6799">
          <w:pPr>
            <w:pStyle w:val="Footer"/>
            <w:bidi w:val="0"/>
            <w:rPr>
              <w:color w:val="808080" w:themeColor="background1" w:themeShade="80"/>
              <w:rtl/>
            </w:rPr>
          </w:pPr>
          <w:bookmarkStart w:id="15" w:name="BokAdres"/>
          <w:bookmarkEnd w:id="15"/>
          <w:r>
            <w:rPr>
              <w:color w:val="808080" w:themeColor="background1" w:themeShade="80"/>
            </w:rPr>
            <w:t>U1mq1_13971010-055_hs2_mfeb.ir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BE2" w:rsidRDefault="00385BE2" w:rsidP="008B750B">
      <w:pPr>
        <w:spacing w:line="240" w:lineRule="auto"/>
      </w:pPr>
      <w:r>
        <w:separator/>
      </w:r>
    </w:p>
  </w:footnote>
  <w:footnote w:type="continuationSeparator" w:id="0">
    <w:p w:rsidR="00385BE2" w:rsidRDefault="00385BE2" w:rsidP="008B750B">
      <w:pPr>
        <w:spacing w:line="240" w:lineRule="auto"/>
      </w:pPr>
      <w:r>
        <w:continuationSeparator/>
      </w:r>
    </w:p>
  </w:footnote>
  <w:footnote w:id="1">
    <w:p w:rsidR="00412A20" w:rsidRDefault="00412A20">
      <w:pPr>
        <w:pStyle w:val="FootnoteText"/>
      </w:pPr>
      <w:r>
        <w:rPr>
          <w:rStyle w:val="FootnoteReference"/>
        </w:rPr>
        <w:footnoteRef/>
      </w:r>
      <w:r>
        <w:rPr>
          <w:rtl/>
        </w:rPr>
        <w:t xml:space="preserve"> </w:t>
      </w:r>
      <w:r w:rsidRPr="00092776">
        <w:rPr>
          <w:rtl/>
        </w:rPr>
        <w:t xml:space="preserve"> </w:t>
      </w:r>
      <w:hyperlink r:id="rId1" w:history="1">
        <w:r w:rsidRPr="00092776">
          <w:rPr>
            <w:rStyle w:val="Hyperlink"/>
            <w:rtl/>
          </w:rPr>
          <w:t>کفا</w:t>
        </w:r>
        <w:r w:rsidRPr="00092776">
          <w:rPr>
            <w:rStyle w:val="Hyperlink"/>
            <w:rFonts w:hint="cs"/>
            <w:rtl/>
          </w:rPr>
          <w:t>ی</w:t>
        </w:r>
        <w:r w:rsidRPr="00092776">
          <w:rPr>
            <w:rStyle w:val="Hyperlink"/>
            <w:rFonts w:hint="eastAsia"/>
            <w:rtl/>
          </w:rPr>
          <w:t>ه</w:t>
        </w:r>
        <w:r w:rsidRPr="00092776">
          <w:rPr>
            <w:rStyle w:val="Hyperlink"/>
            <w:rtl/>
          </w:rPr>
          <w:t xml:space="preserve"> الاصول، آخوند خراسان</w:t>
        </w:r>
        <w:r w:rsidRPr="00092776">
          <w:rPr>
            <w:rStyle w:val="Hyperlink"/>
            <w:rFonts w:hint="cs"/>
            <w:rtl/>
          </w:rPr>
          <w:t>ی</w:t>
        </w:r>
        <w:r w:rsidRPr="00092776">
          <w:rPr>
            <w:rStyle w:val="Hyperlink"/>
            <w:rFonts w:hint="eastAsia"/>
            <w:rtl/>
          </w:rPr>
          <w:t>،</w:t>
        </w:r>
        <w:r w:rsidRPr="00092776">
          <w:rPr>
            <w:rStyle w:val="Hyperlink"/>
            <w:rtl/>
          </w:rPr>
          <w:t xml:space="preserve"> ج، ص437.</w:t>
        </w:r>
      </w:hyperlink>
    </w:p>
  </w:footnote>
  <w:footnote w:id="2">
    <w:p w:rsidR="00412A20" w:rsidRDefault="00412A20">
      <w:pPr>
        <w:pStyle w:val="FootnoteText"/>
      </w:pPr>
      <w:r>
        <w:rPr>
          <w:rStyle w:val="FootnoteReference"/>
        </w:rPr>
        <w:footnoteRef/>
      </w:r>
      <w:r>
        <w:rPr>
          <w:rtl/>
        </w:rPr>
        <w:t xml:space="preserve"> </w:t>
      </w:r>
      <w:r w:rsidRPr="00ED229A">
        <w:rPr>
          <w:rtl/>
        </w:rPr>
        <w:t xml:space="preserve"> </w:t>
      </w:r>
      <w:hyperlink r:id="rId2" w:history="1">
        <w:r w:rsidRPr="00ED229A">
          <w:rPr>
            <w:rStyle w:val="Hyperlink"/>
            <w:rFonts w:hint="eastAsia"/>
            <w:rtl/>
          </w:rPr>
          <w:t>مصباح</w:t>
        </w:r>
        <w:r w:rsidRPr="00ED229A">
          <w:rPr>
            <w:rStyle w:val="Hyperlink"/>
            <w:rtl/>
          </w:rPr>
          <w:t xml:space="preserve"> الاصول، الس</w:t>
        </w:r>
        <w:r w:rsidRPr="00ED229A">
          <w:rPr>
            <w:rStyle w:val="Hyperlink"/>
            <w:rFonts w:hint="cs"/>
            <w:rtl/>
          </w:rPr>
          <w:t>ی</w:t>
        </w:r>
        <w:r w:rsidRPr="00ED229A">
          <w:rPr>
            <w:rStyle w:val="Hyperlink"/>
            <w:rFonts w:hint="eastAsia"/>
            <w:rtl/>
          </w:rPr>
          <w:t>د</w:t>
        </w:r>
        <w:r w:rsidRPr="00ED229A">
          <w:rPr>
            <w:rStyle w:val="Hyperlink"/>
            <w:rtl/>
          </w:rPr>
          <w:t xml:space="preserve"> أبوالقاسم الخوئ</w:t>
        </w:r>
        <w:r w:rsidRPr="00ED229A">
          <w:rPr>
            <w:rStyle w:val="Hyperlink"/>
            <w:rFonts w:hint="cs"/>
            <w:rtl/>
          </w:rPr>
          <w:t>ی</w:t>
        </w:r>
        <w:r w:rsidRPr="00ED229A">
          <w:rPr>
            <w:rStyle w:val="Hyperlink"/>
            <w:rFonts w:hint="eastAsia"/>
            <w:rtl/>
          </w:rPr>
          <w:t>،</w:t>
        </w:r>
        <w:r w:rsidRPr="00ED229A">
          <w:rPr>
            <w:rStyle w:val="Hyperlink"/>
            <w:rtl/>
          </w:rPr>
          <w:t xml:space="preserve"> ج2، ص341.</w:t>
        </w:r>
      </w:hyperlink>
    </w:p>
  </w:footnote>
  <w:footnote w:id="3">
    <w:p w:rsidR="00412A20" w:rsidRDefault="00412A20">
      <w:pPr>
        <w:pStyle w:val="FootnoteText"/>
      </w:pPr>
      <w:r>
        <w:rPr>
          <w:rStyle w:val="FootnoteReference"/>
        </w:rPr>
        <w:footnoteRef/>
      </w:r>
      <w:r>
        <w:rPr>
          <w:rtl/>
        </w:rPr>
        <w:t xml:space="preserve"> </w:t>
      </w:r>
      <w:hyperlink r:id="rId3" w:history="1">
        <w:r w:rsidRPr="00ED229A">
          <w:rPr>
            <w:rStyle w:val="Hyperlink"/>
            <w:rtl/>
          </w:rPr>
          <w:t>الرسائل، الس</w:t>
        </w:r>
        <w:r w:rsidRPr="00ED229A">
          <w:rPr>
            <w:rStyle w:val="Hyperlink"/>
            <w:rFonts w:hint="cs"/>
            <w:rtl/>
          </w:rPr>
          <w:t>ی</w:t>
        </w:r>
        <w:r w:rsidRPr="00ED229A">
          <w:rPr>
            <w:rStyle w:val="Hyperlink"/>
            <w:rFonts w:hint="eastAsia"/>
            <w:rtl/>
          </w:rPr>
          <w:t>د</w:t>
        </w:r>
        <w:r w:rsidRPr="00ED229A">
          <w:rPr>
            <w:rStyle w:val="Hyperlink"/>
            <w:rtl/>
          </w:rPr>
          <w:t xml:space="preserve"> روح الله الموسو</w:t>
        </w:r>
        <w:r w:rsidRPr="00ED229A">
          <w:rPr>
            <w:rStyle w:val="Hyperlink"/>
            <w:rFonts w:hint="cs"/>
            <w:rtl/>
          </w:rPr>
          <w:t>ی</w:t>
        </w:r>
        <w:r w:rsidRPr="00ED229A">
          <w:rPr>
            <w:rStyle w:val="Hyperlink"/>
            <w:rtl/>
          </w:rPr>
          <w:t xml:space="preserve"> الخم</w:t>
        </w:r>
        <w:r w:rsidRPr="00ED229A">
          <w:rPr>
            <w:rStyle w:val="Hyperlink"/>
            <w:rFonts w:hint="cs"/>
            <w:rtl/>
          </w:rPr>
          <w:t>ی</w:t>
        </w:r>
        <w:r w:rsidRPr="00ED229A">
          <w:rPr>
            <w:rStyle w:val="Hyperlink"/>
            <w:rFonts w:hint="eastAsia"/>
            <w:rtl/>
          </w:rPr>
          <w:t>ن</w:t>
        </w:r>
        <w:r w:rsidRPr="00ED229A">
          <w:rPr>
            <w:rStyle w:val="Hyperlink"/>
            <w:rFonts w:hint="cs"/>
            <w:rtl/>
          </w:rPr>
          <w:t>ی</w:t>
        </w:r>
        <w:r w:rsidRPr="00ED229A">
          <w:rPr>
            <w:rStyle w:val="Hyperlink"/>
            <w:rFonts w:hint="eastAsia"/>
            <w:rtl/>
          </w:rPr>
          <w:t>،</w:t>
        </w:r>
        <w:r w:rsidRPr="00ED229A">
          <w:rPr>
            <w:rStyle w:val="Hyperlink"/>
            <w:rtl/>
          </w:rPr>
          <w:t xml:space="preserve"> ج1، ص346.</w:t>
        </w:r>
      </w:hyperlink>
    </w:p>
  </w:footnote>
  <w:footnote w:id="4">
    <w:p w:rsidR="00412A20" w:rsidRDefault="00412A20">
      <w:pPr>
        <w:pStyle w:val="FootnoteText"/>
      </w:pPr>
      <w:r>
        <w:rPr>
          <w:rStyle w:val="FootnoteReference"/>
        </w:rPr>
        <w:footnoteRef/>
      </w:r>
      <w:r>
        <w:rPr>
          <w:rtl/>
        </w:rPr>
        <w:t xml:space="preserve"> </w:t>
      </w:r>
      <w:r w:rsidRPr="004A570D">
        <w:rPr>
          <w:rtl/>
        </w:rPr>
        <w:t xml:space="preserve"> </w:t>
      </w:r>
      <w:hyperlink r:id="rId4" w:history="1">
        <w:r w:rsidRPr="004A570D">
          <w:rPr>
            <w:rStyle w:val="Hyperlink"/>
            <w:rtl/>
          </w:rPr>
          <w:t>فوائد الاصول، محقق نا</w:t>
        </w:r>
        <w:r w:rsidRPr="004A570D">
          <w:rPr>
            <w:rStyle w:val="Hyperlink"/>
            <w:rFonts w:hint="cs"/>
            <w:rtl/>
          </w:rPr>
          <w:t>یی</w:t>
        </w:r>
        <w:r w:rsidRPr="004A570D">
          <w:rPr>
            <w:rStyle w:val="Hyperlink"/>
            <w:rFonts w:hint="eastAsia"/>
            <w:rtl/>
          </w:rPr>
          <w:t>ن</w:t>
        </w:r>
        <w:r w:rsidRPr="004A570D">
          <w:rPr>
            <w:rStyle w:val="Hyperlink"/>
            <w:rFonts w:hint="cs"/>
            <w:rtl/>
          </w:rPr>
          <w:t>ی</w:t>
        </w:r>
        <w:r w:rsidRPr="004A570D">
          <w:rPr>
            <w:rStyle w:val="Hyperlink"/>
            <w:rFonts w:hint="eastAsia"/>
            <w:rtl/>
          </w:rPr>
          <w:t>،</w:t>
        </w:r>
        <w:r w:rsidRPr="004A570D">
          <w:rPr>
            <w:rStyle w:val="Hyperlink"/>
            <w:rtl/>
          </w:rPr>
          <w:t xml:space="preserve"> ج4، ص687.</w:t>
        </w:r>
      </w:hyperlink>
    </w:p>
  </w:footnote>
  <w:footnote w:id="5">
    <w:p w:rsidR="00412A20" w:rsidRDefault="00412A20">
      <w:pPr>
        <w:pStyle w:val="FootnoteText"/>
      </w:pPr>
      <w:r>
        <w:rPr>
          <w:rStyle w:val="FootnoteReference"/>
        </w:rPr>
        <w:footnoteRef/>
      </w:r>
      <w:r>
        <w:rPr>
          <w:rtl/>
        </w:rPr>
        <w:t xml:space="preserve"> </w:t>
      </w:r>
      <w:r w:rsidRPr="004A570D">
        <w:rPr>
          <w:rtl/>
        </w:rPr>
        <w:t xml:space="preserve"> </w:t>
      </w:r>
      <w:hyperlink r:id="rId5" w:history="1">
        <w:r w:rsidRPr="004A570D">
          <w:rPr>
            <w:rStyle w:val="Hyperlink"/>
            <w:rtl/>
          </w:rPr>
          <w:t>فوائد الاصول، محقق نا</w:t>
        </w:r>
        <w:r w:rsidRPr="004A570D">
          <w:rPr>
            <w:rStyle w:val="Hyperlink"/>
            <w:rFonts w:hint="cs"/>
            <w:rtl/>
          </w:rPr>
          <w:t>یی</w:t>
        </w:r>
        <w:r w:rsidRPr="004A570D">
          <w:rPr>
            <w:rStyle w:val="Hyperlink"/>
            <w:rFonts w:hint="eastAsia"/>
            <w:rtl/>
          </w:rPr>
          <w:t>ن</w:t>
        </w:r>
        <w:r w:rsidRPr="004A570D">
          <w:rPr>
            <w:rStyle w:val="Hyperlink"/>
            <w:rFonts w:hint="cs"/>
            <w:rtl/>
          </w:rPr>
          <w:t>ی</w:t>
        </w:r>
        <w:r w:rsidRPr="004A570D">
          <w:rPr>
            <w:rStyle w:val="Hyperlink"/>
            <w:rFonts w:hint="eastAsia"/>
            <w:rtl/>
          </w:rPr>
          <w:t>،</w:t>
        </w:r>
        <w:r w:rsidRPr="004A570D">
          <w:rPr>
            <w:rStyle w:val="Hyperlink"/>
            <w:rtl/>
          </w:rPr>
          <w:t xml:space="preserve"> ج4، ص687.</w:t>
        </w:r>
      </w:hyperlink>
    </w:p>
  </w:footnote>
  <w:footnote w:id="6">
    <w:p w:rsidR="009E1B9B" w:rsidRPr="009E1B9B" w:rsidRDefault="009E1B9B" w:rsidP="009E1B9B">
      <w:pPr>
        <w:pStyle w:val="FootnoteText"/>
      </w:pPr>
      <w:r w:rsidRPr="009E1B9B">
        <w:footnoteRef/>
      </w:r>
      <w:r w:rsidRPr="009E1B9B">
        <w:rPr>
          <w:rtl/>
        </w:rPr>
        <w:t xml:space="preserve"> </w:t>
      </w:r>
      <w:hyperlink r:id="rId6" w:history="1">
        <w:r w:rsidRPr="009E1B9B">
          <w:rPr>
            <w:rStyle w:val="Hyperlink"/>
            <w:rFonts w:hint="eastAsia"/>
            <w:rtl/>
          </w:rPr>
          <w:t>الرسائل،</w:t>
        </w:r>
        <w:r w:rsidRPr="009E1B9B">
          <w:rPr>
            <w:rStyle w:val="Hyperlink"/>
            <w:rtl/>
          </w:rPr>
          <w:t xml:space="preserve"> الس</w:t>
        </w:r>
        <w:r w:rsidRPr="009E1B9B">
          <w:rPr>
            <w:rStyle w:val="Hyperlink"/>
            <w:rFonts w:hint="cs"/>
            <w:rtl/>
          </w:rPr>
          <w:t>ی</w:t>
        </w:r>
        <w:r w:rsidRPr="009E1B9B">
          <w:rPr>
            <w:rStyle w:val="Hyperlink"/>
            <w:rFonts w:hint="eastAsia"/>
            <w:rtl/>
          </w:rPr>
          <w:t>د</w:t>
        </w:r>
        <w:r w:rsidRPr="009E1B9B">
          <w:rPr>
            <w:rStyle w:val="Hyperlink"/>
            <w:rtl/>
          </w:rPr>
          <w:t xml:space="preserve"> روح الله الموسو</w:t>
        </w:r>
        <w:r w:rsidRPr="009E1B9B">
          <w:rPr>
            <w:rStyle w:val="Hyperlink"/>
            <w:rFonts w:hint="cs"/>
            <w:rtl/>
          </w:rPr>
          <w:t>ی</w:t>
        </w:r>
        <w:r w:rsidRPr="009E1B9B">
          <w:rPr>
            <w:rStyle w:val="Hyperlink"/>
            <w:rtl/>
          </w:rPr>
          <w:t xml:space="preserve"> الخم</w:t>
        </w:r>
        <w:r w:rsidRPr="009E1B9B">
          <w:rPr>
            <w:rStyle w:val="Hyperlink"/>
            <w:rFonts w:hint="cs"/>
            <w:rtl/>
          </w:rPr>
          <w:t>ی</w:t>
        </w:r>
        <w:r w:rsidRPr="009E1B9B">
          <w:rPr>
            <w:rStyle w:val="Hyperlink"/>
            <w:rFonts w:hint="eastAsia"/>
            <w:rtl/>
          </w:rPr>
          <w:t>ن</w:t>
        </w:r>
        <w:r w:rsidRPr="009E1B9B">
          <w:rPr>
            <w:rStyle w:val="Hyperlink"/>
            <w:rFonts w:hint="cs"/>
            <w:rtl/>
          </w:rPr>
          <w:t>ی</w:t>
        </w:r>
        <w:r w:rsidRPr="009E1B9B">
          <w:rPr>
            <w:rStyle w:val="Hyperlink"/>
            <w:rFonts w:hint="eastAsia"/>
            <w:rtl/>
          </w:rPr>
          <w:t>،</w:t>
        </w:r>
        <w:r w:rsidRPr="009E1B9B">
          <w:rPr>
            <w:rStyle w:val="Hyperlink"/>
            <w:rtl/>
          </w:rPr>
          <w:t xml:space="preserve"> ج1، ص357.</w:t>
        </w:r>
      </w:hyperlink>
    </w:p>
  </w:footnote>
  <w:footnote w:id="7">
    <w:p w:rsidR="00CF6BB8" w:rsidRPr="00CF6BB8" w:rsidRDefault="00CF6BB8" w:rsidP="00CF6BB8">
      <w:pPr>
        <w:pStyle w:val="FootnoteText"/>
      </w:pPr>
      <w:r w:rsidRPr="00CF6BB8">
        <w:footnoteRef/>
      </w:r>
      <w:r w:rsidRPr="00CF6BB8">
        <w:rPr>
          <w:rtl/>
        </w:rPr>
        <w:t xml:space="preserve"> </w:t>
      </w:r>
      <w:hyperlink r:id="rId7" w:history="1">
        <w:r w:rsidRPr="00CF6BB8">
          <w:rPr>
            <w:rStyle w:val="Hyperlink"/>
            <w:rtl/>
          </w:rPr>
          <w:t>فرائد الاصول، ش</w:t>
        </w:r>
        <w:r w:rsidRPr="00CF6BB8">
          <w:rPr>
            <w:rStyle w:val="Hyperlink"/>
            <w:rFonts w:hint="cs"/>
            <w:rtl/>
          </w:rPr>
          <w:t>ی</w:t>
        </w:r>
        <w:r w:rsidRPr="00CF6BB8">
          <w:rPr>
            <w:rStyle w:val="Hyperlink"/>
            <w:rFonts w:hint="eastAsia"/>
            <w:rtl/>
          </w:rPr>
          <w:t>خ</w:t>
        </w:r>
        <w:r w:rsidRPr="00CF6BB8">
          <w:rPr>
            <w:rStyle w:val="Hyperlink"/>
            <w:rtl/>
          </w:rPr>
          <w:t xml:space="preserve"> مرتض</w:t>
        </w:r>
        <w:r w:rsidRPr="00CF6BB8">
          <w:rPr>
            <w:rStyle w:val="Hyperlink"/>
            <w:rFonts w:hint="cs"/>
            <w:rtl/>
          </w:rPr>
          <w:t>ی</w:t>
        </w:r>
        <w:r w:rsidRPr="00CF6BB8">
          <w:rPr>
            <w:rStyle w:val="Hyperlink"/>
            <w:rtl/>
          </w:rPr>
          <w:t xml:space="preserve"> انصار</w:t>
        </w:r>
        <w:r w:rsidRPr="00CF6BB8">
          <w:rPr>
            <w:rStyle w:val="Hyperlink"/>
            <w:rFonts w:hint="cs"/>
            <w:rtl/>
          </w:rPr>
          <w:t>ی</w:t>
        </w:r>
        <w:r w:rsidRPr="00CF6BB8">
          <w:rPr>
            <w:rStyle w:val="Hyperlink"/>
            <w:rFonts w:hint="eastAsia"/>
            <w:rtl/>
          </w:rPr>
          <w:t>،</w:t>
        </w:r>
        <w:r w:rsidRPr="00CF6BB8">
          <w:rPr>
            <w:rStyle w:val="Hyperlink"/>
            <w:rtl/>
          </w:rPr>
          <w:t xml:space="preserve"> ج2، ص213.</w:t>
        </w:r>
      </w:hyperlink>
    </w:p>
  </w:footnote>
  <w:footnote w:id="8">
    <w:p w:rsidR="00E259A1" w:rsidRPr="00E259A1" w:rsidRDefault="00E259A1" w:rsidP="00E259A1">
      <w:pPr>
        <w:pStyle w:val="FootnoteText"/>
      </w:pPr>
      <w:r w:rsidRPr="00E259A1">
        <w:footnoteRef/>
      </w:r>
      <w:r w:rsidRPr="00E259A1">
        <w:rPr>
          <w:rtl/>
        </w:rPr>
        <w:t xml:space="preserve"> </w:t>
      </w:r>
      <w:hyperlink r:id="rId8" w:history="1">
        <w:r w:rsidRPr="00E259A1">
          <w:rPr>
            <w:rStyle w:val="Hyperlink"/>
            <w:rFonts w:hint="eastAsia"/>
            <w:rtl/>
          </w:rPr>
          <w:t>تفس</w:t>
        </w:r>
        <w:r w:rsidRPr="00E259A1">
          <w:rPr>
            <w:rStyle w:val="Hyperlink"/>
            <w:rFonts w:hint="cs"/>
            <w:rtl/>
          </w:rPr>
          <w:t>ی</w:t>
        </w:r>
        <w:r w:rsidRPr="00E259A1">
          <w:rPr>
            <w:rStyle w:val="Hyperlink"/>
            <w:rFonts w:hint="eastAsia"/>
            <w:rtl/>
          </w:rPr>
          <w:t>ر</w:t>
        </w:r>
        <w:r w:rsidRPr="00E259A1">
          <w:rPr>
            <w:rStyle w:val="Hyperlink"/>
            <w:rtl/>
          </w:rPr>
          <w:t xml:space="preserve"> التب</w:t>
        </w:r>
        <w:r w:rsidRPr="00E259A1">
          <w:rPr>
            <w:rStyle w:val="Hyperlink"/>
            <w:rFonts w:hint="cs"/>
            <w:rtl/>
          </w:rPr>
          <w:t>ی</w:t>
        </w:r>
        <w:r w:rsidRPr="00E259A1">
          <w:rPr>
            <w:rStyle w:val="Hyperlink"/>
            <w:rFonts w:hint="eastAsia"/>
            <w:rtl/>
          </w:rPr>
          <w:t>ان،</w:t>
        </w:r>
        <w:r w:rsidRPr="00E259A1">
          <w:rPr>
            <w:rStyle w:val="Hyperlink"/>
            <w:rtl/>
          </w:rPr>
          <w:t xml:space="preserve"> ش</w:t>
        </w:r>
        <w:r w:rsidRPr="00E259A1">
          <w:rPr>
            <w:rStyle w:val="Hyperlink"/>
            <w:rFonts w:hint="cs"/>
            <w:rtl/>
          </w:rPr>
          <w:t>ی</w:t>
        </w:r>
        <w:r w:rsidRPr="00E259A1">
          <w:rPr>
            <w:rStyle w:val="Hyperlink"/>
            <w:rFonts w:hint="eastAsia"/>
            <w:rtl/>
          </w:rPr>
          <w:t>خ</w:t>
        </w:r>
        <w:r w:rsidRPr="00E259A1">
          <w:rPr>
            <w:rStyle w:val="Hyperlink"/>
            <w:rtl/>
          </w:rPr>
          <w:t xml:space="preserve"> طوس</w:t>
        </w:r>
        <w:r w:rsidRPr="00E259A1">
          <w:rPr>
            <w:rStyle w:val="Hyperlink"/>
            <w:rFonts w:hint="cs"/>
            <w:rtl/>
          </w:rPr>
          <w:t>ی</w:t>
        </w:r>
        <w:r w:rsidRPr="00E259A1">
          <w:rPr>
            <w:rStyle w:val="Hyperlink"/>
            <w:rFonts w:hint="eastAsia"/>
            <w:rtl/>
          </w:rPr>
          <w:t>،</w:t>
        </w:r>
        <w:r w:rsidRPr="00E259A1">
          <w:rPr>
            <w:rStyle w:val="Hyperlink"/>
            <w:rtl/>
          </w:rPr>
          <w:t xml:space="preserve"> ج1، ص299.</w:t>
        </w:r>
      </w:hyperlink>
    </w:p>
  </w:footnote>
  <w:footnote w:id="9">
    <w:p w:rsidR="00E032F7" w:rsidRDefault="00E032F7">
      <w:pPr>
        <w:pStyle w:val="FootnoteText"/>
      </w:pPr>
      <w:r>
        <w:rPr>
          <w:rStyle w:val="FootnoteReference"/>
        </w:rPr>
        <w:footnoteRef/>
      </w:r>
      <w:r>
        <w:rPr>
          <w:rtl/>
        </w:rPr>
        <w:t xml:space="preserve"> </w:t>
      </w:r>
      <w:r>
        <w:rPr>
          <w:rFonts w:hint="cs"/>
          <w:rtl/>
        </w:rPr>
        <w:t>جعفریات اشعثیات ص 27</w:t>
      </w:r>
    </w:p>
  </w:footnote>
  <w:footnote w:id="10">
    <w:p w:rsidR="00B63D8A" w:rsidRDefault="00B63D8A">
      <w:pPr>
        <w:pStyle w:val="FootnoteText"/>
      </w:pPr>
      <w:r>
        <w:rPr>
          <w:rStyle w:val="FootnoteReference"/>
        </w:rPr>
        <w:footnoteRef/>
      </w:r>
      <w:r>
        <w:rPr>
          <w:rtl/>
        </w:rPr>
        <w:t xml:space="preserve"> </w:t>
      </w:r>
      <w:r>
        <w:rPr>
          <w:rFonts w:hint="cs"/>
          <w:rtl/>
        </w:rPr>
        <w:t>مقرر: روایت معتبر بر احتیاط شرعی صرفا در مورد ماء مشتبه با نجس برای وضوء می باشد و تعدی از آن نسبت به تمام محرمات و تمامی تکالیف مشکل است</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CE2C77">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E2C7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E2C77">
      <w:rPr>
        <w:b/>
        <w:bCs/>
        <w:color w:val="632423" w:themeColor="accent2" w:themeShade="80"/>
        <w:sz w:val="20"/>
        <w:szCs w:val="24"/>
        <w:rtl/>
      </w:rPr>
      <w:t>قائ</w:t>
    </w:r>
    <w:r w:rsidR="00CE2C77">
      <w:rPr>
        <w:rFonts w:hint="cs"/>
        <w:b/>
        <w:bCs/>
        <w:color w:val="632423" w:themeColor="accent2" w:themeShade="80"/>
        <w:sz w:val="20"/>
        <w:szCs w:val="24"/>
        <w:rtl/>
      </w:rPr>
      <w:t>ی</w:t>
    </w:r>
    <w:r w:rsidR="00CE2C77">
      <w:rPr>
        <w:rFonts w:hint="eastAsia"/>
        <w:b/>
        <w:bCs/>
        <w:color w:val="632423" w:themeColor="accent2" w:themeShade="80"/>
        <w:sz w:val="20"/>
        <w:szCs w:val="24"/>
        <w:rtl/>
      </w:rPr>
      <w:t>ن</w:t>
    </w:r>
    <w:r w:rsidR="00CE2C7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CE2C77">
      <w:rPr>
        <w:sz w:val="24"/>
        <w:szCs w:val="24"/>
        <w:rtl/>
      </w:rPr>
      <w:t>10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CE2C77">
      <w:rPr>
        <w:color w:val="000000" w:themeColor="text1"/>
        <w:sz w:val="24"/>
        <w:szCs w:val="24"/>
        <w:rtl/>
      </w:rPr>
      <w:t>تعارض استصحاب</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CE2C77">
      <w:rPr>
        <w:sz w:val="24"/>
        <w:szCs w:val="24"/>
        <w:rtl/>
      </w:rPr>
      <w:t>حس</w:t>
    </w:r>
    <w:r w:rsidR="00CE2C77">
      <w:rPr>
        <w:rFonts w:hint="cs"/>
        <w:sz w:val="24"/>
        <w:szCs w:val="24"/>
        <w:rtl/>
      </w:rPr>
      <w:t>ی</w:t>
    </w:r>
    <w:r w:rsidR="00CE2C77">
      <w:rPr>
        <w:rFonts w:hint="eastAsia"/>
        <w:sz w:val="24"/>
        <w:szCs w:val="24"/>
        <w:rtl/>
      </w:rPr>
      <w:t>ن</w:t>
    </w:r>
    <w:r w:rsidR="00CE2C77">
      <w:rPr>
        <w:sz w:val="24"/>
        <w:szCs w:val="24"/>
        <w:rtl/>
      </w:rPr>
      <w:t xml:space="preserve"> سل</w:t>
    </w:r>
    <w:r w:rsidR="00CE2C77">
      <w:rPr>
        <w:rFonts w:hint="cs"/>
        <w:sz w:val="24"/>
        <w:szCs w:val="24"/>
        <w:rtl/>
      </w:rPr>
      <w:t>ی</w:t>
    </w:r>
    <w:r w:rsidR="00CE2C77">
      <w:rPr>
        <w:rFonts w:hint="eastAsia"/>
        <w:sz w:val="24"/>
        <w:szCs w:val="24"/>
        <w:rtl/>
      </w:rPr>
      <w:t>م</w:t>
    </w:r>
    <w:r w:rsidR="00CE2C7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E2C77">
      <w:rPr>
        <w:sz w:val="24"/>
        <w:szCs w:val="24"/>
        <w:rtl/>
      </w:rPr>
      <w:t>تعارض استصحاب و قرعه</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E47EED"/>
    <w:multiLevelType w:val="hybridMultilevel"/>
    <w:tmpl w:val="D0167690"/>
    <w:lvl w:ilvl="0" w:tplc="E2BA79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FF1FC1"/>
    <w:multiLevelType w:val="hybridMultilevel"/>
    <w:tmpl w:val="CFF6CF32"/>
    <w:lvl w:ilvl="0" w:tplc="160E59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FCC"/>
    <w:rsid w:val="000072A3"/>
    <w:rsid w:val="0001652A"/>
    <w:rsid w:val="00025777"/>
    <w:rsid w:val="00025B70"/>
    <w:rsid w:val="000353D7"/>
    <w:rsid w:val="00055496"/>
    <w:rsid w:val="00071E88"/>
    <w:rsid w:val="00080A41"/>
    <w:rsid w:val="0008299B"/>
    <w:rsid w:val="000913AA"/>
    <w:rsid w:val="000936F9"/>
    <w:rsid w:val="00094847"/>
    <w:rsid w:val="00096C63"/>
    <w:rsid w:val="000B5DB5"/>
    <w:rsid w:val="000C2FE2"/>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76EE"/>
    <w:rsid w:val="0027605E"/>
    <w:rsid w:val="00281A14"/>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5BE2"/>
    <w:rsid w:val="00386C11"/>
    <w:rsid w:val="00397466"/>
    <w:rsid w:val="003A6148"/>
    <w:rsid w:val="003C33F6"/>
    <w:rsid w:val="003C3D2E"/>
    <w:rsid w:val="003C43A5"/>
    <w:rsid w:val="003E1C5C"/>
    <w:rsid w:val="003E6650"/>
    <w:rsid w:val="003F5B46"/>
    <w:rsid w:val="00401363"/>
    <w:rsid w:val="00402E47"/>
    <w:rsid w:val="00412A20"/>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6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916"/>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6FB6"/>
    <w:rsid w:val="007F2257"/>
    <w:rsid w:val="0080091D"/>
    <w:rsid w:val="00804108"/>
    <w:rsid w:val="008041C9"/>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8C0"/>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1B9B"/>
    <w:rsid w:val="009F7E07"/>
    <w:rsid w:val="00A01522"/>
    <w:rsid w:val="00A10A11"/>
    <w:rsid w:val="00A13445"/>
    <w:rsid w:val="00A13C6A"/>
    <w:rsid w:val="00A175FD"/>
    <w:rsid w:val="00A17B09"/>
    <w:rsid w:val="00A457C6"/>
    <w:rsid w:val="00A46AD0"/>
    <w:rsid w:val="00A47063"/>
    <w:rsid w:val="00A473A8"/>
    <w:rsid w:val="00A513F0"/>
    <w:rsid w:val="00A61AC8"/>
    <w:rsid w:val="00A6366F"/>
    <w:rsid w:val="00A65D4C"/>
    <w:rsid w:val="00A70512"/>
    <w:rsid w:val="00A74FBB"/>
    <w:rsid w:val="00AA1F60"/>
    <w:rsid w:val="00AA40D7"/>
    <w:rsid w:val="00AB5F7D"/>
    <w:rsid w:val="00AC0C50"/>
    <w:rsid w:val="00AC6FE2"/>
    <w:rsid w:val="00AF3925"/>
    <w:rsid w:val="00B1296B"/>
    <w:rsid w:val="00B15AD2"/>
    <w:rsid w:val="00B2292F"/>
    <w:rsid w:val="00B43169"/>
    <w:rsid w:val="00B501A8"/>
    <w:rsid w:val="00B55AE4"/>
    <w:rsid w:val="00B63D8A"/>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2C77"/>
    <w:rsid w:val="00CE7481"/>
    <w:rsid w:val="00CF0A8F"/>
    <w:rsid w:val="00CF6BB8"/>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32F7"/>
    <w:rsid w:val="00E259A1"/>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4395"/>
    <w:rsid w:val="00F07FB6"/>
    <w:rsid w:val="00F149D0"/>
    <w:rsid w:val="00F16B53"/>
    <w:rsid w:val="00F25ECD"/>
    <w:rsid w:val="00F318BE"/>
    <w:rsid w:val="00F33297"/>
    <w:rsid w:val="00F343FB"/>
    <w:rsid w:val="00F359FE"/>
    <w:rsid w:val="00F42159"/>
    <w:rsid w:val="00F4256E"/>
    <w:rsid w:val="00F42EE1"/>
    <w:rsid w:val="00F54E9A"/>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2011/1/299/&#1740;&#1607;&#1585;&#1740;&#1602;&#1607;&#1605;&#1575;" TargetMode="External"/><Relationship Id="rId3" Type="http://schemas.openxmlformats.org/officeDocument/2006/relationships/hyperlink" Target="http://lib.eshia.ir/13074/1/346/&#1575;&#1604;&#1570;&#1576;&#1602;" TargetMode="External"/><Relationship Id="rId7" Type="http://schemas.openxmlformats.org/officeDocument/2006/relationships/hyperlink" Target="http://lib.eshia.ir/13056/2/213/&#1582;&#1604;&#1575;" TargetMode="External"/><Relationship Id="rId2" Type="http://schemas.openxmlformats.org/officeDocument/2006/relationships/hyperlink" Target="http://lib.eshia.ir/13046/2/341/&#1575;&#1604;&#1602;&#1591;&#1593;&#1740;&#1575;&#1578;" TargetMode="External"/><Relationship Id="rId1" Type="http://schemas.openxmlformats.org/officeDocument/2006/relationships/hyperlink" Target="http://lib.eshia.ir/27004//437/&#1575;&#1604;&#1602;&#1585;&#1593;&#1607;" TargetMode="External"/><Relationship Id="rId6" Type="http://schemas.openxmlformats.org/officeDocument/2006/relationships/hyperlink" Target="http://lib.eshia.ir/13074/1/357/&#1604;&#1604;&#1585;&#1580;&#1604;&#1740;&#1606;" TargetMode="External"/><Relationship Id="rId5" Type="http://schemas.openxmlformats.org/officeDocument/2006/relationships/hyperlink" Target="http://lib.eshia.ir/13102/4/687/&#1605;&#1588;&#1578;&#1576;&#1607;" TargetMode="External"/><Relationship Id="rId4" Type="http://schemas.openxmlformats.org/officeDocument/2006/relationships/hyperlink" Target="http://lib.eshia.ir/13102/4/687/&#1605;&#1588;&#1578;&#1576;&#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206D8-6331-45F9-B0AB-F0049C831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129</TotalTime>
  <Pages>1</Pages>
  <Words>859</Words>
  <Characters>4901</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5749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15</cp:revision>
  <cp:lastPrinted>2019-01-11T20:51:00Z</cp:lastPrinted>
  <dcterms:created xsi:type="dcterms:W3CDTF">2018-12-31T14:50:00Z</dcterms:created>
  <dcterms:modified xsi:type="dcterms:W3CDTF">2019-01-11T20:51:00Z</dcterms:modified>
  <cp:contentStatus>ویرایش 2.5</cp:contentStatus>
  <cp:version>2.7</cp:version>
</cp:coreProperties>
</file>