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F08" w:rsidRDefault="007B3F08" w:rsidP="007B3F0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713412" w:history="1">
        <w:r w:rsidRPr="00B13FF9">
          <w:rPr>
            <w:rStyle w:val="Hyperlink"/>
            <w:noProof/>
            <w:rtl/>
          </w:rPr>
          <w:t>نظارت تشک</w:t>
        </w:r>
        <w:r w:rsidRPr="00B13FF9">
          <w:rPr>
            <w:rStyle w:val="Hyperlink"/>
            <w:rFonts w:hint="cs"/>
            <w:noProof/>
            <w:rtl/>
          </w:rPr>
          <w:t>ی</w:t>
        </w:r>
        <w:r w:rsidRPr="00B13FF9">
          <w:rPr>
            <w:rStyle w:val="Hyperlink"/>
            <w:rFonts w:hint="eastAsia"/>
            <w:noProof/>
            <w:rtl/>
          </w:rPr>
          <w:t>ک</w:t>
        </w:r>
        <w:r w:rsidRPr="00B13FF9">
          <w:rPr>
            <w:rStyle w:val="Hyperlink"/>
            <w:noProof/>
            <w:rtl/>
          </w:rPr>
          <w:t xml:space="preserve"> و أخذ به مقام عمل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Toc527713412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413" w:history="1">
        <w:r w:rsidR="007B3F08" w:rsidRPr="00B13FF9">
          <w:rPr>
            <w:rStyle w:val="Hyperlink"/>
            <w:noProof/>
            <w:rtl/>
          </w:rPr>
          <w:t>جعل علم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ت</w:t>
        </w:r>
        <w:r w:rsidR="007B3F08" w:rsidRPr="00B13FF9">
          <w:rPr>
            <w:rStyle w:val="Hyperlink"/>
            <w:noProof/>
            <w:rtl/>
          </w:rPr>
          <w:t xml:space="preserve"> نسبت به قول خبره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Toc527713413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1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414" w:history="1">
        <w:r w:rsidR="007B3F08" w:rsidRPr="00B13FF9">
          <w:rPr>
            <w:rStyle w:val="Hyperlink"/>
            <w:noProof/>
            <w:rtl/>
          </w:rPr>
          <w:t>مناقشه حکم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noProof/>
            <w:rtl/>
          </w:rPr>
          <w:t xml:space="preserve"> : امر آ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ه</w:t>
        </w:r>
        <w:r w:rsidR="007B3F08" w:rsidRPr="00B13FF9">
          <w:rPr>
            <w:rStyle w:val="Hyperlink"/>
            <w:noProof/>
            <w:rtl/>
          </w:rPr>
          <w:t xml:space="preserve"> به تحص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ل</w:t>
        </w:r>
        <w:r w:rsidR="007B3F08" w:rsidRPr="00B13FF9">
          <w:rPr>
            <w:rStyle w:val="Hyperlink"/>
            <w:noProof/>
            <w:rtl/>
          </w:rPr>
          <w:t xml:space="preserve"> علم وجدان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Toc527713414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2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415" w:history="1">
        <w:r w:rsidR="007B3F08" w:rsidRPr="00B13FF9">
          <w:rPr>
            <w:rStyle w:val="Hyperlink"/>
            <w:noProof/>
            <w:rtl/>
          </w:rPr>
          <w:t>مناقشه موضوع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noProof/>
            <w:rtl/>
          </w:rPr>
          <w:t xml:space="preserve"> : عدم مدخل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ت</w:t>
        </w:r>
        <w:r w:rsidR="007B3F08" w:rsidRPr="00B13FF9">
          <w:rPr>
            <w:rStyle w:val="Hyperlink"/>
            <w:noProof/>
            <w:rtl/>
          </w:rPr>
          <w:t xml:space="preserve"> خبرو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ت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Toc527713415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2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416" w:history="1">
        <w:r w:rsidR="007B3F08" w:rsidRPr="00B13FF9">
          <w:rPr>
            <w:rStyle w:val="Hyperlink"/>
            <w:noProof/>
            <w:rtl/>
          </w:rPr>
          <w:t>جعل علم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ت</w:t>
        </w:r>
        <w:r w:rsidR="007B3F08" w:rsidRPr="00B13FF9">
          <w:rPr>
            <w:rStyle w:val="Hyperlink"/>
            <w:noProof/>
            <w:rtl/>
          </w:rPr>
          <w:t xml:space="preserve"> برا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noProof/>
            <w:rtl/>
          </w:rPr>
          <w:t xml:space="preserve"> فتوا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noProof/>
            <w:rtl/>
          </w:rPr>
          <w:t xml:space="preserve"> مجتهد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Toc527713416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3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417" w:history="1">
        <w:r w:rsidR="007B3F08" w:rsidRPr="00B13FF9">
          <w:rPr>
            <w:rStyle w:val="Hyperlink"/>
            <w:noProof/>
            <w:rtl/>
          </w:rPr>
          <w:t>حق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قت</w:t>
        </w:r>
        <w:r w:rsidR="007B3F08" w:rsidRPr="00B13FF9">
          <w:rPr>
            <w:rStyle w:val="Hyperlink"/>
            <w:noProof/>
            <w:rtl/>
          </w:rPr>
          <w:t xml:space="preserve"> ورود : خروج حق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rFonts w:hint="eastAsia"/>
            <w:noProof/>
            <w:rtl/>
          </w:rPr>
          <w:t>ق</w:t>
        </w:r>
        <w:r w:rsidR="007B3F08" w:rsidRPr="00B13FF9">
          <w:rPr>
            <w:rStyle w:val="Hyperlink"/>
            <w:rFonts w:hint="cs"/>
            <w:noProof/>
            <w:rtl/>
          </w:rPr>
          <w:t>ی</w:t>
        </w:r>
        <w:r w:rsidR="007B3F08" w:rsidRPr="00B13FF9">
          <w:rPr>
            <w:rStyle w:val="Hyperlink"/>
            <w:noProof/>
            <w:rtl/>
          </w:rPr>
          <w:t xml:space="preserve"> به برکت تعبّد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Toc527713417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3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7B3F08" w:rsidRDefault="001C7A92" w:rsidP="007B3F0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418" w:history="1">
        <w:r w:rsidR="007B3F08" w:rsidRPr="00B13FF9">
          <w:rPr>
            <w:rStyle w:val="Hyperlink"/>
            <w:noProof/>
            <w:rtl/>
          </w:rPr>
          <w:t>تفاوت حکومت و ورود</w:t>
        </w:r>
        <w:r w:rsidR="007B3F08">
          <w:rPr>
            <w:noProof/>
            <w:webHidden/>
            <w:rtl/>
          </w:rPr>
          <w:tab/>
        </w:r>
        <w:r w:rsidR="007B3F08">
          <w:rPr>
            <w:rStyle w:val="Hyperlink"/>
            <w:noProof/>
            <w:rtl/>
          </w:rPr>
          <w:fldChar w:fldCharType="begin"/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noProof/>
            <w:webHidden/>
          </w:rPr>
          <w:instrText>PAGEREF</w:instrText>
        </w:r>
        <w:r w:rsidR="007B3F08">
          <w:rPr>
            <w:noProof/>
            <w:webHidden/>
            <w:rtl/>
          </w:rPr>
          <w:instrText xml:space="preserve"> _</w:instrText>
        </w:r>
        <w:r w:rsidR="007B3F08">
          <w:rPr>
            <w:noProof/>
            <w:webHidden/>
          </w:rPr>
          <w:instrText>Toc527713418 \h</w:instrText>
        </w:r>
        <w:r w:rsidR="007B3F08">
          <w:rPr>
            <w:noProof/>
            <w:webHidden/>
            <w:rtl/>
          </w:rPr>
          <w:instrText xml:space="preserve"> </w:instrText>
        </w:r>
        <w:r w:rsidR="007B3F08">
          <w:rPr>
            <w:rStyle w:val="Hyperlink"/>
            <w:noProof/>
            <w:rtl/>
          </w:rPr>
        </w:r>
        <w:r w:rsidR="007B3F08">
          <w:rPr>
            <w:rStyle w:val="Hyperlink"/>
            <w:noProof/>
            <w:rtl/>
          </w:rPr>
          <w:fldChar w:fldCharType="separate"/>
        </w:r>
        <w:r w:rsidR="007B3F08">
          <w:rPr>
            <w:noProof/>
            <w:webHidden/>
            <w:rtl/>
          </w:rPr>
          <w:t>3</w:t>
        </w:r>
        <w:r w:rsidR="007B3F08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7B3F08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5226E">
        <w:rPr>
          <w:rtl/>
        </w:rPr>
        <w:t>مفاد ادله اعتبار اماره - ورود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5226E">
        <w:rPr>
          <w:rtl/>
        </w:rPr>
        <w:t>تعارض غ</w:t>
      </w:r>
      <w:r w:rsidR="0005226E">
        <w:rPr>
          <w:rFonts w:hint="cs"/>
          <w:rtl/>
        </w:rPr>
        <w:t>ی</w:t>
      </w:r>
      <w:r w:rsidR="0005226E">
        <w:rPr>
          <w:rFonts w:hint="eastAsia"/>
          <w:rtl/>
        </w:rPr>
        <w:t>ر</w:t>
      </w:r>
      <w:r w:rsidR="0005226E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05226E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791FF2" w:rsidP="00791FF2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</w:t>
      </w:r>
      <w:r w:rsidRPr="005E3D77">
        <w:rPr>
          <w:rFonts w:hint="cs"/>
          <w:rtl/>
        </w:rPr>
        <w:t>مرحوم اصفهانی تقریب حکومت مبتنی بر نفی موضوع را پذیرفتند . اما این معضل را در ناحیه صغری بیان کردند که ادله اعتبار امارات ، متضمّن جعل علمیّت نیستند و دلیلی بر وقوع چنین جعلی نداریم . از همین رو به بررسی تفصیلی ادله ای پرداخته اند که احتمال دلالت بر جعل علمیت دارند .</w:t>
      </w:r>
    </w:p>
    <w:p w:rsidR="008F5B4D" w:rsidRDefault="008F5B4D" w:rsidP="003A6148"/>
    <w:p w:rsidR="007B3F08" w:rsidRPr="00A421B5" w:rsidRDefault="007B3F08" w:rsidP="007B3F08">
      <w:pPr>
        <w:pStyle w:val="Heading1"/>
        <w:rPr>
          <w:rtl/>
        </w:rPr>
      </w:pPr>
      <w:bookmarkStart w:id="3" w:name="_Toc526718353"/>
      <w:bookmarkStart w:id="4" w:name="_Toc527713412"/>
      <w:r>
        <w:rPr>
          <w:rFonts w:hint="cs"/>
          <w:rtl/>
        </w:rPr>
        <w:t>نظارت تشکیک و أخذ به مقام عمل</w:t>
      </w:r>
      <w:bookmarkEnd w:id="3"/>
      <w:bookmarkEnd w:id="4"/>
    </w:p>
    <w:p w:rsidR="007B3F08" w:rsidRDefault="007B3F08" w:rsidP="007B3F08">
      <w:pPr>
        <w:jc w:val="both"/>
        <w:rPr>
          <w:rtl/>
        </w:rPr>
      </w:pPr>
      <w:r w:rsidRPr="00A421B5">
        <w:rPr>
          <w:rFonts w:hint="cs"/>
          <w:rtl/>
        </w:rPr>
        <w:t xml:space="preserve">   </w:t>
      </w:r>
      <w:r>
        <w:rPr>
          <w:rFonts w:hint="cs"/>
          <w:rtl/>
        </w:rPr>
        <w:t>مدلولِ</w:t>
      </w:r>
      <w:r w:rsidRPr="00A421B5">
        <w:rPr>
          <w:rFonts w:hint="cs"/>
          <w:rtl/>
        </w:rPr>
        <w:t xml:space="preserve"> « نهی از تشکیک » در </w:t>
      </w:r>
      <w:r w:rsidRPr="00F944B1">
        <w:rPr>
          <w:rFonts w:hint="cs"/>
          <w:color w:val="008000"/>
          <w:rtl/>
        </w:rPr>
        <w:t>« لا عذر لأحد من</w:t>
      </w:r>
      <w:r>
        <w:rPr>
          <w:rFonts w:hint="cs"/>
          <w:color w:val="008000"/>
          <w:rtl/>
        </w:rPr>
        <w:t xml:space="preserve"> موالینا فی التشکیک فیما یرویه ع</w:t>
      </w:r>
      <w:r w:rsidRPr="00F944B1">
        <w:rPr>
          <w:rFonts w:hint="cs"/>
          <w:color w:val="008000"/>
          <w:rtl/>
        </w:rPr>
        <w:t>ن</w:t>
      </w:r>
      <w:r>
        <w:rPr>
          <w:rFonts w:hint="cs"/>
          <w:color w:val="008000"/>
          <w:rtl/>
        </w:rPr>
        <w:t>ّ</w:t>
      </w:r>
      <w:r w:rsidRPr="00F944B1">
        <w:rPr>
          <w:rFonts w:hint="cs"/>
          <w:color w:val="008000"/>
          <w:rtl/>
        </w:rPr>
        <w:t>ا ثقاتنا »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نهی از تشکیک عملی بوسیله </w:t>
      </w:r>
      <w:r w:rsidRPr="00A421B5">
        <w:rPr>
          <w:rFonts w:hint="cs"/>
          <w:rtl/>
        </w:rPr>
        <w:t xml:space="preserve">ترک </w:t>
      </w:r>
      <w:r>
        <w:rPr>
          <w:rFonts w:hint="cs"/>
          <w:rtl/>
        </w:rPr>
        <w:t>فعل مطابق مودّی اماره است</w:t>
      </w:r>
      <w:r w:rsidRPr="00A421B5">
        <w:rPr>
          <w:rFonts w:hint="cs"/>
          <w:rtl/>
        </w:rPr>
        <w:t xml:space="preserve"> ، نه نهی از </w:t>
      </w:r>
      <w:r w:rsidR="00FE6598">
        <w:rPr>
          <w:rFonts w:hint="cs"/>
          <w:rtl/>
        </w:rPr>
        <w:t xml:space="preserve">امری اعتقادی و قلبی . </w:t>
      </w:r>
      <w:r>
        <w:rPr>
          <w:rFonts w:hint="cs"/>
          <w:rtl/>
        </w:rPr>
        <w:t>اگر «</w:t>
      </w:r>
      <w:r w:rsidR="00FE6598">
        <w:rPr>
          <w:rFonts w:hint="cs"/>
          <w:rtl/>
        </w:rPr>
        <w:t xml:space="preserve"> </w:t>
      </w:r>
      <w:r>
        <w:rPr>
          <w:rFonts w:hint="cs"/>
          <w:rtl/>
        </w:rPr>
        <w:t>لا تشکّ</w:t>
      </w:r>
      <w:r w:rsidR="00FE6598">
        <w:rPr>
          <w:rFonts w:hint="cs"/>
          <w:rtl/>
        </w:rPr>
        <w:t xml:space="preserve"> </w:t>
      </w:r>
      <w:r w:rsidRPr="00A421B5">
        <w:rPr>
          <w:rFonts w:hint="cs"/>
          <w:rtl/>
        </w:rPr>
        <w:t xml:space="preserve">» بیان </w:t>
      </w:r>
      <w:r>
        <w:rPr>
          <w:rFonts w:hint="cs"/>
          <w:rtl/>
        </w:rPr>
        <w:t>می شد می توانستیم ادعاء جعل علمیّت کنیم اما</w:t>
      </w:r>
      <w:r w:rsidRPr="00A421B5">
        <w:rPr>
          <w:rFonts w:hint="cs"/>
          <w:rtl/>
        </w:rPr>
        <w:t xml:space="preserve"> آن چه بیان شده  </w:t>
      </w:r>
      <w:r>
        <w:rPr>
          <w:rFonts w:hint="cs"/>
          <w:rtl/>
        </w:rPr>
        <w:t xml:space="preserve">« لا عذر فی التشکیک » است نه « لا عذر فی الشک » ! در </w:t>
      </w:r>
      <w:r w:rsidRPr="00F66924">
        <w:rPr>
          <w:rFonts w:hint="cs"/>
          <w:rtl/>
        </w:rPr>
        <w:t>« فلان ثقه آخذ منه معالم دینی »</w:t>
      </w:r>
      <w:r>
        <w:rPr>
          <w:rFonts w:hint="cs"/>
          <w:rtl/>
        </w:rPr>
        <w:t xml:space="preserve"> هم اعتبار عالم بودن صورت نگرفته ، «أخذ» تنها از آن جهت ذکر شده که مقوّم عمل است و بیش از آن دلالت ندارد .</w:t>
      </w:r>
    </w:p>
    <w:p w:rsidR="007B3F08" w:rsidRPr="00A421B5" w:rsidRDefault="007B3F08" w:rsidP="007B3F08">
      <w:pPr>
        <w:pStyle w:val="Heading1"/>
        <w:jc w:val="both"/>
        <w:rPr>
          <w:rtl/>
        </w:rPr>
      </w:pPr>
      <w:bookmarkStart w:id="5" w:name="_Toc526718354"/>
      <w:bookmarkStart w:id="6" w:name="_Toc527713413"/>
      <w:r>
        <w:rPr>
          <w:rFonts w:hint="cs"/>
          <w:rtl/>
        </w:rPr>
        <w:t>جعل علمیت نسبت به قول خبره</w:t>
      </w:r>
      <w:bookmarkEnd w:id="5"/>
      <w:bookmarkEnd w:id="6"/>
    </w:p>
    <w:p w:rsidR="007B3F08" w:rsidRDefault="007B3F08" w:rsidP="00480D6B">
      <w:pPr>
        <w:jc w:val="both"/>
        <w:rPr>
          <w:rtl/>
        </w:rPr>
      </w:pPr>
      <w:r>
        <w:rPr>
          <w:rFonts w:hint="cs"/>
          <w:rtl/>
        </w:rPr>
        <w:t xml:space="preserve">   بله اگر </w:t>
      </w:r>
      <w:r>
        <w:rPr>
          <w:rFonts w:ascii="Times New Roman" w:hAnsi="Times New Roman" w:cs="Times New Roman" w:hint="cs"/>
          <w:rtl/>
        </w:rPr>
        <w:t>﴿</w:t>
      </w:r>
      <w:r>
        <w:rPr>
          <w:rFonts w:hint="cs"/>
          <w:rtl/>
        </w:rPr>
        <w:t xml:space="preserve"> </w:t>
      </w:r>
      <w:r w:rsidRPr="00790A34">
        <w:rPr>
          <w:rFonts w:hint="cs"/>
          <w:color w:val="008000"/>
          <w:rtl/>
        </w:rPr>
        <w:t>فاسألوا أهل الذکر إن کنتم لا تعلمون</w:t>
      </w:r>
      <w:r>
        <w:rPr>
          <w:rFonts w:hint="cs"/>
          <w:rtl/>
        </w:rPr>
        <w:t xml:space="preserve"> </w:t>
      </w:r>
      <w:r w:rsidRPr="003E78BB">
        <w:rPr>
          <w:rFonts w:ascii="Times New Roman" w:hAnsi="Times New Roman" w:cs="Times New Roman" w:hint="cs"/>
          <w:color w:val="008000"/>
          <w:rtl/>
        </w:rPr>
        <w:t>﴾</w:t>
      </w:r>
      <w:r>
        <w:rPr>
          <w:rFonts w:hint="cs"/>
          <w:rtl/>
        </w:rPr>
        <w:t xml:space="preserve"> </w:t>
      </w:r>
      <w:r w:rsidR="00480D6B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دلیل بر حجیت اماره باشد ، ادعاء حکومت امکان پذیر است ؛ زیرا دلالت بر جعل عالمیت دارد . توضیح آن که در آیه امر شده اگر نمی دانید ، سوال کنید . و با آن که علم به جواب ملازمه با علم به </w:t>
      </w:r>
      <w:r>
        <w:rPr>
          <w:rFonts w:hint="cs"/>
          <w:rtl/>
        </w:rPr>
        <w:lastRenderedPageBreak/>
        <w:t xml:space="preserve">واقع ندارد ، سائل را عالم به واقع فرض کرده زیرا تعبیر ایشان کأنّه چنین است که « فاسألوا أهل الذکر کی تعلموا » و واضح است که مسئول عنه « واقع » است ، پس علم حاصل از جواب به سوال هم مطابق این مفاد ، علم به واقع می باشد . </w:t>
      </w:r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اما مشکل در تمسّک به آیه آن است که جعل علمیت برای قول « أهل الذکر » صورت گرفته و مخبر یا مانند آن اهل ذکر نیست.اهل ذکر یعنی کسی که عالم بر نتایج به واسطه ممارست حدسیه است اما قوام حجیت مثل خبر به ملاک حس است و نه حدس. اهل ذکر بر خبره قابل تطبیق است پس مفاد آیه چنین است که «جواب الخبیر علم بالواقع» و این لسان باعث حاکمیت مانند فتوای مجتهد بر مجعولاتی از قبیل « حرمت قول به غیر علم » می شود نه حکومت امارات بر اصول عملی شرعی .</w:t>
      </w:r>
    </w:p>
    <w:p w:rsidR="007B3F08" w:rsidRDefault="007B3F08" w:rsidP="007B3F08">
      <w:pPr>
        <w:pStyle w:val="Heading6"/>
        <w:rPr>
          <w:rtl/>
        </w:rPr>
      </w:pPr>
      <w:bookmarkStart w:id="8" w:name="_Toc526718355"/>
      <w:bookmarkStart w:id="9" w:name="_Toc527713414"/>
      <w:r>
        <w:rPr>
          <w:rFonts w:hint="cs"/>
          <w:rtl/>
        </w:rPr>
        <w:t>مناقشه حکمی : امر آیه به تحصیل علم وجدانی</w:t>
      </w:r>
      <w:bookmarkEnd w:id="8"/>
      <w:bookmarkEnd w:id="9"/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عرض ما به مرحوم اصفهانی آن است که آیه شریفه مذکور ، حتّی دالّ بر جعل علمیّت درمورد قول خبره هم نیست . جعل علمیت متوقّف بر آن است که مفاد آیه را تعبّد به قول أهل ذکر بدانیم حال که مفاد این آیه تشریع نیست ، بلکه به قرینه مورد آیه که امری اعتقادی است می فهمیم که مدلول « تسبیب به حصول علم » می باشد تکوینا ، نه جعل علمیت تعبّدا ؛ زیرا قول خبره در امور اعتقادی مورد تعبّد شارع و حجت نیست . مراد خدای متعال آن بوده که از علمایتان سوال کنید تا برای شما علم وجدانی حاصل شود ، بعد از تحقّق علم وجدانی هم رابطه ورود است نه حکومت .</w:t>
      </w:r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قرینه دوم بر این استفاده آن است که در بعضی روایت اشاره شده اهل ذکر ائمه علیهم السلام هستند و واضح است قول ایشان برای پیروانشان مفید علم است ، همانگونه که قول علمای اهل کتاب در آن مورد خاصِ آیه برای عموم اهل کتاب علم آور است . پس هر چند مفاد آیه به حسب مدلول استعمالی « علمای اهل کتاب » است اما آیه دلالت روشنی دارد که نکته ی سوال ، علم آور بودن آن است که همین نکته برای ائمه علیهم السلام هم نسبت به پیروانشان ثابت است . همین مطلب را عده ای نسبت به آیه نفر هم گفته اند و مدّعی شده اند تحذیر قوم امری تکوینی است که با علمِ حاصل از انذار منذر ها حاصل می شود ، اما به نظر در آن جا این مطلب صحیح نیست و آیه نفر دلالت بر حجیت تعبّدیه دارد . </w:t>
      </w:r>
    </w:p>
    <w:p w:rsidR="007B3F08" w:rsidRDefault="007B3F08" w:rsidP="007B3F08">
      <w:pPr>
        <w:pStyle w:val="Heading6"/>
        <w:rPr>
          <w:rtl/>
        </w:rPr>
      </w:pPr>
      <w:bookmarkStart w:id="10" w:name="_Toc526718356"/>
      <w:bookmarkStart w:id="11" w:name="_Toc527713415"/>
      <w:r>
        <w:rPr>
          <w:rFonts w:hint="cs"/>
          <w:rtl/>
        </w:rPr>
        <w:t>مناقشه موضوعی : عدم مدخلیت خبرویت</w:t>
      </w:r>
      <w:bookmarkEnd w:id="10"/>
      <w:bookmarkEnd w:id="11"/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علاوه بر اشکال سابق ، تطبیق «أهل الذکر» بر خبره هم قابل التزام نیست ؛ چه آن که مورد آیه ، یعنی سوال از انسان بودن پیامبران سابق ، امری حسی است و از سنخ مسائل حدسیه نیست تا ادعا شود خبیر بودن در آن مدخلیتی دارد .</w:t>
      </w:r>
    </w:p>
    <w:p w:rsidR="007B3F08" w:rsidRDefault="007B3F08" w:rsidP="007B3F08">
      <w:pPr>
        <w:pStyle w:val="Heading1"/>
        <w:rPr>
          <w:rtl/>
        </w:rPr>
      </w:pPr>
      <w:bookmarkStart w:id="12" w:name="_Toc526718357"/>
      <w:bookmarkStart w:id="13" w:name="_Toc527713416"/>
      <w:r>
        <w:rPr>
          <w:rFonts w:hint="cs"/>
          <w:rtl/>
        </w:rPr>
        <w:lastRenderedPageBreak/>
        <w:t>جعل علمیت برای فتوای مجتهد</w:t>
      </w:r>
      <w:bookmarkEnd w:id="12"/>
      <w:bookmarkEnd w:id="13"/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دلیل دیگر ، مقبوله ابن حنظله است . در این مقبوله « عرفان احکام » به عنوان یکی از شرایط فقیهی که حاکم قرار می گیرد ذکر شده : « عرف أحکامنا » . پس برای نظرات اجتهادی فقهاء که جلّ آن ها مستنبط از مدارک ظنّی است ، جعل علمیّت و عرفان صورت گرفته که زمینه ساز حکومت است . 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>به نظر این تقریب برای حکومت بعید نیست صحیح باشد .</w:t>
      </w:r>
    </w:p>
    <w:p w:rsidR="007B3F08" w:rsidRDefault="007B3F08" w:rsidP="007B3F08">
      <w:pPr>
        <w:pStyle w:val="Heading1"/>
        <w:rPr>
          <w:rtl/>
        </w:rPr>
      </w:pPr>
      <w:bookmarkStart w:id="14" w:name="_Toc526718358"/>
      <w:bookmarkStart w:id="15" w:name="_Toc527713417"/>
      <w:r>
        <w:rPr>
          <w:rFonts w:hint="cs"/>
          <w:rtl/>
        </w:rPr>
        <w:t>حقیقت ورود : خروج حقیقی به برکت تعبّد</w:t>
      </w:r>
      <w:bookmarkEnd w:id="14"/>
      <w:bookmarkEnd w:id="15"/>
    </w:p>
    <w:p w:rsidR="007B3F08" w:rsidRDefault="007B3F08" w:rsidP="007B3F08">
      <w:pPr>
        <w:jc w:val="both"/>
        <w:rPr>
          <w:rtl/>
        </w:rPr>
      </w:pPr>
      <w:r>
        <w:rPr>
          <w:rFonts w:hint="cs"/>
          <w:rtl/>
        </w:rPr>
        <w:t xml:space="preserve">   نتیجه ی بیان مرحوم آخوند آن شد که سه گروه مصداق برای تعارض غیرمستقر وجود دارد : موارد حکومت ، توفیق و جمع عرفی . همچنین دو دسته از تنافی میان ادله وجود دارد که تعارض در آن ها مستقرّ است : مواردی که علم به کذب یکی از دو متنافی داریم و موارد جمع تبرّعی . ایشان در کفایه اصلا متعرّض « ورود » نشده اند ؛ زیرا اصلا تنافی در آن رخ نمی دهد . ورود یعنی دلیلی به برکت تعبّد شارع ، حقیقتا موضوع دلیل دیگری را منتفی کند . مثلا موضوع </w:t>
      </w:r>
      <w:r>
        <w:rPr>
          <w:rFonts w:ascii="Times New Roman" w:hAnsi="Times New Roman" w:cs="Times New Roman" w:hint="cs"/>
          <w:rtl/>
        </w:rPr>
        <w:t>﴿</w:t>
      </w:r>
      <w:r>
        <w:rPr>
          <w:rFonts w:hint="cs"/>
          <w:rtl/>
        </w:rPr>
        <w:t xml:space="preserve"> </w:t>
      </w:r>
      <w:r w:rsidRPr="003E78BB">
        <w:rPr>
          <w:rFonts w:hint="cs"/>
          <w:color w:val="008000"/>
          <w:rtl/>
        </w:rPr>
        <w:t xml:space="preserve">ما کنّا معذّبین حتّی نبعث رسولا </w:t>
      </w:r>
      <w:r w:rsidRPr="003E78BB">
        <w:rPr>
          <w:rFonts w:ascii="Times New Roman" w:hAnsi="Times New Roman" w:cs="Times New Roman" w:hint="cs"/>
          <w:color w:val="008000"/>
          <w:rtl/>
        </w:rPr>
        <w:t>﴾</w:t>
      </w:r>
      <w:r>
        <w:rPr>
          <w:rStyle w:val="FootnoteReference"/>
          <w:rFonts w:ascii="Times New Roman" w:hAnsi="Times New Roman" w:cs="Times New Roman"/>
          <w:color w:val="008000"/>
          <w:rtl/>
        </w:rPr>
        <w:footnoteReference w:id="4"/>
      </w:r>
      <w:r>
        <w:rPr>
          <w:rFonts w:ascii="Times New Roman" w:hAnsi="Times New Roman" w:cs="Times New Roman" w:hint="cs"/>
          <w:color w:val="008000"/>
          <w:rtl/>
        </w:rPr>
        <w:t xml:space="preserve"> </w:t>
      </w:r>
      <w:r>
        <w:rPr>
          <w:rFonts w:hint="cs"/>
          <w:rtl/>
        </w:rPr>
        <w:t>که مفادش همان مفاد « قبح عقاب بلا بیان » است ، با اعطاء حجیّت از جانب شرع به خبر حقیقتا</w:t>
      </w:r>
      <w:r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منتفی می شود .</w:t>
      </w:r>
      <w:r>
        <w:rPr>
          <w:rStyle w:val="FootnoteReference"/>
          <w:rtl/>
        </w:rPr>
        <w:footnoteReference w:id="6"/>
      </w:r>
      <w:r>
        <w:rPr>
          <w:rFonts w:hint="cs"/>
          <w:rtl/>
        </w:rPr>
        <w:t xml:space="preserve"> پس انتفاء واقعی موضوع یک دلیل گاهی وابسطه به تعبّد شارع است ، که ورود در همین موارد رخ می دهد ، و گاهی بدون تعبّد ایشان حاصل می شود که آن را تخصّص </w:t>
      </w:r>
      <w:r>
        <w:rPr>
          <w:rStyle w:val="FootnoteReference"/>
          <w:rtl/>
        </w:rPr>
        <w:footnoteReference w:id="7"/>
      </w:r>
      <w:r>
        <w:rPr>
          <w:rFonts w:hint="cs"/>
          <w:rtl/>
        </w:rPr>
        <w:t>می گویند .</w:t>
      </w:r>
    </w:p>
    <w:p w:rsidR="007B3F08" w:rsidRDefault="007B3F08" w:rsidP="007B3F08">
      <w:pPr>
        <w:pStyle w:val="Heading6"/>
        <w:rPr>
          <w:rtl/>
        </w:rPr>
      </w:pPr>
      <w:bookmarkStart w:id="16" w:name="_Toc526718359"/>
      <w:bookmarkStart w:id="17" w:name="_Toc527713418"/>
      <w:r>
        <w:rPr>
          <w:rFonts w:hint="cs"/>
          <w:rtl/>
        </w:rPr>
        <w:t>تفاوت حکومت و ورود</w:t>
      </w:r>
      <w:bookmarkEnd w:id="16"/>
      <w:bookmarkEnd w:id="17"/>
    </w:p>
    <w:p w:rsidR="001A1EA5" w:rsidRPr="006162A2" w:rsidRDefault="007B3F08" w:rsidP="00C27F26">
      <w:pPr>
        <w:jc w:val="both"/>
        <w:rPr>
          <w:rtl/>
        </w:rPr>
      </w:pPr>
      <w:r>
        <w:rPr>
          <w:rFonts w:hint="cs"/>
          <w:rtl/>
        </w:rPr>
        <w:t xml:space="preserve">   یکی از تفاوت های ورود و حکومت هم در همین نکته است ؛ زیرا در ورود موضوع حکم مورود حقیقتا منتفی می شود بر خلاف حکومت که موضوع محکوم حتّی بعد از تعبّد شرعی به حاکم هم پابرجاست .</w:t>
      </w:r>
      <w:r>
        <w:rPr>
          <w:rStyle w:val="FootnoteReference"/>
          <w:rtl/>
        </w:rPr>
        <w:footnoteReference w:id="8"/>
      </w:r>
      <w:r>
        <w:rPr>
          <w:rFonts w:hint="cs"/>
          <w:rtl/>
        </w:rPr>
        <w:t xml:space="preserve"> به همین جهت نتیجه حکومت تخصیص است . تفاوت دیگر ایندو هم در آن است که مورود لازم نیست حتما از مجعولات شرعی باشد ، اما محکوم حتما باید مجعول شرعی باشد زیرا که یک حاکم نمی تواند در اعتبارات حاکم دیگر تصرّف کند .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A92" w:rsidRDefault="001C7A92" w:rsidP="008B750B">
      <w:pPr>
        <w:spacing w:line="240" w:lineRule="auto"/>
      </w:pPr>
      <w:r>
        <w:separator/>
      </w:r>
    </w:p>
  </w:endnote>
  <w:endnote w:type="continuationSeparator" w:id="0">
    <w:p w:rsidR="001C7A92" w:rsidRDefault="001C7A9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80D6B" w:rsidRPr="00480D6B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5226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5" w:name="BokAdres"/>
          <w:bookmarkEnd w:id="25"/>
          <w:r>
            <w:rPr>
              <w:color w:val="808080" w:themeColor="background1" w:themeShade="80"/>
            </w:rPr>
            <w:t>U1mq1_13970715-009_ab1_mfeb.ir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A92" w:rsidRDefault="001C7A92" w:rsidP="008B750B">
      <w:pPr>
        <w:spacing w:line="240" w:lineRule="auto"/>
      </w:pPr>
      <w:r>
        <w:separator/>
      </w:r>
    </w:p>
  </w:footnote>
  <w:footnote w:type="continuationSeparator" w:id="0">
    <w:p w:rsidR="001C7A92" w:rsidRDefault="001C7A92" w:rsidP="008B750B">
      <w:pPr>
        <w:spacing w:line="240" w:lineRule="auto"/>
      </w:pPr>
      <w:r>
        <w:continuationSeparator/>
      </w:r>
    </w:p>
  </w:footnote>
  <w:footnote w:id="1">
    <w:p w:rsidR="007B3F08" w:rsidRPr="00F2611B" w:rsidRDefault="007B3F08" w:rsidP="007B3F08">
      <w:pPr>
        <w:pStyle w:val="FootnoteText"/>
        <w:jc w:val="both"/>
      </w:pPr>
      <w:r w:rsidRPr="00F2611B">
        <w:t>.</w:t>
      </w:r>
      <w:r w:rsidRPr="00F2611B">
        <w:footnoteRef/>
      </w:r>
      <w:r w:rsidRPr="00F2611B">
        <w:rPr>
          <w:rtl/>
        </w:rPr>
        <w:t xml:space="preserve"> </w:t>
      </w:r>
      <w:hyperlink r:id="rId1" w:history="1">
        <w:r w:rsidRPr="00F2611B">
          <w:rPr>
            <w:rStyle w:val="Hyperlink"/>
            <w:rtl/>
          </w:rPr>
          <w:t>وسائل الش</w:t>
        </w:r>
        <w:r w:rsidRPr="00F2611B">
          <w:rPr>
            <w:rStyle w:val="Hyperlink"/>
            <w:rFonts w:hint="cs"/>
            <w:rtl/>
          </w:rPr>
          <w:t>ی</w:t>
        </w:r>
        <w:r w:rsidRPr="00F2611B">
          <w:rPr>
            <w:rStyle w:val="Hyperlink"/>
            <w:rFonts w:hint="eastAsia"/>
            <w:rtl/>
          </w:rPr>
          <w:t>عة،</w:t>
        </w:r>
        <w:r w:rsidRPr="00F2611B">
          <w:rPr>
            <w:rStyle w:val="Hyperlink"/>
            <w:rtl/>
          </w:rPr>
          <w:t xml:space="preserve"> الش</w:t>
        </w:r>
        <w:r w:rsidRPr="00F2611B">
          <w:rPr>
            <w:rStyle w:val="Hyperlink"/>
            <w:rFonts w:hint="cs"/>
            <w:rtl/>
          </w:rPr>
          <w:t>ی</w:t>
        </w:r>
        <w:r w:rsidRPr="00F2611B">
          <w:rPr>
            <w:rStyle w:val="Hyperlink"/>
            <w:rFonts w:hint="eastAsia"/>
            <w:rtl/>
          </w:rPr>
          <w:t>خ</w:t>
        </w:r>
        <w:r w:rsidRPr="00F2611B">
          <w:rPr>
            <w:rStyle w:val="Hyperlink"/>
            <w:rtl/>
          </w:rPr>
          <w:t xml:space="preserve"> الحر العاملي، ج27، ص150، أبواب ، باب، ح، ط آل البيت</w:t>
        </w:r>
        <w:r w:rsidRPr="00F2611B">
          <w:rPr>
            <w:rStyle w:val="Hyperlink"/>
          </w:rPr>
          <w:t>.</w:t>
        </w:r>
      </w:hyperlink>
    </w:p>
  </w:footnote>
  <w:footnote w:id="2">
    <w:p w:rsidR="00480D6B" w:rsidRPr="00480D6B" w:rsidRDefault="00480D6B" w:rsidP="00480D6B">
      <w:pPr>
        <w:pStyle w:val="FootnoteText"/>
        <w:rPr>
          <w:rFonts w:hint="cs"/>
          <w:rtl/>
        </w:rPr>
      </w:pPr>
      <w:r w:rsidRPr="00480D6B">
        <w:footnoteRef/>
      </w:r>
      <w:r>
        <w:rPr>
          <w:rFonts w:hint="cs"/>
          <w:rtl/>
        </w:rPr>
        <w:t>.</w:t>
      </w:r>
      <w:bookmarkStart w:id="7" w:name="_GoBack"/>
      <w:bookmarkEnd w:id="7"/>
      <w:r w:rsidRPr="00480D6B">
        <w:rPr>
          <w:rtl/>
        </w:rPr>
        <w:t xml:space="preserve"> </w:t>
      </w:r>
      <w:r w:rsidRPr="00480D6B">
        <w:rPr>
          <w:rFonts w:hint="eastAsia"/>
          <w:rtl/>
        </w:rPr>
        <w:t>سوره</w:t>
      </w:r>
      <w:r w:rsidRPr="00480D6B">
        <w:rPr>
          <w:rtl/>
        </w:rPr>
        <w:t xml:space="preserve"> نحل، آيه 43.</w:t>
      </w:r>
    </w:p>
  </w:footnote>
  <w:footnote w:id="3">
    <w:p w:rsidR="007B3F08" w:rsidRPr="00F2611B" w:rsidRDefault="007B3F08" w:rsidP="007B3F08">
      <w:pPr>
        <w:pStyle w:val="FootnoteText"/>
        <w:jc w:val="both"/>
        <w:rPr>
          <w:rtl/>
        </w:rPr>
      </w:pPr>
      <w:r w:rsidRPr="00F2611B">
        <w:footnoteRef/>
      </w:r>
      <w:r w:rsidRPr="00F2611B">
        <w:rPr>
          <w:rFonts w:hint="cs"/>
          <w:rtl/>
        </w:rPr>
        <w:t>.</w:t>
      </w:r>
      <w:r w:rsidRPr="00F2611B">
        <w:rPr>
          <w:rtl/>
        </w:rPr>
        <w:t xml:space="preserve"> نها</w:t>
      </w:r>
      <w:r w:rsidRPr="00F2611B">
        <w:rPr>
          <w:rFonts w:hint="cs"/>
          <w:rtl/>
        </w:rPr>
        <w:t>ی</w:t>
      </w:r>
      <w:r w:rsidRPr="00F2611B">
        <w:rPr>
          <w:rFonts w:hint="eastAsia"/>
          <w:rtl/>
        </w:rPr>
        <w:t>ة</w:t>
      </w:r>
      <w:r w:rsidRPr="00F2611B">
        <w:rPr>
          <w:rtl/>
        </w:rPr>
        <w:t xml:space="preserve"> الدرا</w:t>
      </w:r>
      <w:r w:rsidRPr="00F2611B">
        <w:rPr>
          <w:rFonts w:hint="cs"/>
          <w:rtl/>
        </w:rPr>
        <w:t>ی</w:t>
      </w:r>
      <w:r w:rsidRPr="00F2611B">
        <w:rPr>
          <w:rFonts w:hint="eastAsia"/>
          <w:rtl/>
        </w:rPr>
        <w:t>ه</w:t>
      </w:r>
      <w:r w:rsidRPr="00F2611B">
        <w:rPr>
          <w:rtl/>
        </w:rPr>
        <w:t xml:space="preserve"> ف</w:t>
      </w:r>
      <w:r w:rsidRPr="00F2611B">
        <w:rPr>
          <w:rFonts w:hint="cs"/>
          <w:rtl/>
        </w:rPr>
        <w:t>ی</w:t>
      </w:r>
      <w:r w:rsidRPr="00F2611B">
        <w:rPr>
          <w:rtl/>
        </w:rPr>
        <w:t xml:space="preserve"> شرح الکفا</w:t>
      </w:r>
      <w:r w:rsidRPr="00F2611B">
        <w:rPr>
          <w:rFonts w:hint="cs"/>
          <w:rtl/>
        </w:rPr>
        <w:t>ی</w:t>
      </w:r>
      <w:r w:rsidRPr="00F2611B">
        <w:rPr>
          <w:rFonts w:hint="eastAsia"/>
          <w:rtl/>
        </w:rPr>
        <w:t>ه</w:t>
      </w:r>
      <w:r w:rsidRPr="00F2611B">
        <w:rPr>
          <w:rFonts w:hint="cs"/>
          <w:rtl/>
        </w:rPr>
        <w:t xml:space="preserve"> ، طبع قدیم </w:t>
      </w:r>
      <w:r w:rsidRPr="00F2611B">
        <w:rPr>
          <w:rFonts w:hint="eastAsia"/>
          <w:rtl/>
        </w:rPr>
        <w:t>،</w:t>
      </w:r>
      <w:r w:rsidRPr="00F2611B">
        <w:rPr>
          <w:rtl/>
        </w:rPr>
        <w:t xml:space="preserve"> محمد حس</w:t>
      </w:r>
      <w:r w:rsidRPr="00F2611B">
        <w:rPr>
          <w:rFonts w:hint="cs"/>
          <w:rtl/>
        </w:rPr>
        <w:t>ی</w:t>
      </w:r>
      <w:r w:rsidRPr="00F2611B">
        <w:rPr>
          <w:rFonts w:hint="eastAsia"/>
          <w:rtl/>
        </w:rPr>
        <w:t>ن</w:t>
      </w:r>
      <w:r w:rsidRPr="00F2611B">
        <w:rPr>
          <w:rtl/>
        </w:rPr>
        <w:t xml:space="preserve"> اصفهان</w:t>
      </w:r>
      <w:r w:rsidRPr="00F2611B">
        <w:rPr>
          <w:rFonts w:hint="cs"/>
          <w:rtl/>
        </w:rPr>
        <w:t xml:space="preserve">ی </w:t>
      </w:r>
      <w:r w:rsidRPr="00F2611B">
        <w:rPr>
          <w:rFonts w:hint="eastAsia"/>
          <w:rtl/>
        </w:rPr>
        <w:t>،</w:t>
      </w:r>
      <w:r w:rsidRPr="00F2611B">
        <w:rPr>
          <w:rtl/>
        </w:rPr>
        <w:t xml:space="preserve"> ج3</w:t>
      </w:r>
      <w:r w:rsidRPr="00F2611B">
        <w:rPr>
          <w:rFonts w:hint="cs"/>
          <w:rtl/>
        </w:rPr>
        <w:t xml:space="preserve"> </w:t>
      </w:r>
      <w:r w:rsidRPr="00F2611B">
        <w:rPr>
          <w:rtl/>
        </w:rPr>
        <w:t>، ص323</w:t>
      </w:r>
    </w:p>
  </w:footnote>
  <w:footnote w:id="4">
    <w:p w:rsidR="007B3F08" w:rsidRPr="00F2611B" w:rsidRDefault="007B3F08" w:rsidP="007B3F08">
      <w:pPr>
        <w:pStyle w:val="FootnoteText"/>
        <w:jc w:val="both"/>
      </w:pPr>
      <w:r w:rsidRPr="00F2611B">
        <w:footnoteRef/>
      </w:r>
      <w:r w:rsidRPr="00F2611B">
        <w:rPr>
          <w:rFonts w:hint="cs"/>
          <w:rtl/>
        </w:rPr>
        <w:t>.</w:t>
      </w:r>
      <w:r w:rsidRPr="00F2611B">
        <w:rPr>
          <w:rtl/>
        </w:rPr>
        <w:t xml:space="preserve"> </w:t>
      </w:r>
      <w:r w:rsidRPr="00F2611B">
        <w:rPr>
          <w:rFonts w:hint="eastAsia"/>
          <w:rtl/>
        </w:rPr>
        <w:t>سوره</w:t>
      </w:r>
      <w:r w:rsidRPr="00F2611B">
        <w:rPr>
          <w:rtl/>
        </w:rPr>
        <w:t xml:space="preserve"> اسراء</w:t>
      </w:r>
      <w:r w:rsidRPr="00F2611B">
        <w:rPr>
          <w:rFonts w:hint="cs"/>
          <w:rtl/>
        </w:rPr>
        <w:t xml:space="preserve"> </w:t>
      </w:r>
      <w:r w:rsidRPr="00F2611B">
        <w:rPr>
          <w:rtl/>
        </w:rPr>
        <w:t>، آيه 15</w:t>
      </w:r>
    </w:p>
  </w:footnote>
  <w:footnote w:id="5">
    <w:p w:rsidR="007B3F08" w:rsidRPr="00F2611B" w:rsidRDefault="007B3F08" w:rsidP="007B3F08">
      <w:pPr>
        <w:pStyle w:val="FootnoteText"/>
        <w:jc w:val="both"/>
      </w:pPr>
      <w:r w:rsidRPr="00F2611B">
        <w:rPr>
          <w:rStyle w:val="FootnoteReference"/>
          <w:vertAlign w:val="baseline"/>
        </w:rPr>
        <w:footnoteRef/>
      </w:r>
      <w:r w:rsidRPr="00F2611B">
        <w:rPr>
          <w:rFonts w:hint="cs"/>
          <w:rtl/>
        </w:rPr>
        <w:t>. بنابراین که موضوع برائت شرعیه « عدم الحجه » باشد ، اما اگر موضوع آن را « عدم العلم » بدانیم ، رابطه حکومت است بنا بر بعضی مبانی .</w:t>
      </w:r>
    </w:p>
  </w:footnote>
  <w:footnote w:id="6">
    <w:p w:rsidR="007B3F08" w:rsidRPr="00F2611B" w:rsidRDefault="007B3F08" w:rsidP="007B3F08">
      <w:pPr>
        <w:pStyle w:val="FootnoteText"/>
        <w:jc w:val="both"/>
        <w:rPr>
          <w:rtl/>
        </w:rPr>
      </w:pPr>
      <w:r w:rsidRPr="00F2611B">
        <w:rPr>
          <w:rStyle w:val="FootnoteReference"/>
          <w:vertAlign w:val="baseline"/>
        </w:rPr>
        <w:footnoteRef/>
      </w:r>
      <w:r w:rsidRPr="00F2611B">
        <w:rPr>
          <w:rFonts w:hint="cs"/>
          <w:rtl/>
        </w:rPr>
        <w:t>. پس اصلا تعارض حتّی بدوی هم رخ نمی دهد بدان جهت که تحقّق تنافی فرع بر وحدت موضوع است .</w:t>
      </w:r>
    </w:p>
  </w:footnote>
  <w:footnote w:id="7">
    <w:p w:rsidR="007B3F08" w:rsidRPr="00F2611B" w:rsidRDefault="007B3F08" w:rsidP="007B3F08">
      <w:pPr>
        <w:pStyle w:val="FootnoteText"/>
        <w:jc w:val="both"/>
      </w:pPr>
      <w:r w:rsidRPr="00F2611B">
        <w:rPr>
          <w:rStyle w:val="FootnoteReference"/>
          <w:vertAlign w:val="baseline"/>
        </w:rPr>
        <w:footnoteRef/>
      </w:r>
      <w:r w:rsidRPr="00F2611B">
        <w:rPr>
          <w:rFonts w:hint="cs"/>
          <w:rtl/>
        </w:rPr>
        <w:t>. خروج تخصّ</w:t>
      </w:r>
      <w:r>
        <w:rPr>
          <w:rFonts w:hint="cs"/>
          <w:rtl/>
        </w:rPr>
        <w:t>ص از تعارض واضح تر از ورود</w:t>
      </w:r>
      <w:r w:rsidRPr="00F2611B">
        <w:rPr>
          <w:rFonts w:hint="cs"/>
          <w:rtl/>
        </w:rPr>
        <w:t xml:space="preserve"> است ؛ زیرا هیچ نیازی به اعمال تعبّد در آن وجود ندارد . مانند خروج تخصصی علم یا ظن در مبنای حکومت از « قبح عقاب بلا بیان » . بر خلاف حجیت ظنّ مطابق مبنای کشف که وارد است .</w:t>
      </w:r>
    </w:p>
  </w:footnote>
  <w:footnote w:id="8">
    <w:p w:rsidR="007B3F08" w:rsidRPr="00F2611B" w:rsidRDefault="007B3F08" w:rsidP="007B3F08">
      <w:pPr>
        <w:pStyle w:val="FootnoteText"/>
        <w:jc w:val="both"/>
        <w:rPr>
          <w:rtl/>
        </w:rPr>
      </w:pPr>
      <w:r w:rsidRPr="00F2611B">
        <w:rPr>
          <w:rStyle w:val="FootnoteReference"/>
          <w:vertAlign w:val="baseline"/>
        </w:rPr>
        <w:footnoteRef/>
      </w:r>
      <w:r w:rsidRPr="00F2611B">
        <w:rPr>
          <w:rFonts w:hint="cs"/>
          <w:rtl/>
        </w:rPr>
        <w:t>. حتّی اگر حاکم را شارح مراد استعمالی بدانیم ، باز هم موضوع محکوم حقیقتا منتقی نمی شود زیرا ملحوظ و ملاک دلالت وضعیه الفاظ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8" w:name="BokNum"/>
    <w:bookmarkEnd w:id="18"/>
    <w:r w:rsidR="0005226E">
      <w:rPr>
        <w:b/>
        <w:bCs/>
        <w:sz w:val="20"/>
        <w:szCs w:val="24"/>
        <w:rtl/>
      </w:rPr>
      <w:t>009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9" w:name="Bokdars"/>
    <w:bookmarkEnd w:id="19"/>
    <w:r w:rsidR="0005226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0" w:name="Bokostad"/>
    <w:bookmarkEnd w:id="20"/>
    <w:r w:rsidR="0005226E">
      <w:rPr>
        <w:b/>
        <w:bCs/>
        <w:color w:val="632423" w:themeColor="accent2" w:themeShade="80"/>
        <w:sz w:val="20"/>
        <w:szCs w:val="24"/>
        <w:rtl/>
      </w:rPr>
      <w:t>قائ</w:t>
    </w:r>
    <w:r w:rsidR="0005226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05226E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05226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1" w:name="BokTarikh"/>
    <w:bookmarkEnd w:id="21"/>
    <w:r w:rsidR="0005226E">
      <w:rPr>
        <w:sz w:val="24"/>
        <w:szCs w:val="24"/>
        <w:rtl/>
      </w:rPr>
      <w:t>15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2" w:name="BokSabj"/>
    <w:bookmarkEnd w:id="22"/>
    <w:r w:rsidR="0005226E">
      <w:rPr>
        <w:color w:val="000000" w:themeColor="text1"/>
        <w:sz w:val="24"/>
        <w:szCs w:val="24"/>
        <w:rtl/>
      </w:rPr>
      <w:t>تعارض غ</w:t>
    </w:r>
    <w:r w:rsidR="0005226E">
      <w:rPr>
        <w:rFonts w:hint="cs"/>
        <w:color w:val="000000" w:themeColor="text1"/>
        <w:sz w:val="24"/>
        <w:szCs w:val="24"/>
        <w:rtl/>
      </w:rPr>
      <w:t>ی</w:t>
    </w:r>
    <w:r w:rsidR="0005226E">
      <w:rPr>
        <w:rFonts w:hint="eastAsia"/>
        <w:color w:val="000000" w:themeColor="text1"/>
        <w:sz w:val="24"/>
        <w:szCs w:val="24"/>
        <w:rtl/>
      </w:rPr>
      <w:t>ر</w:t>
    </w:r>
    <w:r w:rsidR="0005226E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3" w:name="Bokmoqarer"/>
    <w:bookmarkEnd w:id="23"/>
    <w:r w:rsidR="0005226E">
      <w:rPr>
        <w:sz w:val="24"/>
        <w:szCs w:val="24"/>
        <w:rtl/>
      </w:rPr>
      <w:t>عل</w:t>
    </w:r>
    <w:r w:rsidR="0005226E">
      <w:rPr>
        <w:rFonts w:hint="cs"/>
        <w:sz w:val="24"/>
        <w:szCs w:val="24"/>
        <w:rtl/>
      </w:rPr>
      <w:t>ی</w:t>
    </w:r>
    <w:r w:rsidR="0005226E">
      <w:rPr>
        <w:sz w:val="24"/>
        <w:szCs w:val="24"/>
        <w:rtl/>
      </w:rPr>
      <w:t xml:space="preserve"> بهادرزا</w:t>
    </w:r>
    <w:r w:rsidR="0005226E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4" w:name="BokSabj2"/>
    <w:bookmarkEnd w:id="24"/>
    <w:r w:rsidR="0005226E">
      <w:rPr>
        <w:sz w:val="24"/>
        <w:szCs w:val="24"/>
        <w:rtl/>
      </w:rPr>
      <w:t>مفاد ادله اعتبار اماره - ورود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226E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7A9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74A61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0D6B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1FF2"/>
    <w:rsid w:val="00795E02"/>
    <w:rsid w:val="007979D0"/>
    <w:rsid w:val="007A4E18"/>
    <w:rsid w:val="007A7B8C"/>
    <w:rsid w:val="007B3F08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27F26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29AE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598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7/15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50A35-C688-46EE-A4DA-3F34CE5F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</TotalTime>
  <Pages>3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5415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8</cp:revision>
  <dcterms:created xsi:type="dcterms:W3CDTF">2018-10-19T08:23:00Z</dcterms:created>
  <dcterms:modified xsi:type="dcterms:W3CDTF">2018-11-03T10:59:00Z</dcterms:modified>
  <cp:contentStatus>ویرایش 2.5</cp:contentStatus>
  <cp:version>2.7</cp:version>
</cp:coreProperties>
</file>