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9C66D5">
      <w:pPr>
        <w:jc w:val="center"/>
        <w:rPr>
          <w:rtl/>
        </w:rPr>
      </w:pPr>
      <w:bookmarkStart w:id="0" w:name="_GoBack"/>
      <w:bookmarkEnd w:id="0"/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220F" w:rsidRDefault="00D4220F" w:rsidP="00D4220F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fldChar w:fldCharType="begin"/>
      </w:r>
      <w:r>
        <w:instrText xml:space="preserve"> TOC \o "1-9" \h \z \u </w:instrText>
      </w:r>
      <w:r>
        <w:fldChar w:fldCharType="separate"/>
      </w:r>
      <w:hyperlink w:anchor="_Toc527713674" w:history="1">
        <w:r w:rsidRPr="0032597B">
          <w:rPr>
            <w:rStyle w:val="Hyperlink"/>
            <w:noProof/>
            <w:rtl/>
          </w:rPr>
          <w:t>اقسام ورود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Toc527713674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D4220F" w:rsidRDefault="00D6385C" w:rsidP="00D4220F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27713675" w:history="1">
        <w:r w:rsidR="00D4220F" w:rsidRPr="0032597B">
          <w:rPr>
            <w:rStyle w:val="Hyperlink"/>
            <w:noProof/>
            <w:rtl/>
          </w:rPr>
          <w:t>قسم چهارم : ورود به لحاظ تنجّز</w:t>
        </w:r>
        <w:r w:rsidR="00D4220F">
          <w:rPr>
            <w:noProof/>
            <w:webHidden/>
            <w:rtl/>
          </w:rPr>
          <w:tab/>
        </w:r>
        <w:r w:rsidR="00D4220F">
          <w:rPr>
            <w:rStyle w:val="Hyperlink"/>
            <w:noProof/>
            <w:rtl/>
          </w:rPr>
          <w:fldChar w:fldCharType="begin"/>
        </w:r>
        <w:r w:rsidR="00D4220F">
          <w:rPr>
            <w:noProof/>
            <w:webHidden/>
            <w:rtl/>
          </w:rPr>
          <w:instrText xml:space="preserve"> </w:instrText>
        </w:r>
        <w:r w:rsidR="00D4220F">
          <w:rPr>
            <w:noProof/>
            <w:webHidden/>
          </w:rPr>
          <w:instrText>PAGEREF</w:instrText>
        </w:r>
        <w:r w:rsidR="00D4220F">
          <w:rPr>
            <w:noProof/>
            <w:webHidden/>
            <w:rtl/>
          </w:rPr>
          <w:instrText xml:space="preserve"> _</w:instrText>
        </w:r>
        <w:r w:rsidR="00D4220F">
          <w:rPr>
            <w:noProof/>
            <w:webHidden/>
          </w:rPr>
          <w:instrText>Toc527713675 \h</w:instrText>
        </w:r>
        <w:r w:rsidR="00D4220F">
          <w:rPr>
            <w:noProof/>
            <w:webHidden/>
            <w:rtl/>
          </w:rPr>
          <w:instrText xml:space="preserve"> </w:instrText>
        </w:r>
        <w:r w:rsidR="00D4220F">
          <w:rPr>
            <w:rStyle w:val="Hyperlink"/>
            <w:noProof/>
            <w:rtl/>
          </w:rPr>
        </w:r>
        <w:r w:rsidR="00D4220F">
          <w:rPr>
            <w:rStyle w:val="Hyperlink"/>
            <w:noProof/>
            <w:rtl/>
          </w:rPr>
          <w:fldChar w:fldCharType="separate"/>
        </w:r>
        <w:r w:rsidR="00D4220F">
          <w:rPr>
            <w:noProof/>
            <w:webHidden/>
            <w:rtl/>
          </w:rPr>
          <w:t>1</w:t>
        </w:r>
        <w:r w:rsidR="00D4220F">
          <w:rPr>
            <w:rStyle w:val="Hyperlink"/>
            <w:noProof/>
            <w:rtl/>
          </w:rPr>
          <w:fldChar w:fldCharType="end"/>
        </w:r>
      </w:hyperlink>
    </w:p>
    <w:p w:rsidR="00D4220F" w:rsidRDefault="00D6385C" w:rsidP="00D4220F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27713676" w:history="1">
        <w:r w:rsidR="00D4220F" w:rsidRPr="0032597B">
          <w:rPr>
            <w:rStyle w:val="Hyperlink"/>
            <w:noProof/>
            <w:rtl/>
          </w:rPr>
          <w:t>قسم پنجم : ورود به لحاظ امتثال</w:t>
        </w:r>
        <w:r w:rsidR="00D4220F">
          <w:rPr>
            <w:noProof/>
            <w:webHidden/>
            <w:rtl/>
          </w:rPr>
          <w:tab/>
        </w:r>
        <w:r w:rsidR="00D4220F">
          <w:rPr>
            <w:rStyle w:val="Hyperlink"/>
            <w:noProof/>
            <w:rtl/>
          </w:rPr>
          <w:fldChar w:fldCharType="begin"/>
        </w:r>
        <w:r w:rsidR="00D4220F">
          <w:rPr>
            <w:noProof/>
            <w:webHidden/>
            <w:rtl/>
          </w:rPr>
          <w:instrText xml:space="preserve"> </w:instrText>
        </w:r>
        <w:r w:rsidR="00D4220F">
          <w:rPr>
            <w:noProof/>
            <w:webHidden/>
          </w:rPr>
          <w:instrText>PAGEREF</w:instrText>
        </w:r>
        <w:r w:rsidR="00D4220F">
          <w:rPr>
            <w:noProof/>
            <w:webHidden/>
            <w:rtl/>
          </w:rPr>
          <w:instrText xml:space="preserve"> _</w:instrText>
        </w:r>
        <w:r w:rsidR="00D4220F">
          <w:rPr>
            <w:noProof/>
            <w:webHidden/>
          </w:rPr>
          <w:instrText>Toc527713676 \h</w:instrText>
        </w:r>
        <w:r w:rsidR="00D4220F">
          <w:rPr>
            <w:noProof/>
            <w:webHidden/>
            <w:rtl/>
          </w:rPr>
          <w:instrText xml:space="preserve"> </w:instrText>
        </w:r>
        <w:r w:rsidR="00D4220F">
          <w:rPr>
            <w:rStyle w:val="Hyperlink"/>
            <w:noProof/>
            <w:rtl/>
          </w:rPr>
        </w:r>
        <w:r w:rsidR="00D4220F">
          <w:rPr>
            <w:rStyle w:val="Hyperlink"/>
            <w:noProof/>
            <w:rtl/>
          </w:rPr>
          <w:fldChar w:fldCharType="separate"/>
        </w:r>
        <w:r w:rsidR="00D4220F">
          <w:rPr>
            <w:noProof/>
            <w:webHidden/>
            <w:rtl/>
          </w:rPr>
          <w:t>2</w:t>
        </w:r>
        <w:r w:rsidR="00D4220F">
          <w:rPr>
            <w:rStyle w:val="Hyperlink"/>
            <w:noProof/>
            <w:rtl/>
          </w:rPr>
          <w:fldChar w:fldCharType="end"/>
        </w:r>
      </w:hyperlink>
    </w:p>
    <w:p w:rsidR="00F343FB" w:rsidRPr="00A6366F" w:rsidRDefault="00D4220F" w:rsidP="00834F23">
      <w:r>
        <w:fldChar w:fldCharType="end"/>
      </w:r>
      <w:r w:rsidR="00F842AD" w:rsidRPr="009C66D5">
        <w:rPr>
          <w:rStyle w:val="Emphasis"/>
          <w:rFonts w:hint="cs"/>
          <w:b/>
          <w:bCs w:val="0"/>
          <w:rtl/>
        </w:rPr>
        <w:t>موضوع</w:t>
      </w:r>
      <w:r w:rsidR="00F842AD"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1" w:name="BokSabj2_d"/>
      <w:bookmarkEnd w:id="1"/>
      <w:r w:rsidR="00B4192C">
        <w:rPr>
          <w:rtl/>
        </w:rPr>
        <w:t>اقسام ورود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2" w:name="BokSabj_d"/>
      <w:bookmarkEnd w:id="2"/>
      <w:r w:rsidR="00B4192C">
        <w:rPr>
          <w:rtl/>
        </w:rPr>
        <w:t>تعارض غ</w:t>
      </w:r>
      <w:r w:rsidR="00B4192C">
        <w:rPr>
          <w:rFonts w:hint="cs"/>
          <w:rtl/>
        </w:rPr>
        <w:t>ی</w:t>
      </w:r>
      <w:r w:rsidR="00B4192C">
        <w:rPr>
          <w:rFonts w:hint="eastAsia"/>
          <w:rtl/>
        </w:rPr>
        <w:t>ر</w:t>
      </w:r>
      <w:r w:rsidR="00B4192C">
        <w:rPr>
          <w:rtl/>
        </w:rPr>
        <w:t xml:space="preserve"> مستقر</w:t>
      </w:r>
      <w:r w:rsidR="00386C11" w:rsidRPr="00A6366F">
        <w:rPr>
          <w:rFonts w:hint="cs"/>
          <w:rtl/>
        </w:rPr>
        <w:t xml:space="preserve"> /</w:t>
      </w:r>
      <w:bookmarkStart w:id="3" w:name="Bokkolli"/>
      <w:bookmarkEnd w:id="3"/>
      <w:r w:rsidR="00B4192C">
        <w:rPr>
          <w:rtl/>
        </w:rPr>
        <w:t>تعارض ادله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247D2F" w:rsidRPr="003A6148" w:rsidRDefault="00690AE5" w:rsidP="00690AE5">
      <w:pPr>
        <w:pBdr>
          <w:bottom w:val="double" w:sz="6" w:space="1" w:color="auto"/>
        </w:pBdr>
        <w:jc w:val="both"/>
      </w:pPr>
      <w:r>
        <w:rPr>
          <w:rFonts w:hint="cs"/>
          <w:rtl/>
        </w:rPr>
        <w:t xml:space="preserve">   مرحوم صدر مصادیق « ورود » یک دلیل بر دلیل دیگر را در پنج صنف تصویر کردند که سه گروه از آنان گذشت : ورود یک دلیل بر دلیل دیگر به لحاظ جعلش ، ورود یک دلیل بر دلیل دیگر به لحاظ فعلیتش و ورود یک دلیل بر دلیل دیگر به لحاظ وصولش .</w:t>
      </w:r>
    </w:p>
    <w:p w:rsidR="008F5B4D" w:rsidRDefault="008F5B4D" w:rsidP="003A6148"/>
    <w:p w:rsidR="00AD3739" w:rsidRDefault="00AD3739" w:rsidP="00AD3739">
      <w:pPr>
        <w:pStyle w:val="Heading1"/>
        <w:rPr>
          <w:rtl/>
        </w:rPr>
      </w:pPr>
      <w:bookmarkStart w:id="4" w:name="_Toc526862809"/>
      <w:bookmarkStart w:id="5" w:name="_Toc526870811"/>
      <w:bookmarkStart w:id="6" w:name="_Toc526945273"/>
      <w:bookmarkStart w:id="7" w:name="_Toc527713674"/>
      <w:r>
        <w:rPr>
          <w:rFonts w:hint="cs"/>
          <w:rtl/>
        </w:rPr>
        <w:t>اقسام ورود</w:t>
      </w:r>
      <w:bookmarkEnd w:id="4"/>
      <w:bookmarkEnd w:id="5"/>
      <w:bookmarkEnd w:id="6"/>
      <w:bookmarkEnd w:id="7"/>
    </w:p>
    <w:p w:rsidR="00AD3739" w:rsidRDefault="00AD3739" w:rsidP="00AD3739">
      <w:pPr>
        <w:rPr>
          <w:rtl/>
        </w:rPr>
      </w:pPr>
      <w:r>
        <w:rPr>
          <w:rFonts w:hint="cs"/>
          <w:rtl/>
        </w:rPr>
        <w:t xml:space="preserve">   اما دو صنف از اصناف ورود باقی ماند که باید مورد کنکاش قرار گیرند .</w:t>
      </w:r>
    </w:p>
    <w:p w:rsidR="00AD3739" w:rsidRDefault="00AD3739" w:rsidP="00AD3739">
      <w:pPr>
        <w:pStyle w:val="Heading6"/>
        <w:rPr>
          <w:rtl/>
        </w:rPr>
      </w:pPr>
      <w:bookmarkStart w:id="8" w:name="_Toc526862810"/>
      <w:bookmarkStart w:id="9" w:name="_Toc526870812"/>
      <w:bookmarkStart w:id="10" w:name="_Toc526945274"/>
      <w:bookmarkStart w:id="11" w:name="_Toc527713675"/>
      <w:r>
        <w:rPr>
          <w:rFonts w:hint="cs"/>
          <w:rtl/>
        </w:rPr>
        <w:t>قسم چهارم : ورود به لحاظ تنجّز</w:t>
      </w:r>
      <w:bookmarkEnd w:id="8"/>
      <w:bookmarkEnd w:id="9"/>
      <w:bookmarkEnd w:id="10"/>
      <w:bookmarkEnd w:id="11"/>
    </w:p>
    <w:p w:rsidR="00AD3739" w:rsidRDefault="00AD3739" w:rsidP="00AD3739">
      <w:pPr>
        <w:jc w:val="both"/>
        <w:rPr>
          <w:color w:val="000000"/>
          <w:rtl/>
        </w:rPr>
      </w:pPr>
      <w:r>
        <w:rPr>
          <w:rFonts w:hint="cs"/>
          <w:rtl/>
        </w:rPr>
        <w:t xml:space="preserve">   دسته چهارم از مصادیق ورود صنفی است که در آن دلیل وارد متکفّل حکمی است که تنجّز آن حکم ، رافع موضوع حکم در دلیل مورود است . یعنی موضوع یک حکم مقیّد به عدم تنجّز حکم دیگر است . مثال فقهی این صنف موارد تزاحم می باشد بنا بر قول به استحاله ترتّب .</w:t>
      </w:r>
      <w:r>
        <w:rPr>
          <w:rFonts w:hint="cs"/>
          <w:color w:val="000000"/>
          <w:rtl/>
        </w:rPr>
        <w:t xml:space="preserve"> </w:t>
      </w:r>
      <w:r>
        <w:rPr>
          <w:rStyle w:val="FootnoteReference"/>
          <w:color w:val="000000"/>
          <w:rtl/>
        </w:rPr>
        <w:footnoteReference w:id="1"/>
      </w:r>
    </w:p>
    <w:p w:rsidR="00AD3739" w:rsidRDefault="00AD3739" w:rsidP="00AD3739">
      <w:pPr>
        <w:jc w:val="both"/>
        <w:rPr>
          <w:color w:val="000000"/>
          <w:rtl/>
        </w:rPr>
      </w:pPr>
      <w:r>
        <w:rPr>
          <w:rFonts w:hint="cs"/>
          <w:color w:val="000000"/>
          <w:rtl/>
        </w:rPr>
        <w:t xml:space="preserve">   در این تحلیل دلیل متضمّن هر حکم مقیّد است در ناحیه موضوع خود به عدم تنجّز منافی أهمّ در مقام امتثال . اگر شارع امر منجّز به ازاله نجاست داشته باشد ، دیگر نمی تواند همزمان امر به صلات داشته باشد . بنابر امتناع ترتّب اطلاق امر صلاتی نسبت به موارد تنجّز ازاله معقول نیست ؛ زیرا از جانب اطلاق امر به أهمّ بازگشت به طلب جمع ضدین دارد . </w:t>
      </w:r>
    </w:p>
    <w:p w:rsidR="00AD3739" w:rsidRDefault="00AD3739" w:rsidP="00AD3739">
      <w:pPr>
        <w:jc w:val="both"/>
        <w:rPr>
          <w:color w:val="000000"/>
          <w:rtl/>
        </w:rPr>
      </w:pPr>
      <w:r>
        <w:rPr>
          <w:rFonts w:hint="cs"/>
          <w:color w:val="000000"/>
          <w:rtl/>
        </w:rPr>
        <w:t xml:space="preserve">   در فرض تنجّز وجوب تطهیر مسجد ، تحفّظ بر اطلاق هر دو دلیل با هم ممکن نیست پس امر به مهم یعنی صلات باید مقیّد شود ، اما مقیّد به چه مقدار ؟ چون « الضرورات تتقدّر بقدرها » و ضرورت تنها در صورت تنجّز امر به أهمّ رخ می دهد ، خطاب امر به مهم تنها به همین مقدار مقیّد می شود و در غیر حال تنجّز تکلیف أهمّ ، اطلاق آن باقی است . پس اگر امر به </w:t>
      </w:r>
      <w:r>
        <w:rPr>
          <w:rFonts w:hint="cs"/>
          <w:color w:val="000000"/>
          <w:rtl/>
        </w:rPr>
        <w:lastRenderedPageBreak/>
        <w:t>ازاله تنها فعلی باشد تقییدی متوجه امر صلاتی نمی شود ، چنانچه اگر تنها انشایی هم باشد مشکلی رخ نمی دهد ؛ زیرا فعلیت یا انشاء این خطاب اقتضاء عدم معقولیت را ندارد بلکه تنها امر نامعقول تنجّز دو تکلیف متضادّ است . این امر هم از آن روست که احکام به عنوان اموری اعتباری</w:t>
      </w:r>
      <w:r>
        <w:rPr>
          <w:rStyle w:val="FootnoteReference"/>
          <w:color w:val="000000"/>
          <w:rtl/>
        </w:rPr>
        <w:footnoteReference w:id="2"/>
      </w:r>
      <w:r>
        <w:rPr>
          <w:rFonts w:hint="cs"/>
          <w:color w:val="000000"/>
          <w:rtl/>
        </w:rPr>
        <w:t xml:space="preserve">در حد ذاتشان تضادّی ندارند « الحقُّ أنَّهُ لا تضادَّ بینَ الأحکامِ » بلکه تضادّ یا در منتهی احکام می تواند رخ دهد که ملکّف ملزم به مانند طلب ضدین شود مثل بحث ترتّب ، و یا در مبادی احکام . </w:t>
      </w:r>
    </w:p>
    <w:p w:rsidR="00AD3739" w:rsidRDefault="00AD3739" w:rsidP="00AD3739">
      <w:pPr>
        <w:jc w:val="both"/>
        <w:rPr>
          <w:color w:val="000000"/>
          <w:rtl/>
        </w:rPr>
      </w:pPr>
      <w:r>
        <w:rPr>
          <w:rFonts w:hint="cs"/>
          <w:rtl/>
        </w:rPr>
        <w:t xml:space="preserve">   مثال دیگر برای این قسم از ورود ، ورود تکلیفی که مقیّد به قدرت عقلیه است بر تکلیفی می باشد که قید قدرت شرعیه</w:t>
      </w:r>
      <w:r>
        <w:rPr>
          <w:rStyle w:val="FootnoteReference"/>
          <w:rtl/>
        </w:rPr>
        <w:footnoteReference w:id="3"/>
      </w:r>
      <w:r>
        <w:rPr>
          <w:rFonts w:hint="cs"/>
          <w:rtl/>
        </w:rPr>
        <w:t xml:space="preserve"> دارد . مثلا خطاب دالّ بر حفظ جان نفس محترم بر خطاب وجوب حج شخص مستطیع وارد است ، بنابراین اگر شخص مردّد شود که مالش را صرف حفظ نفس محترمه ای کند و یا اینکه آن را حفظ کند و مستطیع باشد تا وجوب حجّ بر او فعلیت پیدا کند ، باید اموالش را صرف در تامین نفقه نفس محترمه کند و وجوب حجّ بر او فعلی نیست ؛ زیرا موضوع وجوب حجّ در لسان دلیل مقیّد است به قدرت ، و این قدرت یعنی اگر مکلّف مامور به ضد تکلیف حجّی شد ، تکلیف حجّ بر او فعلی نیست .</w:t>
      </w:r>
    </w:p>
    <w:p w:rsidR="00AD3739" w:rsidRDefault="00AD3739" w:rsidP="00AD3739">
      <w:pPr>
        <w:pStyle w:val="Heading6"/>
        <w:rPr>
          <w:rtl/>
        </w:rPr>
      </w:pPr>
      <w:bookmarkStart w:id="12" w:name="_Toc526870813"/>
      <w:bookmarkStart w:id="13" w:name="_Toc526945275"/>
      <w:bookmarkStart w:id="14" w:name="_Toc527713676"/>
      <w:r>
        <w:rPr>
          <w:rFonts w:hint="cs"/>
          <w:rtl/>
        </w:rPr>
        <w:t>قسم پنجم : ورود به لحاظ امتثال</w:t>
      </w:r>
      <w:bookmarkEnd w:id="12"/>
      <w:bookmarkEnd w:id="13"/>
      <w:bookmarkEnd w:id="14"/>
    </w:p>
    <w:p w:rsidR="00AD3739" w:rsidRDefault="00AD3739" w:rsidP="00AD3739">
      <w:pPr>
        <w:jc w:val="both"/>
        <w:rPr>
          <w:rtl/>
        </w:rPr>
      </w:pPr>
      <w:r>
        <w:rPr>
          <w:rFonts w:hint="cs"/>
          <w:rtl/>
        </w:rPr>
        <w:t xml:space="preserve">   رفع موضوع یک حکم به سبب امتثال یا عصیان حکم دیگر ، آخرین صنف از ورود است . تطبیق آن هم مجدّدا بر بحث ترتّب است اما بنابر بقول به عدم امتناع . قائل به امکان ترتّب معتقد است تنجّز دو تکلیف متضادّ به نحو ترتّبی معقول است و مانعی ندارد ، فقط امر به مهمّ مترتّب است بر اراده عصیان خطاب أهمّ .</w:t>
      </w:r>
      <w:r>
        <w:rPr>
          <w:rStyle w:val="FootnoteReference"/>
          <w:rtl/>
        </w:rPr>
        <w:footnoteReference w:id="4"/>
      </w:r>
      <w:r>
        <w:rPr>
          <w:rFonts w:hint="cs"/>
          <w:rtl/>
        </w:rPr>
        <w:t xml:space="preserve"> یعنی اگر مکلّف عازم بر تطهیر مسجد باشد ، اصلا خطاب صلات بر او فعلی نیست فضلا از این که منجّز باشد . بنابراین « عدم اراده امتثال أهمّ »</w:t>
      </w:r>
      <w:r>
        <w:rPr>
          <w:rStyle w:val="FootnoteReference"/>
          <w:rtl/>
        </w:rPr>
        <w:footnoteReference w:id="5"/>
      </w:r>
      <w:r>
        <w:rPr>
          <w:rFonts w:hint="cs"/>
          <w:rtl/>
        </w:rPr>
        <w:t xml:space="preserve"> قید است برای حکم به وجوب صلات . </w:t>
      </w:r>
      <w:r>
        <w:rPr>
          <w:rStyle w:val="FootnoteReference"/>
          <w:rtl/>
        </w:rPr>
        <w:footnoteReference w:id="6"/>
      </w:r>
    </w:p>
    <w:p w:rsidR="001A1EA5" w:rsidRPr="006162A2" w:rsidRDefault="00AD3739" w:rsidP="00AD3739">
      <w:pPr>
        <w:rPr>
          <w:rtl/>
        </w:rPr>
      </w:pPr>
      <w:r>
        <w:rPr>
          <w:rFonts w:hint="cs"/>
          <w:rtl/>
        </w:rPr>
        <w:t>تنبیه : در بحث ترتّب اگر قائل به امکان و عدم مانع ثبوتی شدیم ، همان امکان مساوق با وقوع است و نیاز به اقامه دلیل بر وقوع نداریم ؛ زیرا اطلاق ادله متزاحمین محفوظ است و قصوری ندارد .</w:t>
      </w: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385C" w:rsidRDefault="00D6385C" w:rsidP="008B750B">
      <w:pPr>
        <w:spacing w:line="240" w:lineRule="auto"/>
      </w:pPr>
      <w:r>
        <w:separator/>
      </w:r>
    </w:p>
  </w:endnote>
  <w:endnote w:type="continuationSeparator" w:id="0">
    <w:p w:rsidR="00D6385C" w:rsidRDefault="00D6385C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834F23" w:rsidRPr="00834F23">
            <w:rPr>
              <w:noProof/>
              <w:rtl/>
              <w:lang w:val="fa-IR"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B4192C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2" w:name="BokAdres"/>
          <w:bookmarkEnd w:id="22"/>
          <w:r>
            <w:rPr>
              <w:color w:val="808080" w:themeColor="background1" w:themeShade="80"/>
            </w:rPr>
            <w:t>U1mq1_13970717-011_ab1_mfeb.ir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385C" w:rsidRDefault="00D6385C" w:rsidP="008B750B">
      <w:pPr>
        <w:spacing w:line="240" w:lineRule="auto"/>
      </w:pPr>
      <w:r>
        <w:separator/>
      </w:r>
    </w:p>
  </w:footnote>
  <w:footnote w:type="continuationSeparator" w:id="0">
    <w:p w:rsidR="00D6385C" w:rsidRDefault="00D6385C" w:rsidP="008B750B">
      <w:pPr>
        <w:spacing w:line="240" w:lineRule="auto"/>
      </w:pPr>
      <w:r>
        <w:continuationSeparator/>
      </w:r>
    </w:p>
  </w:footnote>
  <w:footnote w:id="1">
    <w:p w:rsidR="00AD3739" w:rsidRPr="00592E44" w:rsidRDefault="00AD3739" w:rsidP="00AD3739">
      <w:pPr>
        <w:pStyle w:val="FootnoteText"/>
        <w:jc w:val="both"/>
      </w:pPr>
      <w:r w:rsidRPr="00592E44">
        <w:t>.</w:t>
      </w:r>
      <w:r w:rsidRPr="00592E44">
        <w:footnoteRef/>
      </w:r>
      <w:r w:rsidRPr="00592E44">
        <w:rPr>
          <w:rtl/>
        </w:rPr>
        <w:t xml:space="preserve"> </w:t>
      </w:r>
      <w:hyperlink r:id="rId1" w:history="1">
        <w:r w:rsidRPr="00592E44">
          <w:rPr>
            <w:rStyle w:val="Hyperlink"/>
            <w:rtl/>
          </w:rPr>
          <w:t>بحوث ف</w:t>
        </w:r>
        <w:r w:rsidRPr="00592E44">
          <w:rPr>
            <w:rStyle w:val="Hyperlink"/>
            <w:rFonts w:hint="cs"/>
            <w:rtl/>
          </w:rPr>
          <w:t>ی</w:t>
        </w:r>
        <w:r w:rsidRPr="00592E44">
          <w:rPr>
            <w:rStyle w:val="Hyperlink"/>
            <w:rtl/>
          </w:rPr>
          <w:t xml:space="preserve"> علم الأصول، الس</w:t>
        </w:r>
        <w:r w:rsidRPr="00592E44">
          <w:rPr>
            <w:rStyle w:val="Hyperlink"/>
            <w:rFonts w:hint="cs"/>
            <w:rtl/>
          </w:rPr>
          <w:t>ی</w:t>
        </w:r>
        <w:r w:rsidRPr="00592E44">
          <w:rPr>
            <w:rStyle w:val="Hyperlink"/>
            <w:rFonts w:hint="eastAsia"/>
            <w:rtl/>
          </w:rPr>
          <w:t>د</w:t>
        </w:r>
        <w:r w:rsidRPr="00592E44">
          <w:rPr>
            <w:rStyle w:val="Hyperlink"/>
            <w:rtl/>
          </w:rPr>
          <w:t xml:space="preserve"> محمد باقر الصدر، ج7، ص52</w:t>
        </w:r>
        <w:r w:rsidRPr="00592E44">
          <w:rPr>
            <w:rStyle w:val="Hyperlink"/>
          </w:rPr>
          <w:t>.</w:t>
        </w:r>
      </w:hyperlink>
    </w:p>
  </w:footnote>
  <w:footnote w:id="2">
    <w:p w:rsidR="00AD3739" w:rsidRPr="00592E44" w:rsidRDefault="00AD3739" w:rsidP="00AD3739">
      <w:pPr>
        <w:pStyle w:val="FootnoteText"/>
        <w:jc w:val="both"/>
      </w:pPr>
      <w:r w:rsidRPr="00592E44">
        <w:rPr>
          <w:rStyle w:val="FootnoteReference"/>
          <w:vertAlign w:val="baseline"/>
        </w:rPr>
        <w:footnoteRef/>
      </w:r>
      <w:r w:rsidRPr="00592E44">
        <w:rPr>
          <w:rFonts w:hint="cs"/>
          <w:rtl/>
        </w:rPr>
        <w:t xml:space="preserve">. بله « تکلیف کردن » و « تکلیف نکردن » تناقض دارند زیرا امری حقیقی و فعل شارع اند ، اما در نفس احکام چنین نیست . تنها ملاک در امور اعتباری « لغویت » است . </w:t>
      </w:r>
    </w:p>
  </w:footnote>
  <w:footnote w:id="3">
    <w:p w:rsidR="00AD3739" w:rsidRPr="00592E44" w:rsidRDefault="00AD3739" w:rsidP="00AD3739">
      <w:pPr>
        <w:pStyle w:val="FootnoteText"/>
      </w:pPr>
      <w:r w:rsidRPr="00592E44">
        <w:rPr>
          <w:rStyle w:val="FootnoteReference"/>
          <w:vertAlign w:val="baseline"/>
        </w:rPr>
        <w:footnoteRef/>
      </w:r>
      <w:r w:rsidRPr="00592E44">
        <w:rPr>
          <w:rFonts w:hint="cs"/>
          <w:rtl/>
        </w:rPr>
        <w:t>. معنای قدرت شرعیه این است که مکلّف زائد بر تمکّن تکوینی ، مامور به ضدّ آن تکلیف نباشد .</w:t>
      </w:r>
    </w:p>
  </w:footnote>
  <w:footnote w:id="4">
    <w:p w:rsidR="00AD3739" w:rsidRPr="00592E44" w:rsidRDefault="00AD3739" w:rsidP="00AD3739">
      <w:pPr>
        <w:pStyle w:val="FootnoteText"/>
        <w:rPr>
          <w:rtl/>
        </w:rPr>
      </w:pPr>
      <w:r w:rsidRPr="00592E44">
        <w:rPr>
          <w:rStyle w:val="FootnoteReference"/>
          <w:vertAlign w:val="baseline"/>
        </w:rPr>
        <w:footnoteRef/>
      </w:r>
      <w:r w:rsidRPr="00592E44">
        <w:rPr>
          <w:rFonts w:hint="cs"/>
          <w:rtl/>
        </w:rPr>
        <w:t>. دقت شود با اراده عصیان و بلکه خود عصیان فعلیت و تنجّز حکم رفع نمی شود و الا اصلا مصداقی برای عاصی در میان مکلفّان پیدا نمی شد .</w:t>
      </w:r>
    </w:p>
  </w:footnote>
  <w:footnote w:id="5">
    <w:p w:rsidR="00AD3739" w:rsidRPr="00592E44" w:rsidRDefault="00AD3739" w:rsidP="00AD3739">
      <w:pPr>
        <w:pStyle w:val="FootnoteText"/>
      </w:pPr>
      <w:r w:rsidRPr="00592E44">
        <w:rPr>
          <w:rStyle w:val="FootnoteReference"/>
          <w:vertAlign w:val="baseline"/>
        </w:rPr>
        <w:footnoteRef/>
      </w:r>
      <w:r w:rsidRPr="00592E44">
        <w:rPr>
          <w:rFonts w:hint="cs"/>
          <w:rtl/>
        </w:rPr>
        <w:t>. موضوع خطاب «واقع عصیان » است که با استمرار « عزم بر عصیان » محقّق می شود .</w:t>
      </w:r>
    </w:p>
  </w:footnote>
  <w:footnote w:id="6">
    <w:p w:rsidR="00AD3739" w:rsidRPr="00592E44" w:rsidRDefault="00AD3739" w:rsidP="00AD3739">
      <w:pPr>
        <w:pStyle w:val="FootnoteText"/>
      </w:pPr>
      <w:r w:rsidRPr="00592E44">
        <w:rPr>
          <w:rStyle w:val="FootnoteReference"/>
          <w:vertAlign w:val="baseline"/>
        </w:rPr>
        <w:footnoteRef/>
      </w:r>
      <w:r w:rsidRPr="00592E44">
        <w:rPr>
          <w:rFonts w:hint="cs"/>
          <w:rtl/>
        </w:rPr>
        <w:t>. عصیان أهمّ تقدّم رتبی دارد بر فعلیت مهمّ و نه تقدّم زمانی . لذا حتّی اگر حین اشتغال به مهم عزم بر امتثال أهمّ کرد ، فعلیّت مهم ساقط می شود 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5" w:name="BokNum"/>
    <w:bookmarkEnd w:id="15"/>
    <w:r w:rsidR="00B4192C">
      <w:rPr>
        <w:b/>
        <w:bCs/>
        <w:sz w:val="20"/>
        <w:szCs w:val="24"/>
        <w:rtl/>
      </w:rPr>
      <w:t>011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6" w:name="Bokdars"/>
    <w:bookmarkEnd w:id="16"/>
    <w:r w:rsidR="00B4192C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7" w:name="Bokostad"/>
    <w:bookmarkEnd w:id="17"/>
    <w:r w:rsidR="00B4192C">
      <w:rPr>
        <w:b/>
        <w:bCs/>
        <w:color w:val="632423" w:themeColor="accent2" w:themeShade="80"/>
        <w:sz w:val="20"/>
        <w:szCs w:val="24"/>
        <w:rtl/>
      </w:rPr>
      <w:t>قائ</w:t>
    </w:r>
    <w:r w:rsidR="00B4192C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B4192C"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 w:rsidR="00B4192C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8" w:name="BokTarikh"/>
    <w:bookmarkEnd w:id="18"/>
    <w:r w:rsidR="00B4192C">
      <w:rPr>
        <w:sz w:val="24"/>
        <w:szCs w:val="24"/>
        <w:rtl/>
      </w:rPr>
      <w:t>17 /7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9" w:name="BokSabj"/>
    <w:bookmarkEnd w:id="19"/>
    <w:r w:rsidR="00B4192C">
      <w:rPr>
        <w:color w:val="000000" w:themeColor="text1"/>
        <w:sz w:val="24"/>
        <w:szCs w:val="24"/>
        <w:rtl/>
      </w:rPr>
      <w:t>تعارض غ</w:t>
    </w:r>
    <w:r w:rsidR="00B4192C">
      <w:rPr>
        <w:rFonts w:hint="cs"/>
        <w:color w:val="000000" w:themeColor="text1"/>
        <w:sz w:val="24"/>
        <w:szCs w:val="24"/>
        <w:rtl/>
      </w:rPr>
      <w:t>ی</w:t>
    </w:r>
    <w:r w:rsidR="00B4192C">
      <w:rPr>
        <w:rFonts w:hint="eastAsia"/>
        <w:color w:val="000000" w:themeColor="text1"/>
        <w:sz w:val="24"/>
        <w:szCs w:val="24"/>
        <w:rtl/>
      </w:rPr>
      <w:t>ر</w:t>
    </w:r>
    <w:r w:rsidR="00B4192C">
      <w:rPr>
        <w:color w:val="000000" w:themeColor="text1"/>
        <w:sz w:val="24"/>
        <w:szCs w:val="24"/>
        <w:rtl/>
      </w:rPr>
      <w:t xml:space="preserve"> مستقر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20" w:name="Bokmoqarer"/>
    <w:bookmarkEnd w:id="20"/>
    <w:r w:rsidR="00B4192C">
      <w:rPr>
        <w:sz w:val="24"/>
        <w:szCs w:val="24"/>
        <w:rtl/>
      </w:rPr>
      <w:t>عل</w:t>
    </w:r>
    <w:r w:rsidR="00B4192C">
      <w:rPr>
        <w:rFonts w:hint="cs"/>
        <w:sz w:val="24"/>
        <w:szCs w:val="24"/>
        <w:rtl/>
      </w:rPr>
      <w:t>ی</w:t>
    </w:r>
    <w:r w:rsidR="00B4192C">
      <w:rPr>
        <w:sz w:val="24"/>
        <w:szCs w:val="24"/>
        <w:rtl/>
      </w:rPr>
      <w:t xml:space="preserve"> بهادرزا</w:t>
    </w:r>
    <w:r w:rsidR="00B4192C">
      <w:rPr>
        <w:rFonts w:hint="cs"/>
        <w:sz w:val="24"/>
        <w:szCs w:val="24"/>
        <w:rtl/>
      </w:rPr>
      <w:t>یی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21" w:name="BokSabj2"/>
    <w:bookmarkEnd w:id="21"/>
    <w:r w:rsidR="00B4192C">
      <w:rPr>
        <w:sz w:val="24"/>
        <w:szCs w:val="24"/>
        <w:rtl/>
      </w:rPr>
      <w:t>اقسام ورود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0AE5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7F73AF"/>
    <w:rsid w:val="0080091D"/>
    <w:rsid w:val="00804108"/>
    <w:rsid w:val="00804FC4"/>
    <w:rsid w:val="00816367"/>
    <w:rsid w:val="00816A0B"/>
    <w:rsid w:val="00824B22"/>
    <w:rsid w:val="00830C53"/>
    <w:rsid w:val="00834F2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D3739"/>
    <w:rsid w:val="00AF3925"/>
    <w:rsid w:val="00B1296B"/>
    <w:rsid w:val="00B2292F"/>
    <w:rsid w:val="00B4192C"/>
    <w:rsid w:val="00B43169"/>
    <w:rsid w:val="00B501A8"/>
    <w:rsid w:val="00B55AE4"/>
    <w:rsid w:val="00B70B46"/>
    <w:rsid w:val="00B739B0"/>
    <w:rsid w:val="00B814A3"/>
    <w:rsid w:val="00B96F38"/>
    <w:rsid w:val="00BC716B"/>
    <w:rsid w:val="00BD0E74"/>
    <w:rsid w:val="00BD5F8C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4220F"/>
    <w:rsid w:val="00D552B9"/>
    <w:rsid w:val="00D6385C"/>
    <w:rsid w:val="00D735B2"/>
    <w:rsid w:val="00D74021"/>
    <w:rsid w:val="00D76D01"/>
    <w:rsid w:val="00D922A9"/>
    <w:rsid w:val="00D9394A"/>
    <w:rsid w:val="00DB0CBB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13064/7/52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9CFFB-F0EC-4C27-A099-917727E7C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2</TotalTime>
  <Pages>2</Pages>
  <Words>491</Words>
  <Characters>2804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3289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bahadorzaei</cp:lastModifiedBy>
  <cp:revision>6</cp:revision>
  <dcterms:created xsi:type="dcterms:W3CDTF">2018-10-19T08:28:00Z</dcterms:created>
  <dcterms:modified xsi:type="dcterms:W3CDTF">2018-11-03T15:22:00Z</dcterms:modified>
  <cp:contentStatus>ویرایش 2.5</cp:contentStatus>
  <cp:version>2.7</cp:version>
</cp:coreProperties>
</file>