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2AF4" w:rsidRDefault="00792AF4" w:rsidP="00792AF4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rStyle w:val="Hyperlink"/>
          <w:noProof/>
          <w:rtl/>
        </w:rPr>
        <w:fldChar w:fldCharType="begin"/>
      </w:r>
      <w:r>
        <w:rPr>
          <w:rStyle w:val="Hyperlink"/>
          <w:noProof/>
          <w:rtl/>
        </w:rPr>
        <w:instrText xml:space="preserve"> </w:instrText>
      </w:r>
      <w:r>
        <w:rPr>
          <w:rStyle w:val="Hyperlink"/>
          <w:noProof/>
        </w:rPr>
        <w:instrText>TOC</w:instrText>
      </w:r>
      <w:r>
        <w:rPr>
          <w:rStyle w:val="Hyperlink"/>
          <w:noProof/>
          <w:rtl/>
        </w:rPr>
        <w:instrText xml:space="preserve"> \</w:instrText>
      </w:r>
      <w:r>
        <w:rPr>
          <w:rStyle w:val="Hyperlink"/>
          <w:noProof/>
        </w:rPr>
        <w:instrText>o "1-9" \h \z \u</w:instrText>
      </w:r>
      <w:r>
        <w:rPr>
          <w:rStyle w:val="Hyperlink"/>
          <w:noProof/>
          <w:rtl/>
        </w:rPr>
        <w:instrText xml:space="preserve"> </w:instrText>
      </w:r>
      <w:r>
        <w:rPr>
          <w:rStyle w:val="Hyperlink"/>
          <w:noProof/>
          <w:rtl/>
        </w:rPr>
        <w:fldChar w:fldCharType="separate"/>
      </w:r>
      <w:hyperlink w:anchor="_Toc529834946" w:history="1">
        <w:r w:rsidRPr="00EE3A7B">
          <w:rPr>
            <w:rStyle w:val="Hyperlink"/>
            <w:noProof/>
            <w:rtl/>
          </w:rPr>
          <w:t>تطب</w:t>
        </w:r>
        <w:r w:rsidRPr="00EE3A7B">
          <w:rPr>
            <w:rStyle w:val="Hyperlink"/>
            <w:rFonts w:hint="cs"/>
            <w:noProof/>
            <w:rtl/>
          </w:rPr>
          <w:t>ی</w:t>
        </w:r>
        <w:r w:rsidRPr="00EE3A7B">
          <w:rPr>
            <w:rStyle w:val="Hyperlink"/>
            <w:rFonts w:hint="eastAsia"/>
            <w:noProof/>
            <w:rtl/>
          </w:rPr>
          <w:t>ق</w:t>
        </w:r>
        <w:r w:rsidRPr="00EE3A7B">
          <w:rPr>
            <w:rStyle w:val="Hyperlink"/>
            <w:noProof/>
            <w:rtl/>
          </w:rPr>
          <w:t xml:space="preserve"> دوم تعارض غ</w:t>
        </w:r>
        <w:r w:rsidRPr="00EE3A7B">
          <w:rPr>
            <w:rStyle w:val="Hyperlink"/>
            <w:rFonts w:hint="cs"/>
            <w:noProof/>
            <w:rtl/>
          </w:rPr>
          <w:t>ی</w:t>
        </w:r>
        <w:r w:rsidRPr="00EE3A7B">
          <w:rPr>
            <w:rStyle w:val="Hyperlink"/>
            <w:rFonts w:hint="eastAsia"/>
            <w:noProof/>
            <w:rtl/>
          </w:rPr>
          <w:t>ر</w:t>
        </w:r>
        <w:r w:rsidRPr="00EE3A7B">
          <w:rPr>
            <w:rStyle w:val="Hyperlink"/>
            <w:noProof/>
            <w:rtl/>
          </w:rPr>
          <w:t xml:space="preserve"> مستقرّ : ورود استصحاب بر اصول شرع</w:t>
        </w:r>
        <w:r w:rsidRPr="00EE3A7B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Toc529834946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EF5E4C"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792AF4" w:rsidRDefault="00792AF4" w:rsidP="00792AF4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29834947" w:history="1">
        <w:r w:rsidRPr="00EE3A7B">
          <w:rPr>
            <w:rStyle w:val="Hyperlink"/>
            <w:noProof/>
            <w:rtl/>
          </w:rPr>
          <w:t>مقدمه : وقوع توف</w:t>
        </w:r>
        <w:r w:rsidRPr="00EE3A7B">
          <w:rPr>
            <w:rStyle w:val="Hyperlink"/>
            <w:rFonts w:hint="cs"/>
            <w:noProof/>
            <w:rtl/>
          </w:rPr>
          <w:t>ی</w:t>
        </w:r>
        <w:r w:rsidRPr="00EE3A7B">
          <w:rPr>
            <w:rStyle w:val="Hyperlink"/>
            <w:rFonts w:hint="eastAsia"/>
            <w:noProof/>
            <w:rtl/>
          </w:rPr>
          <w:t>ق</w:t>
        </w:r>
        <w:r w:rsidRPr="00EE3A7B">
          <w:rPr>
            <w:rStyle w:val="Hyperlink"/>
            <w:noProof/>
            <w:rtl/>
          </w:rPr>
          <w:t xml:space="preserve"> عرف</w:t>
        </w:r>
        <w:r w:rsidRPr="00EE3A7B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Toc529834947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EF5E4C"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792AF4" w:rsidRDefault="00792AF4" w:rsidP="00792AF4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29834948" w:history="1">
        <w:r w:rsidRPr="00EE3A7B">
          <w:rPr>
            <w:rStyle w:val="Hyperlink"/>
            <w:noProof/>
            <w:rtl/>
          </w:rPr>
          <w:t>وجه تقد</w:t>
        </w:r>
        <w:r w:rsidRPr="00EE3A7B">
          <w:rPr>
            <w:rStyle w:val="Hyperlink"/>
            <w:rFonts w:hint="cs"/>
            <w:noProof/>
            <w:rtl/>
          </w:rPr>
          <w:t>ی</w:t>
        </w:r>
        <w:r w:rsidRPr="00EE3A7B">
          <w:rPr>
            <w:rStyle w:val="Hyperlink"/>
            <w:rFonts w:hint="eastAsia"/>
            <w:noProof/>
            <w:rtl/>
          </w:rPr>
          <w:t>م</w:t>
        </w:r>
        <w:r w:rsidRPr="00EE3A7B">
          <w:rPr>
            <w:rStyle w:val="Hyperlink"/>
            <w:noProof/>
            <w:rtl/>
          </w:rPr>
          <w:t xml:space="preserve"> استصحاب : ورود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Toc529834948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EF5E4C"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792AF4" w:rsidRDefault="00792AF4" w:rsidP="00792AF4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9834949" w:history="1">
        <w:r w:rsidRPr="00EE3A7B">
          <w:rPr>
            <w:rStyle w:val="Hyperlink"/>
            <w:noProof/>
            <w:rtl/>
          </w:rPr>
          <w:t>دور : مانع از تقد</w:t>
        </w:r>
        <w:r w:rsidRPr="00EE3A7B">
          <w:rPr>
            <w:rStyle w:val="Hyperlink"/>
            <w:rFonts w:hint="cs"/>
            <w:noProof/>
            <w:rtl/>
          </w:rPr>
          <w:t>ی</w:t>
        </w:r>
        <w:r w:rsidRPr="00EE3A7B">
          <w:rPr>
            <w:rStyle w:val="Hyperlink"/>
            <w:rFonts w:hint="eastAsia"/>
            <w:noProof/>
            <w:rtl/>
          </w:rPr>
          <w:t>م</w:t>
        </w:r>
        <w:r w:rsidRPr="00EE3A7B">
          <w:rPr>
            <w:rStyle w:val="Hyperlink"/>
            <w:noProof/>
            <w:rtl/>
          </w:rPr>
          <w:t xml:space="preserve"> دل</w:t>
        </w:r>
        <w:r w:rsidRPr="00EE3A7B">
          <w:rPr>
            <w:rStyle w:val="Hyperlink"/>
            <w:rFonts w:hint="cs"/>
            <w:noProof/>
            <w:rtl/>
          </w:rPr>
          <w:t>ی</w:t>
        </w:r>
        <w:r w:rsidRPr="00EE3A7B">
          <w:rPr>
            <w:rStyle w:val="Hyperlink"/>
            <w:rFonts w:hint="eastAsia"/>
            <w:noProof/>
            <w:rtl/>
          </w:rPr>
          <w:t>ل</w:t>
        </w:r>
        <w:r w:rsidRPr="00EE3A7B">
          <w:rPr>
            <w:rStyle w:val="Hyperlink"/>
            <w:noProof/>
            <w:rtl/>
          </w:rPr>
          <w:t xml:space="preserve"> برائت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Toc529834949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EF5E4C"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792AF4" w:rsidRDefault="00792AF4" w:rsidP="00792AF4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29834950" w:history="1">
        <w:r w:rsidRPr="00EE3A7B">
          <w:rPr>
            <w:rStyle w:val="Hyperlink"/>
            <w:noProof/>
            <w:rtl/>
          </w:rPr>
          <w:t xml:space="preserve">تذکّر : عدم استلزام دور به سبب </w:t>
        </w:r>
        <w:bookmarkStart w:id="0" w:name="_GoBack"/>
        <w:bookmarkEnd w:id="0"/>
        <w:r w:rsidRPr="00EE3A7B">
          <w:rPr>
            <w:rStyle w:val="Hyperlink"/>
            <w:noProof/>
            <w:rtl/>
          </w:rPr>
          <w:t>تقد</w:t>
        </w:r>
        <w:r w:rsidRPr="00EE3A7B">
          <w:rPr>
            <w:rStyle w:val="Hyperlink"/>
            <w:rFonts w:hint="cs"/>
            <w:noProof/>
            <w:rtl/>
          </w:rPr>
          <w:t>ی</w:t>
        </w:r>
        <w:r w:rsidRPr="00EE3A7B">
          <w:rPr>
            <w:rStyle w:val="Hyperlink"/>
            <w:rFonts w:hint="eastAsia"/>
            <w:noProof/>
            <w:rtl/>
          </w:rPr>
          <w:t>م</w:t>
        </w:r>
        <w:r w:rsidRPr="00EE3A7B">
          <w:rPr>
            <w:rStyle w:val="Hyperlink"/>
            <w:noProof/>
            <w:rtl/>
          </w:rPr>
          <w:t xml:space="preserve"> استصحاب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Toc529834950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EF5E4C"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792AF4" w:rsidRDefault="00792AF4" w:rsidP="00792AF4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9834951" w:history="1">
        <w:r w:rsidRPr="00EE3A7B">
          <w:rPr>
            <w:rStyle w:val="Hyperlink"/>
            <w:noProof/>
            <w:rtl/>
          </w:rPr>
          <w:t>دل</w:t>
        </w:r>
        <w:r w:rsidRPr="00EE3A7B">
          <w:rPr>
            <w:rStyle w:val="Hyperlink"/>
            <w:rFonts w:hint="cs"/>
            <w:noProof/>
            <w:rtl/>
          </w:rPr>
          <w:t>ی</w:t>
        </w:r>
        <w:r w:rsidRPr="00EE3A7B">
          <w:rPr>
            <w:rStyle w:val="Hyperlink"/>
            <w:rFonts w:hint="eastAsia"/>
            <w:noProof/>
            <w:rtl/>
          </w:rPr>
          <w:t>ل</w:t>
        </w:r>
        <w:r w:rsidRPr="00EE3A7B">
          <w:rPr>
            <w:rStyle w:val="Hyperlink"/>
            <w:noProof/>
            <w:rtl/>
          </w:rPr>
          <w:t xml:space="preserve"> تقد</w:t>
        </w:r>
        <w:r w:rsidRPr="00EE3A7B">
          <w:rPr>
            <w:rStyle w:val="Hyperlink"/>
            <w:rFonts w:hint="cs"/>
            <w:noProof/>
            <w:rtl/>
          </w:rPr>
          <w:t>ی</w:t>
        </w:r>
        <w:r w:rsidRPr="00EE3A7B">
          <w:rPr>
            <w:rStyle w:val="Hyperlink"/>
            <w:rFonts w:hint="eastAsia"/>
            <w:noProof/>
            <w:rtl/>
          </w:rPr>
          <w:t>م</w:t>
        </w:r>
        <w:r w:rsidRPr="00EE3A7B">
          <w:rPr>
            <w:rStyle w:val="Hyperlink"/>
            <w:noProof/>
            <w:rtl/>
          </w:rPr>
          <w:t xml:space="preserve"> استصحاب : تقد</w:t>
        </w:r>
        <w:r w:rsidRPr="00EE3A7B">
          <w:rPr>
            <w:rStyle w:val="Hyperlink"/>
            <w:rFonts w:hint="cs"/>
            <w:noProof/>
            <w:rtl/>
          </w:rPr>
          <w:t>ی</w:t>
        </w:r>
        <w:r w:rsidRPr="00EE3A7B">
          <w:rPr>
            <w:rStyle w:val="Hyperlink"/>
            <w:rFonts w:hint="eastAsia"/>
            <w:noProof/>
            <w:rtl/>
          </w:rPr>
          <w:t>م</w:t>
        </w:r>
        <w:r w:rsidRPr="00EE3A7B">
          <w:rPr>
            <w:rStyle w:val="Hyperlink"/>
            <w:noProof/>
            <w:rtl/>
          </w:rPr>
          <w:t xml:space="preserve"> ورود در موارد دوران امر م</w:t>
        </w:r>
        <w:r w:rsidRPr="00EE3A7B">
          <w:rPr>
            <w:rStyle w:val="Hyperlink"/>
            <w:rFonts w:hint="cs"/>
            <w:noProof/>
            <w:rtl/>
          </w:rPr>
          <w:t>ی</w:t>
        </w:r>
        <w:r w:rsidRPr="00EE3A7B">
          <w:rPr>
            <w:rStyle w:val="Hyperlink"/>
            <w:rFonts w:hint="eastAsia"/>
            <w:noProof/>
            <w:rtl/>
          </w:rPr>
          <w:t>ان</w:t>
        </w:r>
        <w:r w:rsidRPr="00EE3A7B">
          <w:rPr>
            <w:rStyle w:val="Hyperlink"/>
            <w:noProof/>
            <w:rtl/>
          </w:rPr>
          <w:t xml:space="preserve"> تخص</w:t>
        </w:r>
        <w:r w:rsidRPr="00EE3A7B">
          <w:rPr>
            <w:rStyle w:val="Hyperlink"/>
            <w:rFonts w:hint="cs"/>
            <w:noProof/>
            <w:rtl/>
          </w:rPr>
          <w:t>ی</w:t>
        </w:r>
        <w:r w:rsidRPr="00EE3A7B">
          <w:rPr>
            <w:rStyle w:val="Hyperlink"/>
            <w:rFonts w:hint="eastAsia"/>
            <w:noProof/>
            <w:rtl/>
          </w:rPr>
          <w:t>ص</w:t>
        </w:r>
        <w:r w:rsidRPr="00EE3A7B">
          <w:rPr>
            <w:rStyle w:val="Hyperlink"/>
            <w:noProof/>
            <w:rtl/>
          </w:rPr>
          <w:t xml:space="preserve"> و ورود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Toc529834951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EF5E4C"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792AF4" w:rsidRDefault="00792AF4" w:rsidP="00792AF4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29834952" w:history="1">
        <w:r w:rsidRPr="00EE3A7B">
          <w:rPr>
            <w:rStyle w:val="Hyperlink"/>
            <w:noProof/>
            <w:rtl/>
          </w:rPr>
          <w:t>شباهت قرعه به مقام : تحقّق موضوع بعد از عدم وظ</w:t>
        </w:r>
        <w:r w:rsidRPr="00EE3A7B">
          <w:rPr>
            <w:rStyle w:val="Hyperlink"/>
            <w:rFonts w:hint="cs"/>
            <w:noProof/>
            <w:rtl/>
          </w:rPr>
          <w:t>ی</w:t>
        </w:r>
        <w:r w:rsidRPr="00EE3A7B">
          <w:rPr>
            <w:rStyle w:val="Hyperlink"/>
            <w:rFonts w:hint="eastAsia"/>
            <w:noProof/>
            <w:rtl/>
          </w:rPr>
          <w:t>فه</w:t>
        </w:r>
        <w:r w:rsidRPr="00EE3A7B">
          <w:rPr>
            <w:rStyle w:val="Hyperlink"/>
            <w:noProof/>
            <w:rtl/>
          </w:rPr>
          <w:t xml:space="preserve"> واقع</w:t>
        </w:r>
        <w:r w:rsidRPr="00EE3A7B">
          <w:rPr>
            <w:rStyle w:val="Hyperlink"/>
            <w:rFonts w:hint="cs"/>
            <w:noProof/>
            <w:rtl/>
          </w:rPr>
          <w:t>ی</w:t>
        </w:r>
        <w:r w:rsidRPr="00EE3A7B">
          <w:rPr>
            <w:rStyle w:val="Hyperlink"/>
            <w:noProof/>
            <w:rtl/>
          </w:rPr>
          <w:t xml:space="preserve"> و ظاهر</w:t>
        </w:r>
        <w:r w:rsidRPr="00EE3A7B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Toc529834952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EF5E4C"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DA6EFA" w:rsidRDefault="00792AF4" w:rsidP="007413FB">
      <w:pPr>
        <w:rPr>
          <w:rStyle w:val="Emphasis"/>
          <w:b/>
          <w:bCs w:val="0"/>
          <w:rtl/>
        </w:rPr>
      </w:pPr>
      <w:r>
        <w:rPr>
          <w:rStyle w:val="Hyperlink"/>
          <w:rFonts w:cs="B Titr"/>
          <w:noProof/>
          <w:szCs w:val="24"/>
          <w:rtl/>
        </w:rPr>
        <w:fldChar w:fldCharType="end"/>
      </w:r>
    </w:p>
    <w:p w:rsidR="00F343FB" w:rsidRPr="00A6366F" w:rsidRDefault="00F842AD" w:rsidP="007413FB"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E2252E">
        <w:rPr>
          <w:rtl/>
        </w:rPr>
        <w:t>رابطه استصحاب و اصول شرع</w:t>
      </w:r>
      <w:r w:rsidR="00E2252E">
        <w:rPr>
          <w:rFonts w:hint="cs"/>
          <w:rtl/>
        </w:rPr>
        <w:t>ی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E2252E">
        <w:rPr>
          <w:rtl/>
        </w:rPr>
        <w:t>تطب</w:t>
      </w:r>
      <w:r w:rsidR="00E2252E">
        <w:rPr>
          <w:rFonts w:hint="cs"/>
          <w:rtl/>
        </w:rPr>
        <w:t>ی</w:t>
      </w:r>
      <w:r w:rsidR="00E2252E">
        <w:rPr>
          <w:rFonts w:hint="eastAsia"/>
          <w:rtl/>
        </w:rPr>
        <w:t>قات</w:t>
      </w:r>
      <w:r w:rsidR="00E2252E">
        <w:rPr>
          <w:rtl/>
        </w:rPr>
        <w:t xml:space="preserve"> تعارض غ</w:t>
      </w:r>
      <w:r w:rsidR="00E2252E">
        <w:rPr>
          <w:rFonts w:hint="cs"/>
          <w:rtl/>
        </w:rPr>
        <w:t>ی</w:t>
      </w:r>
      <w:r w:rsidR="00E2252E">
        <w:rPr>
          <w:rFonts w:hint="eastAsia"/>
          <w:rtl/>
        </w:rPr>
        <w:t>ر</w:t>
      </w:r>
      <w:r w:rsidR="00E2252E">
        <w:rPr>
          <w:rtl/>
        </w:rPr>
        <w:t xml:space="preserve"> مستقر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E2252E">
        <w:rPr>
          <w:rtl/>
        </w:rPr>
        <w:t>تعاض ادله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247D2F" w:rsidRPr="003A6148" w:rsidRDefault="005A19EA" w:rsidP="00842127">
      <w:pPr>
        <w:pBdr>
          <w:bottom w:val="double" w:sz="6" w:space="1" w:color="auto"/>
        </w:pBdr>
        <w:jc w:val="both"/>
      </w:pPr>
      <w:r>
        <w:rPr>
          <w:rFonts w:hint="cs"/>
          <w:rtl/>
        </w:rPr>
        <w:t xml:space="preserve">   بحث </w:t>
      </w:r>
      <w:r w:rsidR="00AB4CFB">
        <w:rPr>
          <w:rFonts w:hint="cs"/>
          <w:rtl/>
        </w:rPr>
        <w:t xml:space="preserve">در </w:t>
      </w:r>
      <w:r>
        <w:rPr>
          <w:rFonts w:hint="cs"/>
          <w:rtl/>
        </w:rPr>
        <w:t xml:space="preserve">تعارض اصول و وجه </w:t>
      </w:r>
      <w:r w:rsidR="00D511BF">
        <w:rPr>
          <w:rFonts w:hint="cs"/>
          <w:rtl/>
        </w:rPr>
        <w:t>تقدّم برخی از آن ها بر بعضی دیگر</w:t>
      </w:r>
      <w:r>
        <w:rPr>
          <w:rFonts w:hint="cs"/>
          <w:rtl/>
        </w:rPr>
        <w:t xml:space="preserve"> بود .</w:t>
      </w:r>
      <w:r w:rsidR="00250659">
        <w:rPr>
          <w:rFonts w:hint="cs"/>
          <w:rtl/>
        </w:rPr>
        <w:t xml:space="preserve"> کلام </w:t>
      </w:r>
      <w:r w:rsidR="00BE1126">
        <w:rPr>
          <w:rFonts w:hint="cs"/>
          <w:rtl/>
        </w:rPr>
        <w:t>در چند ناحیه</w:t>
      </w:r>
      <w:r w:rsidR="00250659">
        <w:rPr>
          <w:rFonts w:hint="cs"/>
          <w:rtl/>
        </w:rPr>
        <w:t xml:space="preserve"> وا</w:t>
      </w:r>
      <w:r w:rsidR="009711BC">
        <w:rPr>
          <w:rFonts w:hint="cs"/>
          <w:rtl/>
        </w:rPr>
        <w:t>قع است</w:t>
      </w:r>
      <w:r w:rsidR="00250659">
        <w:rPr>
          <w:rFonts w:hint="cs"/>
          <w:rtl/>
        </w:rPr>
        <w:t xml:space="preserve"> که وارد بخش اول یعنی تعارض استصحاب با سایر </w:t>
      </w:r>
      <w:r w:rsidR="00C65720">
        <w:rPr>
          <w:rFonts w:hint="cs"/>
          <w:rtl/>
        </w:rPr>
        <w:t xml:space="preserve">اصول عملیه غیر از استصحاب شدیم </w:t>
      </w:r>
      <w:r w:rsidR="006544A5">
        <w:rPr>
          <w:rFonts w:hint="cs"/>
          <w:rtl/>
        </w:rPr>
        <w:t>.</w:t>
      </w:r>
      <w:r w:rsidR="00D544A0">
        <w:rPr>
          <w:rFonts w:hint="cs"/>
          <w:rtl/>
        </w:rPr>
        <w:t xml:space="preserve"> مرحوم آخوند فرمودند </w:t>
      </w:r>
      <w:r w:rsidR="005F1672">
        <w:rPr>
          <w:rFonts w:hint="cs"/>
          <w:rtl/>
        </w:rPr>
        <w:t xml:space="preserve">نسبت </w:t>
      </w:r>
      <w:r w:rsidR="00D544A0">
        <w:rPr>
          <w:rFonts w:hint="cs"/>
          <w:rtl/>
        </w:rPr>
        <w:t>استصحاب به سایر اصول ، همان نسبت امارا</w:t>
      </w:r>
      <w:r w:rsidR="006A2661">
        <w:rPr>
          <w:rFonts w:hint="cs"/>
          <w:rtl/>
        </w:rPr>
        <w:t>ت به استصحاب یعنی « ورود » است ؛ پس با جریان استصحاب موردی برای دیگر اصول عملیه باقی نمی ماند .</w:t>
      </w:r>
      <w:r w:rsidR="009E20E3">
        <w:rPr>
          <w:rFonts w:hint="cs"/>
          <w:rtl/>
        </w:rPr>
        <w:t xml:space="preserve"> </w:t>
      </w:r>
      <w:r w:rsidR="003D5E5A">
        <w:rPr>
          <w:rFonts w:hint="cs"/>
          <w:rtl/>
        </w:rPr>
        <w:t xml:space="preserve">این بحث </w:t>
      </w:r>
      <w:r w:rsidR="00F14392">
        <w:rPr>
          <w:rFonts w:hint="cs"/>
          <w:rtl/>
        </w:rPr>
        <w:t>تحق</w:t>
      </w:r>
      <w:r w:rsidR="00152F28">
        <w:rPr>
          <w:rFonts w:hint="cs"/>
          <w:rtl/>
        </w:rPr>
        <w:t>ّ</w:t>
      </w:r>
      <w:r w:rsidR="00F14392">
        <w:rPr>
          <w:rFonts w:hint="cs"/>
          <w:rtl/>
        </w:rPr>
        <w:t xml:space="preserve">ق ورود </w:t>
      </w:r>
      <w:r w:rsidR="00FA43AE">
        <w:rPr>
          <w:rFonts w:hint="cs"/>
          <w:rtl/>
        </w:rPr>
        <w:t>نسبت به اصول عملیه عقلی</w:t>
      </w:r>
      <w:r w:rsidR="00F14392">
        <w:rPr>
          <w:rFonts w:hint="cs"/>
          <w:rtl/>
        </w:rPr>
        <w:t xml:space="preserve"> ، </w:t>
      </w:r>
      <w:r w:rsidR="00C4172B">
        <w:rPr>
          <w:rFonts w:hint="cs"/>
          <w:rtl/>
        </w:rPr>
        <w:t>روشن و واضح است ؛</w:t>
      </w:r>
      <w:r w:rsidR="00727764">
        <w:rPr>
          <w:rFonts w:hint="cs"/>
          <w:rtl/>
        </w:rPr>
        <w:t xml:space="preserve"> استصحاب « بیان » است ، </w:t>
      </w:r>
      <w:r w:rsidR="00B44B70">
        <w:rPr>
          <w:rFonts w:hint="cs"/>
          <w:rtl/>
        </w:rPr>
        <w:t xml:space="preserve">به هنگام اشتمال بر تکلیف </w:t>
      </w:r>
      <w:r w:rsidR="00727764">
        <w:rPr>
          <w:rFonts w:hint="cs"/>
          <w:rtl/>
        </w:rPr>
        <w:t xml:space="preserve">« مومّن » می باشد </w:t>
      </w:r>
      <w:r w:rsidR="00B44B70">
        <w:rPr>
          <w:rFonts w:hint="cs"/>
          <w:rtl/>
        </w:rPr>
        <w:t xml:space="preserve">و در </w:t>
      </w:r>
      <w:r w:rsidR="002F1127">
        <w:rPr>
          <w:rFonts w:hint="cs"/>
          <w:rtl/>
        </w:rPr>
        <w:t>دوران بین محذورین « مرجّح » هست .</w:t>
      </w:r>
    </w:p>
    <w:p w:rsidR="00CA34AC" w:rsidRDefault="003570EE" w:rsidP="003570EE">
      <w:pPr>
        <w:pStyle w:val="Heading1"/>
        <w:rPr>
          <w:rtl/>
        </w:rPr>
      </w:pPr>
      <w:bookmarkStart w:id="4" w:name="_Toc529824932"/>
      <w:bookmarkStart w:id="5" w:name="_Toc529830610"/>
      <w:bookmarkStart w:id="6" w:name="_Toc529830897"/>
      <w:bookmarkStart w:id="7" w:name="_Toc529831197"/>
      <w:bookmarkStart w:id="8" w:name="_Toc529831496"/>
      <w:bookmarkStart w:id="9" w:name="_Toc529831841"/>
      <w:bookmarkStart w:id="10" w:name="_Toc529832376"/>
      <w:bookmarkStart w:id="11" w:name="_Toc529834535"/>
      <w:bookmarkStart w:id="12" w:name="_Toc529834946"/>
      <w:r>
        <w:rPr>
          <w:rFonts w:hint="cs"/>
          <w:rtl/>
        </w:rPr>
        <w:t xml:space="preserve">تطبیق دوم تعارض غیر مستقرّ : ورود </w:t>
      </w:r>
      <w:r w:rsidR="00C10CEB">
        <w:rPr>
          <w:rFonts w:hint="cs"/>
          <w:rtl/>
        </w:rPr>
        <w:t>استصحاب بر اصول شرعی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CA34AC" w:rsidRDefault="00A70F43" w:rsidP="0038696F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B84EE4">
        <w:rPr>
          <w:rFonts w:hint="cs"/>
          <w:rtl/>
        </w:rPr>
        <w:t xml:space="preserve">اما نسبت به اصول عملیه نقلیه </w:t>
      </w:r>
      <w:r w:rsidR="00117956">
        <w:rPr>
          <w:rStyle w:val="FootnoteReference"/>
          <w:rtl/>
        </w:rPr>
        <w:footnoteReference w:id="1"/>
      </w:r>
      <w:r w:rsidR="00B84EE4">
        <w:rPr>
          <w:rFonts w:hint="cs"/>
          <w:rtl/>
        </w:rPr>
        <w:t>هر چن</w:t>
      </w:r>
      <w:r w:rsidR="00C762A0">
        <w:rPr>
          <w:rFonts w:hint="cs"/>
          <w:rtl/>
        </w:rPr>
        <w:t>د نتیجه همین « ورود » است ؛ ولی</w:t>
      </w:r>
      <w:r w:rsidR="00697BA1">
        <w:rPr>
          <w:rFonts w:hint="cs"/>
          <w:rtl/>
        </w:rPr>
        <w:t xml:space="preserve"> تقریب</w:t>
      </w:r>
      <w:r w:rsidR="00B84EE4">
        <w:rPr>
          <w:rFonts w:hint="cs"/>
          <w:rtl/>
        </w:rPr>
        <w:t xml:space="preserve"> </w:t>
      </w:r>
      <w:r w:rsidR="00C762A0">
        <w:rPr>
          <w:rFonts w:hint="cs"/>
          <w:rtl/>
        </w:rPr>
        <w:t xml:space="preserve">مطلب </w:t>
      </w:r>
      <w:r w:rsidR="00B84EE4">
        <w:rPr>
          <w:rFonts w:hint="cs"/>
          <w:rtl/>
        </w:rPr>
        <w:t>مقداری تفاوت دارد .</w:t>
      </w:r>
      <w:r w:rsidR="007E07DC">
        <w:rPr>
          <w:rFonts w:hint="cs"/>
          <w:rtl/>
        </w:rPr>
        <w:t xml:space="preserve"> مرحوم آخوند </w:t>
      </w:r>
      <w:r w:rsidR="00202DE0">
        <w:rPr>
          <w:rFonts w:hint="cs"/>
          <w:rtl/>
        </w:rPr>
        <w:t xml:space="preserve">تحقّق </w:t>
      </w:r>
      <w:r w:rsidR="007E07DC">
        <w:rPr>
          <w:rFonts w:hint="cs"/>
          <w:rtl/>
        </w:rPr>
        <w:t>ورود در این محلّ را بر اساس توفیق عرفی بنا کرده اند</w:t>
      </w:r>
      <w:r w:rsidR="00BF2BAD">
        <w:rPr>
          <w:rFonts w:hint="cs"/>
          <w:rtl/>
        </w:rPr>
        <w:t xml:space="preserve"> .</w:t>
      </w:r>
      <w:r w:rsidR="00861414">
        <w:rPr>
          <w:rStyle w:val="FootnoteReference"/>
          <w:rtl/>
        </w:rPr>
        <w:footnoteReference w:id="2"/>
      </w:r>
      <w:r w:rsidR="00BF2BAD">
        <w:rPr>
          <w:rFonts w:hint="cs"/>
          <w:rtl/>
        </w:rPr>
        <w:t xml:space="preserve"> </w:t>
      </w:r>
    </w:p>
    <w:p w:rsidR="00096224" w:rsidRDefault="00DE13A0" w:rsidP="00096224">
      <w:pPr>
        <w:pStyle w:val="Heading6"/>
        <w:rPr>
          <w:rtl/>
        </w:rPr>
      </w:pPr>
      <w:bookmarkStart w:id="13" w:name="_Toc529824933"/>
      <w:bookmarkStart w:id="14" w:name="_Toc529830611"/>
      <w:bookmarkStart w:id="15" w:name="_Toc529830898"/>
      <w:bookmarkStart w:id="16" w:name="_Toc529831198"/>
      <w:bookmarkStart w:id="17" w:name="_Toc529831497"/>
      <w:bookmarkStart w:id="18" w:name="_Toc529831842"/>
      <w:bookmarkStart w:id="19" w:name="_Toc529832377"/>
      <w:bookmarkStart w:id="20" w:name="_Toc529834536"/>
      <w:bookmarkStart w:id="21" w:name="_Toc529834947"/>
      <w:r>
        <w:rPr>
          <w:rFonts w:hint="cs"/>
          <w:rtl/>
        </w:rPr>
        <w:t>مقدمه :</w:t>
      </w:r>
      <w:r w:rsidR="00153508">
        <w:rPr>
          <w:rFonts w:hint="cs"/>
          <w:rtl/>
        </w:rPr>
        <w:t xml:space="preserve"> </w:t>
      </w:r>
      <w:r w:rsidR="00096224">
        <w:rPr>
          <w:rFonts w:hint="cs"/>
          <w:rtl/>
        </w:rPr>
        <w:t>وقوع توفیق عرفی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C60657" w:rsidRDefault="001B6FBA" w:rsidP="00676948">
      <w:pPr>
        <w:jc w:val="both"/>
        <w:rPr>
          <w:rtl/>
        </w:rPr>
      </w:pPr>
      <w:r>
        <w:rPr>
          <w:rFonts w:hint="cs"/>
          <w:rtl/>
        </w:rPr>
        <w:t xml:space="preserve">   تقریب مطلب این است که لحاظ دو دلیل « لا تنقض الیقین بالشک » و « رفع ما لا یعلمون » </w:t>
      </w:r>
      <w:r w:rsidR="00372059">
        <w:rPr>
          <w:rFonts w:hint="cs"/>
          <w:rtl/>
        </w:rPr>
        <w:t xml:space="preserve">همراه </w:t>
      </w:r>
      <w:r>
        <w:rPr>
          <w:rFonts w:hint="cs"/>
          <w:rtl/>
        </w:rPr>
        <w:t xml:space="preserve">با یکدیگر ، </w:t>
      </w:r>
      <w:r w:rsidR="003E5D13">
        <w:rPr>
          <w:rFonts w:hint="cs"/>
          <w:rtl/>
        </w:rPr>
        <w:t>منش</w:t>
      </w:r>
      <w:r w:rsidR="006D413D">
        <w:rPr>
          <w:rFonts w:hint="cs"/>
          <w:rtl/>
        </w:rPr>
        <w:t>ا</w:t>
      </w:r>
      <w:r w:rsidR="003E5D13">
        <w:rPr>
          <w:rFonts w:hint="cs"/>
          <w:rtl/>
        </w:rPr>
        <w:t xml:space="preserve"> می شود که د</w:t>
      </w:r>
      <w:r w:rsidR="00F237F5">
        <w:rPr>
          <w:rFonts w:hint="cs"/>
          <w:rtl/>
        </w:rPr>
        <w:t>ر دلیل برائت تصرّف کنیم و بگوییم</w:t>
      </w:r>
      <w:r w:rsidR="003E5D13">
        <w:rPr>
          <w:rFonts w:hint="cs"/>
          <w:rtl/>
        </w:rPr>
        <w:t xml:space="preserve"> موضوع آن « شک از جمیع جهات » است .</w:t>
      </w:r>
      <w:r w:rsidR="00F237F5">
        <w:rPr>
          <w:rFonts w:hint="cs"/>
          <w:rtl/>
        </w:rPr>
        <w:t xml:space="preserve"> </w:t>
      </w:r>
      <w:r w:rsidR="000E75B0">
        <w:rPr>
          <w:rFonts w:hint="cs"/>
          <w:rtl/>
        </w:rPr>
        <w:t xml:space="preserve">شک از جمیع جهات یعنی این که نه </w:t>
      </w:r>
      <w:r w:rsidR="000E75B0">
        <w:rPr>
          <w:rFonts w:hint="cs"/>
          <w:rtl/>
        </w:rPr>
        <w:lastRenderedPageBreak/>
        <w:t>فقط حکم واقعی شیء</w:t>
      </w:r>
      <w:r w:rsidR="00F237F5">
        <w:rPr>
          <w:rFonts w:hint="cs"/>
          <w:rtl/>
        </w:rPr>
        <w:t xml:space="preserve"> </w:t>
      </w:r>
      <w:r w:rsidR="00CD3339">
        <w:rPr>
          <w:rFonts w:hint="cs"/>
          <w:rtl/>
        </w:rPr>
        <w:t>، بلکه حتّی</w:t>
      </w:r>
      <w:r w:rsidR="004E7124">
        <w:rPr>
          <w:rFonts w:hint="cs"/>
          <w:rtl/>
        </w:rPr>
        <w:t xml:space="preserve"> وظیفه ظاهری</w:t>
      </w:r>
      <w:r w:rsidR="000E75B0">
        <w:rPr>
          <w:rFonts w:hint="cs"/>
          <w:rtl/>
        </w:rPr>
        <w:t xml:space="preserve"> </w:t>
      </w:r>
      <w:r w:rsidR="00CD3339">
        <w:rPr>
          <w:rFonts w:hint="cs"/>
          <w:rtl/>
        </w:rPr>
        <w:t xml:space="preserve">مکلّف نسبت به آن شیء </w:t>
      </w:r>
      <w:r w:rsidR="000E75B0">
        <w:rPr>
          <w:rFonts w:hint="cs"/>
          <w:rtl/>
        </w:rPr>
        <w:t xml:space="preserve">هم مشکوک باشد </w:t>
      </w:r>
      <w:r w:rsidR="00A75EFB">
        <w:rPr>
          <w:rFonts w:hint="cs"/>
          <w:rtl/>
        </w:rPr>
        <w:t xml:space="preserve">. چنین تصرّفی </w:t>
      </w:r>
      <w:r w:rsidR="00813E72">
        <w:rPr>
          <w:rFonts w:hint="cs"/>
          <w:rtl/>
        </w:rPr>
        <w:t>در دلیل برائت</w:t>
      </w:r>
      <w:r w:rsidR="00A75EFB">
        <w:rPr>
          <w:rFonts w:hint="cs"/>
          <w:rtl/>
        </w:rPr>
        <w:t xml:space="preserve"> به لحاظ</w:t>
      </w:r>
      <w:r w:rsidR="00813E72">
        <w:rPr>
          <w:rFonts w:hint="cs"/>
          <w:rtl/>
        </w:rPr>
        <w:t xml:space="preserve"> </w:t>
      </w:r>
      <w:r w:rsidR="00A75EFB">
        <w:rPr>
          <w:rFonts w:hint="cs"/>
          <w:rtl/>
        </w:rPr>
        <w:t>قرینیت</w:t>
      </w:r>
      <w:r w:rsidR="003C2578">
        <w:rPr>
          <w:rFonts w:hint="cs"/>
          <w:rtl/>
        </w:rPr>
        <w:t xml:space="preserve"> مجموع دو دلیل</w:t>
      </w:r>
      <w:r w:rsidR="00A75EFB">
        <w:rPr>
          <w:rFonts w:hint="cs"/>
          <w:rtl/>
        </w:rPr>
        <w:t xml:space="preserve"> ، توفیق عرفی است </w:t>
      </w:r>
      <w:r w:rsidR="000A2475">
        <w:rPr>
          <w:rFonts w:hint="cs"/>
          <w:rtl/>
        </w:rPr>
        <w:t>.</w:t>
      </w:r>
      <w:r w:rsidR="005B0FDF">
        <w:rPr>
          <w:rFonts w:hint="cs"/>
          <w:rtl/>
        </w:rPr>
        <w:t xml:space="preserve"> </w:t>
      </w:r>
      <w:r w:rsidR="00C13F26">
        <w:rPr>
          <w:rStyle w:val="FootnoteReference"/>
          <w:rtl/>
        </w:rPr>
        <w:footnoteReference w:id="3"/>
      </w:r>
    </w:p>
    <w:p w:rsidR="006F5911" w:rsidRDefault="00C60657" w:rsidP="00D5442D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96356B">
        <w:rPr>
          <w:rFonts w:hint="cs"/>
          <w:rtl/>
        </w:rPr>
        <w:t xml:space="preserve">تقریر </w:t>
      </w:r>
      <w:r w:rsidR="00923239">
        <w:rPr>
          <w:rFonts w:hint="cs"/>
          <w:rtl/>
        </w:rPr>
        <w:t>دیگر</w:t>
      </w:r>
      <w:r w:rsidR="00167962">
        <w:rPr>
          <w:rFonts w:hint="cs"/>
          <w:rtl/>
        </w:rPr>
        <w:t xml:space="preserve"> </w:t>
      </w:r>
      <w:r w:rsidR="00C800D7">
        <w:rPr>
          <w:rFonts w:hint="cs"/>
          <w:rtl/>
        </w:rPr>
        <w:t>توفیق عرفی ای</w:t>
      </w:r>
      <w:r w:rsidR="0096356B">
        <w:rPr>
          <w:rFonts w:hint="cs"/>
          <w:rtl/>
        </w:rPr>
        <w:t xml:space="preserve">ن است که </w:t>
      </w:r>
      <w:r w:rsidR="000F42F8">
        <w:rPr>
          <w:rFonts w:hint="cs"/>
          <w:rtl/>
        </w:rPr>
        <w:t xml:space="preserve">مفاد دلیل </w:t>
      </w:r>
      <w:r w:rsidR="00167962">
        <w:rPr>
          <w:rFonts w:hint="cs"/>
          <w:rtl/>
        </w:rPr>
        <w:t xml:space="preserve">استصحاب حجت بر </w:t>
      </w:r>
      <w:r w:rsidR="00E54892">
        <w:rPr>
          <w:rFonts w:hint="cs"/>
          <w:rtl/>
        </w:rPr>
        <w:t xml:space="preserve">بقاء </w:t>
      </w:r>
      <w:r w:rsidR="000F42F8">
        <w:rPr>
          <w:rFonts w:hint="cs"/>
          <w:rtl/>
        </w:rPr>
        <w:t xml:space="preserve">است و ضمیمه آن به « رفع ما لایعلمون » </w:t>
      </w:r>
      <w:r w:rsidR="00D94E1E">
        <w:rPr>
          <w:rFonts w:hint="cs"/>
          <w:rtl/>
        </w:rPr>
        <w:t xml:space="preserve">، که فی حد نفسه شامل موارد ثبوت حالت سابقه هم می شود ، باعث می شود که دیگر </w:t>
      </w:r>
      <w:r w:rsidR="00FE7254">
        <w:rPr>
          <w:rFonts w:hint="cs"/>
          <w:rtl/>
        </w:rPr>
        <w:t xml:space="preserve">این دلیل </w:t>
      </w:r>
      <w:r w:rsidR="00D94E1E">
        <w:rPr>
          <w:rFonts w:hint="cs"/>
          <w:rtl/>
        </w:rPr>
        <w:t>حجت</w:t>
      </w:r>
      <w:r w:rsidR="00263231">
        <w:rPr>
          <w:rFonts w:hint="cs"/>
          <w:rtl/>
        </w:rPr>
        <w:t xml:space="preserve"> باشد در « ما لا یعلم حکمه بأیّ عنوان ؛ بعنوانه الأولی أو عنوان أنّه مشکوک البقاء » . </w:t>
      </w:r>
      <w:r w:rsidR="004C78F7">
        <w:rPr>
          <w:rFonts w:hint="cs"/>
          <w:rtl/>
        </w:rPr>
        <w:t>پس مفاد دلیل برائت</w:t>
      </w:r>
      <w:r w:rsidR="00357AAA">
        <w:rPr>
          <w:rFonts w:hint="cs"/>
          <w:rtl/>
        </w:rPr>
        <w:t xml:space="preserve"> به حسب حجیت</w:t>
      </w:r>
      <w:r w:rsidR="004C78F7">
        <w:rPr>
          <w:rFonts w:hint="cs"/>
          <w:rtl/>
        </w:rPr>
        <w:t xml:space="preserve"> </w:t>
      </w:r>
      <w:r w:rsidR="00357AAA">
        <w:rPr>
          <w:rStyle w:val="FootnoteReference"/>
          <w:rtl/>
        </w:rPr>
        <w:footnoteReference w:id="4"/>
      </w:r>
      <w:r w:rsidR="005D4F2B">
        <w:rPr>
          <w:rFonts w:hint="cs"/>
          <w:rtl/>
        </w:rPr>
        <w:t xml:space="preserve"> عبارت است از جایی که </w:t>
      </w:r>
      <w:r w:rsidR="00BC6775">
        <w:rPr>
          <w:rFonts w:hint="cs"/>
          <w:rtl/>
        </w:rPr>
        <w:t>حجت بر حکم</w:t>
      </w:r>
      <w:r w:rsidR="00794FCA">
        <w:rPr>
          <w:rFonts w:hint="cs"/>
          <w:rtl/>
        </w:rPr>
        <w:t>ی</w:t>
      </w:r>
      <w:r w:rsidR="00BC6775">
        <w:rPr>
          <w:rFonts w:hint="cs"/>
          <w:rtl/>
        </w:rPr>
        <w:t xml:space="preserve"> الزامی نه به عنوان اولی </w:t>
      </w:r>
      <w:r w:rsidR="00BC6775">
        <w:rPr>
          <w:rFonts w:ascii="Times New Roman" w:hAnsi="Times New Roman" w:cs="Times New Roman" w:hint="cs"/>
          <w:rtl/>
        </w:rPr>
        <w:t>–</w:t>
      </w:r>
      <w:r w:rsidR="00BC6775">
        <w:rPr>
          <w:rFonts w:hint="cs"/>
          <w:rtl/>
        </w:rPr>
        <w:t xml:space="preserve"> یعنی عنوان واقعی </w:t>
      </w:r>
      <w:r w:rsidR="00BC6775">
        <w:rPr>
          <w:rFonts w:ascii="Times New Roman" w:hAnsi="Times New Roman" w:cs="Times New Roman" w:hint="cs"/>
          <w:rtl/>
        </w:rPr>
        <w:t>–</w:t>
      </w:r>
      <w:r w:rsidR="00BC6775">
        <w:rPr>
          <w:rFonts w:hint="cs"/>
          <w:rtl/>
        </w:rPr>
        <w:t xml:space="preserve"> و نه به عنوان طاری</w:t>
      </w:r>
      <w:r w:rsidR="00794FCA">
        <w:rPr>
          <w:rFonts w:hint="cs"/>
          <w:rtl/>
        </w:rPr>
        <w:t>ِ</w:t>
      </w:r>
      <w:r w:rsidR="00BC6775">
        <w:rPr>
          <w:rFonts w:hint="cs"/>
          <w:rtl/>
        </w:rPr>
        <w:t xml:space="preserve"> مشکوک البقاء</w:t>
      </w:r>
      <w:r w:rsidR="004C78F7">
        <w:rPr>
          <w:rFonts w:hint="cs"/>
          <w:rtl/>
        </w:rPr>
        <w:t xml:space="preserve"> </w:t>
      </w:r>
      <w:r w:rsidR="00794FCA">
        <w:rPr>
          <w:rFonts w:hint="cs"/>
          <w:rtl/>
        </w:rPr>
        <w:t xml:space="preserve"> ، نداشته باشیم .</w:t>
      </w:r>
      <w:r>
        <w:rPr>
          <w:rFonts w:hint="cs"/>
          <w:rtl/>
        </w:rPr>
        <w:t xml:space="preserve"> </w:t>
      </w:r>
    </w:p>
    <w:p w:rsidR="00DC144E" w:rsidRDefault="00DC144E" w:rsidP="00DC144E">
      <w:pPr>
        <w:pStyle w:val="Heading6"/>
        <w:rPr>
          <w:rtl/>
        </w:rPr>
      </w:pPr>
      <w:bookmarkStart w:id="22" w:name="_Toc529830899"/>
      <w:bookmarkStart w:id="23" w:name="_Toc529831199"/>
      <w:bookmarkStart w:id="24" w:name="_Toc529831498"/>
      <w:bookmarkStart w:id="25" w:name="_Toc529831843"/>
      <w:bookmarkStart w:id="26" w:name="_Toc529832378"/>
      <w:bookmarkStart w:id="27" w:name="_Toc529834537"/>
      <w:bookmarkStart w:id="28" w:name="_Toc529834948"/>
      <w:r>
        <w:rPr>
          <w:rFonts w:hint="cs"/>
          <w:rtl/>
        </w:rPr>
        <w:t>وجه تقدیم استصحاب : ورود</w:t>
      </w:r>
      <w:bookmarkEnd w:id="22"/>
      <w:bookmarkEnd w:id="23"/>
      <w:bookmarkEnd w:id="24"/>
      <w:bookmarkEnd w:id="25"/>
      <w:bookmarkEnd w:id="26"/>
      <w:bookmarkEnd w:id="27"/>
      <w:bookmarkEnd w:id="28"/>
    </w:p>
    <w:p w:rsidR="00B665DF" w:rsidRDefault="006F5911" w:rsidP="00E83706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AE3D0B">
        <w:rPr>
          <w:rFonts w:hint="cs"/>
          <w:rtl/>
        </w:rPr>
        <w:t xml:space="preserve">بنا بر این مطلب </w:t>
      </w:r>
      <w:r w:rsidR="00D91370">
        <w:rPr>
          <w:rFonts w:hint="cs"/>
          <w:rtl/>
        </w:rPr>
        <w:t>در موارد</w:t>
      </w:r>
      <w:r w:rsidR="0075223B">
        <w:rPr>
          <w:rFonts w:hint="cs"/>
          <w:rtl/>
        </w:rPr>
        <w:t xml:space="preserve"> استصحاب حکم الزامی به </w:t>
      </w:r>
      <w:r w:rsidR="00D91370">
        <w:rPr>
          <w:rFonts w:hint="cs"/>
          <w:rtl/>
        </w:rPr>
        <w:t xml:space="preserve">مانند موارد علم به حکم الزامی ، اصل برائت موضوع ندارد </w:t>
      </w:r>
      <w:r w:rsidR="00B77956">
        <w:rPr>
          <w:rFonts w:hint="cs"/>
          <w:rtl/>
        </w:rPr>
        <w:t>؛ چون در مو</w:t>
      </w:r>
      <w:r w:rsidR="00D91370">
        <w:rPr>
          <w:rFonts w:hint="cs"/>
          <w:rtl/>
        </w:rPr>
        <w:t>ر</w:t>
      </w:r>
      <w:r w:rsidR="004C0A28">
        <w:rPr>
          <w:rFonts w:hint="cs"/>
          <w:rtl/>
        </w:rPr>
        <w:t xml:space="preserve">د استصحاب </w:t>
      </w:r>
      <w:r w:rsidR="00D07EF1">
        <w:rPr>
          <w:rFonts w:hint="cs"/>
          <w:rtl/>
        </w:rPr>
        <w:t>اطلاق دلیل آن اقتضاء</w:t>
      </w:r>
      <w:r w:rsidR="00783A63">
        <w:rPr>
          <w:rFonts w:hint="cs"/>
          <w:rtl/>
        </w:rPr>
        <w:t xml:space="preserve"> شمول حجیت</w:t>
      </w:r>
      <w:r w:rsidR="00E32055">
        <w:rPr>
          <w:rFonts w:hint="cs"/>
          <w:rtl/>
        </w:rPr>
        <w:t xml:space="preserve"> نسبت به مقام را دارد </w:t>
      </w:r>
      <w:r w:rsidR="00EF17D9">
        <w:rPr>
          <w:rFonts w:hint="cs"/>
          <w:rtl/>
        </w:rPr>
        <w:t xml:space="preserve">اما دلیل برائت </w:t>
      </w:r>
      <w:r w:rsidR="000930C4">
        <w:rPr>
          <w:rFonts w:hint="cs"/>
          <w:rtl/>
        </w:rPr>
        <w:t xml:space="preserve">چنین اقتضایی ندارد </w:t>
      </w:r>
      <w:r w:rsidR="00A97D01">
        <w:rPr>
          <w:rFonts w:hint="cs"/>
          <w:rtl/>
        </w:rPr>
        <w:t>زیرا موضوع برائت</w:t>
      </w:r>
      <w:r w:rsidR="000930C4">
        <w:rPr>
          <w:rFonts w:hint="cs"/>
          <w:rtl/>
        </w:rPr>
        <w:t xml:space="preserve"> مشکوک از جمیع وجوه </w:t>
      </w:r>
      <w:r w:rsidR="00B01B4B">
        <w:rPr>
          <w:rFonts w:hint="cs"/>
          <w:rtl/>
        </w:rPr>
        <w:t>(یا جمیع جهات</w:t>
      </w:r>
      <w:r w:rsidR="00E83706">
        <w:rPr>
          <w:rFonts w:hint="cs"/>
          <w:rtl/>
        </w:rPr>
        <w:t>)</w:t>
      </w:r>
      <w:r w:rsidR="002059A7">
        <w:rPr>
          <w:rFonts w:hint="cs"/>
          <w:rtl/>
        </w:rPr>
        <w:t xml:space="preserve"> </w:t>
      </w:r>
      <w:r w:rsidR="000930C4">
        <w:rPr>
          <w:rFonts w:hint="cs"/>
          <w:rtl/>
        </w:rPr>
        <w:t xml:space="preserve">است </w:t>
      </w:r>
      <w:r w:rsidR="002059A7">
        <w:rPr>
          <w:rFonts w:hint="cs"/>
          <w:rtl/>
        </w:rPr>
        <w:t xml:space="preserve">و شامل آن موردی که به </w:t>
      </w:r>
      <w:r w:rsidR="00F62721">
        <w:rPr>
          <w:rFonts w:hint="cs"/>
          <w:rtl/>
        </w:rPr>
        <w:t xml:space="preserve">شیء به </w:t>
      </w:r>
      <w:r w:rsidR="002059A7">
        <w:rPr>
          <w:rFonts w:hint="cs"/>
          <w:rtl/>
        </w:rPr>
        <w:t xml:space="preserve">عنوانی </w:t>
      </w:r>
      <w:r w:rsidR="00F62721">
        <w:rPr>
          <w:rFonts w:hint="cs"/>
          <w:rtl/>
        </w:rPr>
        <w:t xml:space="preserve">دارای </w:t>
      </w:r>
      <w:r w:rsidR="002059A7">
        <w:rPr>
          <w:rFonts w:hint="cs"/>
          <w:rtl/>
        </w:rPr>
        <w:t>حکم</w:t>
      </w:r>
      <w:r w:rsidR="00F62721">
        <w:rPr>
          <w:rFonts w:hint="cs"/>
          <w:rtl/>
        </w:rPr>
        <w:t xml:space="preserve"> می باشد ، ن</w:t>
      </w:r>
      <w:r w:rsidR="000D72EB">
        <w:rPr>
          <w:rFonts w:hint="cs"/>
          <w:rtl/>
        </w:rPr>
        <w:t xml:space="preserve">یست </w:t>
      </w:r>
      <w:r w:rsidR="000930C4">
        <w:rPr>
          <w:rFonts w:hint="cs"/>
          <w:rtl/>
        </w:rPr>
        <w:t>.</w:t>
      </w:r>
      <w:r w:rsidR="00D91370">
        <w:rPr>
          <w:rFonts w:hint="cs"/>
          <w:rtl/>
        </w:rPr>
        <w:t xml:space="preserve"> </w:t>
      </w:r>
      <w:r w:rsidR="00D915C9">
        <w:rPr>
          <w:rFonts w:hint="cs"/>
          <w:rtl/>
        </w:rPr>
        <w:t xml:space="preserve">بنابراین توفیق عرفی باعث تصرّف در مفاد دلیل برائت </w:t>
      </w:r>
      <w:r w:rsidR="001A328B">
        <w:rPr>
          <w:rFonts w:hint="cs"/>
          <w:rtl/>
        </w:rPr>
        <w:t>و تبدیل</w:t>
      </w:r>
      <w:r w:rsidR="00D642F5">
        <w:rPr>
          <w:rFonts w:hint="cs"/>
          <w:rtl/>
        </w:rPr>
        <w:t xml:space="preserve"> مو</w:t>
      </w:r>
      <w:r w:rsidR="001A328B">
        <w:rPr>
          <w:rFonts w:hint="cs"/>
          <w:rtl/>
        </w:rPr>
        <w:t>ضوع آن به</w:t>
      </w:r>
      <w:r w:rsidR="00086BA8">
        <w:rPr>
          <w:rFonts w:hint="cs"/>
          <w:rtl/>
        </w:rPr>
        <w:t xml:space="preserve"> «</w:t>
      </w:r>
      <w:r w:rsidR="00B01B4B">
        <w:rPr>
          <w:rFonts w:hint="cs"/>
          <w:rtl/>
        </w:rPr>
        <w:t xml:space="preserve"> </w:t>
      </w:r>
      <w:r w:rsidR="00086BA8">
        <w:rPr>
          <w:rFonts w:hint="cs"/>
          <w:rtl/>
        </w:rPr>
        <w:t>کلّ ما مشکوک من جمیع الجهات</w:t>
      </w:r>
      <w:r w:rsidR="00F51CEF">
        <w:rPr>
          <w:rFonts w:hint="cs"/>
          <w:rtl/>
        </w:rPr>
        <w:t xml:space="preserve"> </w:t>
      </w:r>
      <w:r w:rsidR="00D642F5">
        <w:rPr>
          <w:rFonts w:hint="cs"/>
          <w:rtl/>
        </w:rPr>
        <w:t xml:space="preserve">» </w:t>
      </w:r>
      <w:r w:rsidR="00086BA8">
        <w:rPr>
          <w:rFonts w:hint="cs"/>
          <w:rtl/>
        </w:rPr>
        <w:t>می شود</w:t>
      </w:r>
      <w:r w:rsidR="00B01B4B">
        <w:rPr>
          <w:rFonts w:hint="cs"/>
          <w:rtl/>
        </w:rPr>
        <w:t xml:space="preserve"> </w:t>
      </w:r>
      <w:r w:rsidR="009518D2">
        <w:rPr>
          <w:rStyle w:val="FootnoteReference"/>
          <w:rtl/>
        </w:rPr>
        <w:footnoteReference w:id="5"/>
      </w:r>
      <w:r w:rsidR="00D642F5">
        <w:rPr>
          <w:rFonts w:hint="cs"/>
          <w:rtl/>
        </w:rPr>
        <w:t>و این مفاد</w:t>
      </w:r>
      <w:r w:rsidR="00C739D8">
        <w:rPr>
          <w:rFonts w:hint="cs"/>
          <w:rtl/>
        </w:rPr>
        <w:t xml:space="preserve"> دیگر </w:t>
      </w:r>
      <w:r w:rsidR="00A3232B">
        <w:rPr>
          <w:rFonts w:hint="cs"/>
          <w:rtl/>
        </w:rPr>
        <w:t>شامل موارد شک در بقاء نیست</w:t>
      </w:r>
      <w:r w:rsidR="00C739D8">
        <w:rPr>
          <w:rFonts w:hint="cs"/>
          <w:rtl/>
        </w:rPr>
        <w:t xml:space="preserve"> .</w:t>
      </w:r>
      <w:r w:rsidR="00B006CC">
        <w:rPr>
          <w:rStyle w:val="FootnoteReference"/>
          <w:rtl/>
        </w:rPr>
        <w:footnoteReference w:id="6"/>
      </w:r>
      <w:r w:rsidR="00676948">
        <w:rPr>
          <w:rFonts w:hint="cs"/>
          <w:rtl/>
        </w:rPr>
        <w:t xml:space="preserve">   </w:t>
      </w:r>
      <w:r w:rsidR="004A2E0E">
        <w:rPr>
          <w:rFonts w:hint="cs"/>
          <w:rtl/>
        </w:rPr>
        <w:t xml:space="preserve"> </w:t>
      </w:r>
      <w:r w:rsidR="007F41B8">
        <w:rPr>
          <w:rFonts w:hint="cs"/>
          <w:rtl/>
        </w:rPr>
        <w:t xml:space="preserve"> </w:t>
      </w:r>
    </w:p>
    <w:p w:rsidR="00B665DF" w:rsidRDefault="00ED1D00" w:rsidP="00AA35F5">
      <w:pPr>
        <w:pStyle w:val="Heading1"/>
        <w:rPr>
          <w:rtl/>
        </w:rPr>
      </w:pPr>
      <w:bookmarkStart w:id="29" w:name="_Toc529830901"/>
      <w:bookmarkStart w:id="30" w:name="_Toc529831201"/>
      <w:bookmarkStart w:id="31" w:name="_Toc529831500"/>
      <w:bookmarkStart w:id="32" w:name="_Toc529831845"/>
      <w:bookmarkStart w:id="33" w:name="_Toc529832380"/>
      <w:bookmarkStart w:id="34" w:name="_Toc529834538"/>
      <w:bookmarkStart w:id="35" w:name="_Toc529834949"/>
      <w:r>
        <w:rPr>
          <w:rFonts w:hint="cs"/>
          <w:rtl/>
        </w:rPr>
        <w:t>دور : مانع از تقدیم دلیل برائت</w:t>
      </w:r>
      <w:bookmarkEnd w:id="29"/>
      <w:bookmarkEnd w:id="30"/>
      <w:bookmarkEnd w:id="31"/>
      <w:bookmarkEnd w:id="32"/>
      <w:bookmarkEnd w:id="33"/>
      <w:bookmarkEnd w:id="34"/>
      <w:bookmarkEnd w:id="35"/>
      <w:r>
        <w:rPr>
          <w:rFonts w:hint="cs"/>
          <w:rtl/>
        </w:rPr>
        <w:t xml:space="preserve"> </w:t>
      </w:r>
    </w:p>
    <w:p w:rsidR="00676948" w:rsidRDefault="00B665DF" w:rsidP="00676948">
      <w:pPr>
        <w:jc w:val="both"/>
        <w:rPr>
          <w:rtl/>
        </w:rPr>
      </w:pPr>
      <w:r>
        <w:rPr>
          <w:rFonts w:hint="cs"/>
          <w:rtl/>
        </w:rPr>
        <w:t xml:space="preserve">   آن چه گفته شد در تقدیم دلیل استصحاب بود ؛ </w:t>
      </w:r>
      <w:r w:rsidR="00FB41F6">
        <w:rPr>
          <w:rFonts w:hint="cs"/>
          <w:rtl/>
        </w:rPr>
        <w:t xml:space="preserve">اما در مورد دلیل برائت باید گفت طریق مقدّم شدن آن منحصر در تخصیص </w:t>
      </w:r>
      <w:r w:rsidR="00AE2B61">
        <w:rPr>
          <w:rFonts w:hint="cs"/>
          <w:rtl/>
        </w:rPr>
        <w:t xml:space="preserve">دلیل استصحاب است </w:t>
      </w:r>
      <w:r w:rsidR="00EC6384">
        <w:rPr>
          <w:rStyle w:val="FootnoteReference"/>
          <w:rtl/>
        </w:rPr>
        <w:footnoteReference w:id="7"/>
      </w:r>
      <w:r w:rsidR="0082113F">
        <w:rPr>
          <w:rFonts w:hint="cs"/>
          <w:rtl/>
        </w:rPr>
        <w:t>و این تخصیص ممکن نیست مگر به وجه</w:t>
      </w:r>
      <w:r w:rsidR="00FF0248">
        <w:rPr>
          <w:rFonts w:hint="cs"/>
          <w:rtl/>
        </w:rPr>
        <w:t>ی</w:t>
      </w:r>
      <w:r w:rsidR="0082113F">
        <w:rPr>
          <w:rFonts w:hint="cs"/>
          <w:rtl/>
        </w:rPr>
        <w:t xml:space="preserve"> دوری ! </w:t>
      </w:r>
      <w:r w:rsidR="00E220F5">
        <w:rPr>
          <w:rFonts w:hint="cs"/>
          <w:rtl/>
        </w:rPr>
        <w:t xml:space="preserve">زیرا تخصیص دلیل استصحاب به دلیل اصل برائت متوقّف است بر عدم تخصیص دلیل برائت </w:t>
      </w:r>
      <w:r w:rsidR="002F7151">
        <w:rPr>
          <w:rFonts w:hint="cs"/>
          <w:rtl/>
        </w:rPr>
        <w:t xml:space="preserve">، </w:t>
      </w:r>
      <w:r w:rsidR="00E220F5">
        <w:rPr>
          <w:rFonts w:hint="cs"/>
          <w:rtl/>
        </w:rPr>
        <w:t xml:space="preserve">و عدم تخصیص دلیل برائت متوقف بر عدم مخصصیت دلیل استصحاب </w:t>
      </w:r>
      <w:r w:rsidR="0092108A">
        <w:rPr>
          <w:rFonts w:hint="cs"/>
          <w:rtl/>
        </w:rPr>
        <w:t>می باشد در حالی که</w:t>
      </w:r>
      <w:r w:rsidR="00E220F5">
        <w:rPr>
          <w:rFonts w:hint="cs"/>
          <w:rtl/>
        </w:rPr>
        <w:t xml:space="preserve"> این </w:t>
      </w:r>
      <w:r w:rsidR="00E06988">
        <w:rPr>
          <w:rFonts w:hint="cs"/>
          <w:rtl/>
        </w:rPr>
        <w:t>عدم مخصصیت متوقف است بر تخصیص دلیل استصحاب .</w:t>
      </w:r>
    </w:p>
    <w:p w:rsidR="007C39A0" w:rsidRDefault="00291951" w:rsidP="007C39A0">
      <w:pPr>
        <w:pStyle w:val="Heading6"/>
        <w:rPr>
          <w:rtl/>
        </w:rPr>
      </w:pPr>
      <w:bookmarkStart w:id="36" w:name="_Toc529831202"/>
      <w:bookmarkStart w:id="37" w:name="_Toc529831501"/>
      <w:bookmarkStart w:id="38" w:name="_Toc529831846"/>
      <w:bookmarkStart w:id="39" w:name="_Toc529832381"/>
      <w:bookmarkStart w:id="40" w:name="_Toc529834539"/>
      <w:bookmarkStart w:id="41" w:name="_Toc529834950"/>
      <w:r>
        <w:rPr>
          <w:rFonts w:hint="cs"/>
          <w:rtl/>
        </w:rPr>
        <w:lastRenderedPageBreak/>
        <w:t xml:space="preserve">تذکّر : </w:t>
      </w:r>
      <w:r w:rsidR="007C39A0">
        <w:rPr>
          <w:rFonts w:hint="cs"/>
          <w:rtl/>
        </w:rPr>
        <w:t>عدم استلزام دور به سبب تقدیم استصحاب</w:t>
      </w:r>
      <w:bookmarkEnd w:id="36"/>
      <w:bookmarkEnd w:id="37"/>
      <w:bookmarkEnd w:id="38"/>
      <w:bookmarkEnd w:id="39"/>
      <w:bookmarkEnd w:id="40"/>
      <w:bookmarkEnd w:id="41"/>
    </w:p>
    <w:p w:rsidR="00EB42DC" w:rsidRDefault="00166384" w:rsidP="00676948">
      <w:pPr>
        <w:jc w:val="both"/>
        <w:rPr>
          <w:rtl/>
        </w:rPr>
      </w:pPr>
      <w:r>
        <w:rPr>
          <w:rFonts w:hint="cs"/>
          <w:rtl/>
        </w:rPr>
        <w:t xml:space="preserve">   این دور از جانب استصحاب وجود ندارد </w:t>
      </w:r>
      <w:r w:rsidR="00D55601">
        <w:rPr>
          <w:rFonts w:hint="cs"/>
          <w:rtl/>
        </w:rPr>
        <w:t xml:space="preserve">چون بر اساس توفیق عرفی مفاد دلیل اصل برائت تبدیل شد به جایی که نه علم و نه حجت بر حکم الزامی وجود نداشته باشد </w:t>
      </w:r>
      <w:r w:rsidR="005C6660">
        <w:rPr>
          <w:rFonts w:hint="cs"/>
          <w:rtl/>
        </w:rPr>
        <w:t>؛ و دلیل استصحاب حجت است مگر این که</w:t>
      </w:r>
      <w:r w:rsidR="000734C4">
        <w:rPr>
          <w:rFonts w:hint="cs"/>
          <w:rtl/>
        </w:rPr>
        <w:t xml:space="preserve"> مواجه با تخصیص شو</w:t>
      </w:r>
      <w:r w:rsidR="005C6660">
        <w:rPr>
          <w:rFonts w:hint="cs"/>
          <w:rtl/>
        </w:rPr>
        <w:t>د و تخصیص هم گفته شد که دوری است .</w:t>
      </w:r>
      <w:r w:rsidR="00EB42DC">
        <w:rPr>
          <w:rFonts w:hint="cs"/>
          <w:rtl/>
        </w:rPr>
        <w:t xml:space="preserve"> </w:t>
      </w:r>
      <w:r w:rsidR="00C45603">
        <w:rPr>
          <w:rStyle w:val="FootnoteReference"/>
          <w:rtl/>
        </w:rPr>
        <w:footnoteReference w:id="8"/>
      </w:r>
    </w:p>
    <w:p w:rsidR="00837A51" w:rsidRDefault="00837A51" w:rsidP="00837A51">
      <w:pPr>
        <w:pStyle w:val="Heading1"/>
        <w:rPr>
          <w:rtl/>
        </w:rPr>
      </w:pPr>
      <w:bookmarkStart w:id="42" w:name="_Toc529831502"/>
      <w:bookmarkStart w:id="43" w:name="_Toc529831847"/>
      <w:bookmarkStart w:id="44" w:name="_Toc529832382"/>
      <w:bookmarkStart w:id="45" w:name="_Toc529834540"/>
      <w:bookmarkStart w:id="46" w:name="_Toc529834951"/>
      <w:r>
        <w:rPr>
          <w:rFonts w:hint="cs"/>
          <w:rtl/>
        </w:rPr>
        <w:t>دلیل تقدیم استصحاب : تقدیم ورود در موارد دوران امر میان تخصیص و ورود</w:t>
      </w:r>
      <w:bookmarkEnd w:id="42"/>
      <w:bookmarkEnd w:id="43"/>
      <w:bookmarkEnd w:id="44"/>
      <w:bookmarkEnd w:id="45"/>
      <w:bookmarkEnd w:id="46"/>
    </w:p>
    <w:p w:rsidR="00226473" w:rsidRDefault="00EB42DC" w:rsidP="00AC6005">
      <w:pPr>
        <w:jc w:val="both"/>
        <w:rPr>
          <w:rtl/>
        </w:rPr>
      </w:pPr>
      <w:r>
        <w:rPr>
          <w:rFonts w:hint="cs"/>
          <w:rtl/>
        </w:rPr>
        <w:t xml:space="preserve">   به عبارت دیگر </w:t>
      </w:r>
      <w:r w:rsidR="0043599C">
        <w:rPr>
          <w:rFonts w:hint="cs"/>
          <w:rtl/>
        </w:rPr>
        <w:t>امر در مقام</w:t>
      </w:r>
      <w:r>
        <w:rPr>
          <w:rFonts w:hint="cs"/>
          <w:rtl/>
        </w:rPr>
        <w:t xml:space="preserve"> دایر بین ورود و تخصیص است و سابقا گفتیم</w:t>
      </w:r>
      <w:r w:rsidR="00DA45B0">
        <w:rPr>
          <w:rFonts w:hint="cs"/>
          <w:rtl/>
        </w:rPr>
        <w:t xml:space="preserve"> هر کجا که امر دایر میان ورود از ناحیه ای و تخصیص از ناحیه دیگر شد ، ورود مقدّم است .</w:t>
      </w:r>
      <w:r>
        <w:rPr>
          <w:rFonts w:hint="cs"/>
          <w:rtl/>
        </w:rPr>
        <w:t xml:space="preserve"> </w:t>
      </w:r>
      <w:r w:rsidR="00244F05">
        <w:rPr>
          <w:rFonts w:hint="cs"/>
          <w:rtl/>
        </w:rPr>
        <w:t xml:space="preserve">یعنی اگر اعمال یک دلیل باعث انتفاء حقیقی موضوع دیگر شود اما اعمال دلیل مقابل نتواند موضوع دلیل مطروح را حقیقتا منتفی کند بلکه تصرفش محدود به تصرّف حکمی باشد ، اعمال دلیل اول متعیّن است . </w:t>
      </w:r>
      <w:r w:rsidR="00D71430">
        <w:rPr>
          <w:rFonts w:hint="cs"/>
          <w:rtl/>
        </w:rPr>
        <w:t>سرّ تقدیم این امر هم آن بود که</w:t>
      </w:r>
      <w:r w:rsidR="00E5090F">
        <w:rPr>
          <w:rFonts w:hint="cs"/>
          <w:rtl/>
        </w:rPr>
        <w:t xml:space="preserve"> </w:t>
      </w:r>
      <w:r w:rsidR="004F4268">
        <w:rPr>
          <w:rFonts w:hint="cs"/>
          <w:rtl/>
        </w:rPr>
        <w:t>هنگام</w:t>
      </w:r>
      <w:r w:rsidR="00155488">
        <w:rPr>
          <w:rFonts w:hint="cs"/>
          <w:rtl/>
        </w:rPr>
        <w:t xml:space="preserve"> </w:t>
      </w:r>
      <w:r w:rsidR="000A4252">
        <w:rPr>
          <w:rFonts w:hint="cs"/>
          <w:rtl/>
        </w:rPr>
        <w:t>«</w:t>
      </w:r>
      <w:r w:rsidR="00155488">
        <w:rPr>
          <w:rFonts w:hint="cs"/>
          <w:rtl/>
        </w:rPr>
        <w:t>ورود</w:t>
      </w:r>
      <w:r w:rsidR="000A4252">
        <w:rPr>
          <w:rFonts w:hint="cs"/>
          <w:rtl/>
        </w:rPr>
        <w:t>»</w:t>
      </w:r>
      <w:r w:rsidR="00155488">
        <w:rPr>
          <w:rFonts w:hint="cs"/>
          <w:rtl/>
        </w:rPr>
        <w:t xml:space="preserve"> تصرف در حیطه ای صورت می گیرد که دلیل نسبت به آن ساکت است ، یعنی حیطه</w:t>
      </w:r>
      <w:r w:rsidR="00D71430">
        <w:rPr>
          <w:rFonts w:hint="cs"/>
          <w:rtl/>
        </w:rPr>
        <w:t xml:space="preserve"> </w:t>
      </w:r>
      <w:r w:rsidR="00155488">
        <w:rPr>
          <w:rFonts w:hint="cs"/>
          <w:rtl/>
        </w:rPr>
        <w:t>تحقّق یا عدم تحقّق موضوع خود</w:t>
      </w:r>
      <w:r w:rsidR="00AC6005">
        <w:rPr>
          <w:rFonts w:hint="cs"/>
          <w:rtl/>
        </w:rPr>
        <w:t xml:space="preserve"> در خارج</w:t>
      </w:r>
      <w:r w:rsidR="00AC6005">
        <w:rPr>
          <w:rStyle w:val="FootnoteReference"/>
          <w:rtl/>
        </w:rPr>
        <w:footnoteReference w:id="9"/>
      </w:r>
      <w:r w:rsidR="00AC6005">
        <w:rPr>
          <w:rFonts w:hint="cs"/>
          <w:rtl/>
        </w:rPr>
        <w:t>،پس اصلا تنافی رخ نمی دهد(</w:t>
      </w:r>
      <w:r w:rsidR="00A46690">
        <w:rPr>
          <w:rFonts w:hint="cs"/>
          <w:rtl/>
        </w:rPr>
        <w:t xml:space="preserve"> اما در تخصیص چنین نیست</w:t>
      </w:r>
      <w:r w:rsidR="00AC6005">
        <w:rPr>
          <w:rFonts w:hint="cs"/>
          <w:rtl/>
        </w:rPr>
        <w:t xml:space="preserve"> ) .</w:t>
      </w:r>
    </w:p>
    <w:p w:rsidR="00D810C5" w:rsidRDefault="00D810C5" w:rsidP="00502003">
      <w:pPr>
        <w:pStyle w:val="Heading6"/>
        <w:rPr>
          <w:rtl/>
        </w:rPr>
      </w:pPr>
      <w:bookmarkStart w:id="47" w:name="_Toc529832383"/>
      <w:bookmarkStart w:id="48" w:name="_Toc529834541"/>
      <w:bookmarkStart w:id="49" w:name="_Toc529834952"/>
      <w:r>
        <w:rPr>
          <w:rFonts w:hint="cs"/>
          <w:rtl/>
        </w:rPr>
        <w:t xml:space="preserve">شباهت </w:t>
      </w:r>
      <w:r w:rsidR="00BD03FE">
        <w:rPr>
          <w:rFonts w:hint="cs"/>
          <w:rtl/>
        </w:rPr>
        <w:t>قرعه به مقام</w:t>
      </w:r>
      <w:r w:rsidR="00502003">
        <w:rPr>
          <w:rFonts w:hint="cs"/>
          <w:rtl/>
        </w:rPr>
        <w:t xml:space="preserve"> : تحقّق موضوع بعد از عدم وظیفه واقعی و ظاهری</w:t>
      </w:r>
      <w:bookmarkEnd w:id="47"/>
      <w:bookmarkEnd w:id="48"/>
      <w:bookmarkEnd w:id="49"/>
    </w:p>
    <w:p w:rsidR="001A1EA5" w:rsidRPr="00CA34AC" w:rsidRDefault="005D4E20" w:rsidP="003A5265">
      <w:pPr>
        <w:jc w:val="both"/>
        <w:rPr>
          <w:rFonts w:hint="cs"/>
          <w:rtl/>
        </w:rPr>
      </w:pPr>
      <w:r>
        <w:rPr>
          <w:rFonts w:hint="cs"/>
          <w:rtl/>
        </w:rPr>
        <w:t xml:space="preserve">   </w:t>
      </w:r>
      <w:r w:rsidR="006051D5">
        <w:rPr>
          <w:rFonts w:hint="cs"/>
          <w:rtl/>
        </w:rPr>
        <w:t>بحث</w:t>
      </w:r>
      <w:r w:rsidR="00511E93">
        <w:rPr>
          <w:rFonts w:hint="cs"/>
          <w:rtl/>
        </w:rPr>
        <w:t xml:space="preserve"> </w:t>
      </w:r>
      <w:r w:rsidR="00E57191">
        <w:rPr>
          <w:rFonts w:hint="cs"/>
          <w:rtl/>
        </w:rPr>
        <w:t>از قاعده قرعه هم شبیه</w:t>
      </w:r>
      <w:r w:rsidR="00511E93">
        <w:rPr>
          <w:rFonts w:hint="cs"/>
          <w:rtl/>
        </w:rPr>
        <w:t xml:space="preserve"> بحث </w:t>
      </w:r>
      <w:r w:rsidR="00E57191">
        <w:rPr>
          <w:rFonts w:hint="cs"/>
          <w:rtl/>
        </w:rPr>
        <w:t xml:space="preserve">فعلی </w:t>
      </w:r>
      <w:r w:rsidR="0033604C">
        <w:rPr>
          <w:rFonts w:hint="cs"/>
          <w:rtl/>
        </w:rPr>
        <w:t>م</w:t>
      </w:r>
      <w:r w:rsidR="00511E93">
        <w:rPr>
          <w:rFonts w:hint="cs"/>
          <w:rtl/>
        </w:rPr>
        <w:t xml:space="preserve">است ؛ زیرا </w:t>
      </w:r>
      <w:r w:rsidR="00226473">
        <w:rPr>
          <w:rFonts w:hint="cs"/>
          <w:rtl/>
        </w:rPr>
        <w:t xml:space="preserve">شأن </w:t>
      </w:r>
      <w:r w:rsidR="00617BA0">
        <w:rPr>
          <w:rFonts w:hint="cs"/>
          <w:rtl/>
        </w:rPr>
        <w:t>برائت</w:t>
      </w:r>
      <w:r w:rsidR="00DB32C6">
        <w:rPr>
          <w:rFonts w:hint="cs"/>
          <w:rtl/>
        </w:rPr>
        <w:t xml:space="preserve"> و سایر اصول عملیه</w:t>
      </w:r>
      <w:r w:rsidR="00617BA0">
        <w:rPr>
          <w:rFonts w:hint="cs"/>
          <w:rtl/>
        </w:rPr>
        <w:t xml:space="preserve"> نسبت به </w:t>
      </w:r>
      <w:r w:rsidR="00167051">
        <w:rPr>
          <w:rFonts w:hint="cs"/>
          <w:rtl/>
        </w:rPr>
        <w:t>استصحاب</w:t>
      </w:r>
      <w:r w:rsidR="00226473">
        <w:rPr>
          <w:rFonts w:hint="cs"/>
          <w:rtl/>
        </w:rPr>
        <w:t xml:space="preserve"> </w:t>
      </w:r>
      <w:r w:rsidR="004F4268">
        <w:rPr>
          <w:rFonts w:hint="cs"/>
          <w:rtl/>
        </w:rPr>
        <w:t xml:space="preserve">همان </w:t>
      </w:r>
      <w:r w:rsidR="00226473">
        <w:rPr>
          <w:rFonts w:hint="cs"/>
          <w:rtl/>
        </w:rPr>
        <w:t>شان قرعه به ما عدای قرعه است</w:t>
      </w:r>
      <w:r w:rsidR="00050807">
        <w:rPr>
          <w:rFonts w:hint="cs"/>
          <w:rtl/>
        </w:rPr>
        <w:t xml:space="preserve"> </w:t>
      </w:r>
      <w:r w:rsidR="00DB32C6">
        <w:rPr>
          <w:rFonts w:hint="cs"/>
          <w:rtl/>
        </w:rPr>
        <w:t xml:space="preserve">؛ </w:t>
      </w:r>
      <w:r w:rsidR="00050807">
        <w:rPr>
          <w:rFonts w:hint="cs"/>
          <w:rtl/>
        </w:rPr>
        <w:t>چون قرعه تنها</w:t>
      </w:r>
      <w:r w:rsidR="00226473">
        <w:rPr>
          <w:rFonts w:hint="cs"/>
          <w:rtl/>
        </w:rPr>
        <w:t xml:space="preserve"> جایی مورد دارد که حتی اصل برائت</w:t>
      </w:r>
      <w:r w:rsidR="00255B9E">
        <w:rPr>
          <w:rFonts w:hint="cs"/>
          <w:rtl/>
        </w:rPr>
        <w:t xml:space="preserve"> هم</w:t>
      </w:r>
      <w:r w:rsidR="00226473">
        <w:rPr>
          <w:rFonts w:hint="cs"/>
          <w:rtl/>
        </w:rPr>
        <w:t xml:space="preserve"> جاری نشود .</w:t>
      </w:r>
      <w:r w:rsidR="00255B9E">
        <w:rPr>
          <w:rFonts w:hint="cs"/>
          <w:rtl/>
        </w:rPr>
        <w:t xml:space="preserve"> موضوع قرعه </w:t>
      </w:r>
      <w:r w:rsidR="00DB32C6">
        <w:rPr>
          <w:rFonts w:hint="cs"/>
          <w:rtl/>
        </w:rPr>
        <w:t>«</w:t>
      </w:r>
      <w:r w:rsidR="0006767A">
        <w:rPr>
          <w:rFonts w:hint="cs"/>
          <w:rtl/>
        </w:rPr>
        <w:t xml:space="preserve"> </w:t>
      </w:r>
      <w:r w:rsidR="00255B9E">
        <w:rPr>
          <w:rFonts w:hint="cs"/>
          <w:rtl/>
        </w:rPr>
        <w:t>ما هو مشتبه من ح</w:t>
      </w:r>
      <w:r w:rsidR="00DB32C6">
        <w:rPr>
          <w:rFonts w:hint="cs"/>
          <w:rtl/>
        </w:rPr>
        <w:t>یث الوظیفۀ الواقعیۀ و الظاهریۀ</w:t>
      </w:r>
      <w:r w:rsidR="0006767A">
        <w:rPr>
          <w:rFonts w:hint="cs"/>
          <w:rtl/>
        </w:rPr>
        <w:t xml:space="preserve"> </w:t>
      </w:r>
      <w:r w:rsidR="00A12425">
        <w:rPr>
          <w:rFonts w:hint="cs"/>
          <w:rtl/>
        </w:rPr>
        <w:t>»</w:t>
      </w:r>
      <w:r w:rsidR="00255B9E">
        <w:rPr>
          <w:rFonts w:hint="cs"/>
          <w:rtl/>
        </w:rPr>
        <w:t xml:space="preserve"> </w:t>
      </w:r>
      <w:r w:rsidR="00A12425">
        <w:rPr>
          <w:rFonts w:hint="cs"/>
          <w:rtl/>
        </w:rPr>
        <w:t>می باشد</w:t>
      </w:r>
      <w:r w:rsidR="006D3EF9">
        <w:rPr>
          <w:rFonts w:hint="cs"/>
          <w:rtl/>
        </w:rPr>
        <w:t xml:space="preserve"> و به همین دلیل در موارد </w:t>
      </w:r>
      <w:r w:rsidR="00465F74">
        <w:rPr>
          <w:rFonts w:hint="cs"/>
          <w:rtl/>
        </w:rPr>
        <w:t>علم اجمالی چون وظیفه ظاهری</w:t>
      </w:r>
      <w:r w:rsidR="006D3EF9">
        <w:rPr>
          <w:rFonts w:hint="cs"/>
          <w:rtl/>
        </w:rPr>
        <w:t xml:space="preserve"> حکم عقل به احتیاط است ، نوبت به قرعه نمی رسد </w:t>
      </w:r>
      <w:r w:rsidR="005E5AAF">
        <w:rPr>
          <w:rFonts w:hint="cs"/>
          <w:rtl/>
        </w:rPr>
        <w:t>و</w:t>
      </w:r>
      <w:r w:rsidR="005536A8">
        <w:rPr>
          <w:rFonts w:hint="cs"/>
          <w:rtl/>
        </w:rPr>
        <w:t xml:space="preserve"> موضوع آن حقیقتا منتفی می شود </w:t>
      </w:r>
      <w:r w:rsidR="006D3EF9">
        <w:rPr>
          <w:rFonts w:hint="cs"/>
          <w:rtl/>
        </w:rPr>
        <w:t>.</w:t>
      </w:r>
      <w:r w:rsidR="00A12425">
        <w:rPr>
          <w:rFonts w:hint="cs"/>
          <w:rtl/>
        </w:rPr>
        <w:t xml:space="preserve"> </w:t>
      </w:r>
      <w:r w:rsidR="00226473">
        <w:rPr>
          <w:rFonts w:hint="cs"/>
          <w:rtl/>
        </w:rPr>
        <w:t xml:space="preserve"> </w:t>
      </w:r>
    </w:p>
    <w:sectPr w:rsidR="001A1EA5" w:rsidRPr="00CA34AC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A27" w:rsidRDefault="00301A27" w:rsidP="008B750B">
      <w:pPr>
        <w:spacing w:line="240" w:lineRule="auto"/>
      </w:pPr>
      <w:r>
        <w:separator/>
      </w:r>
    </w:p>
  </w:endnote>
  <w:endnote w:type="continuationSeparator" w:id="0">
    <w:p w:rsidR="00301A27" w:rsidRDefault="00301A27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EF5E4C" w:rsidRPr="00EF5E4C">
            <w:rPr>
              <w:noProof/>
              <w:rtl/>
              <w:lang w:val="fa-IR"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E2252E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57" w:name="BokAdres"/>
          <w:bookmarkEnd w:id="57"/>
          <w:r>
            <w:rPr>
              <w:color w:val="808080" w:themeColor="background1" w:themeShade="80"/>
            </w:rPr>
            <w:t>U1mq1_13970821-023_ab1_mfeb.ir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A27" w:rsidRDefault="00301A27" w:rsidP="008B750B">
      <w:pPr>
        <w:spacing w:line="240" w:lineRule="auto"/>
      </w:pPr>
      <w:r>
        <w:separator/>
      </w:r>
    </w:p>
  </w:footnote>
  <w:footnote w:type="continuationSeparator" w:id="0">
    <w:p w:rsidR="00301A27" w:rsidRDefault="00301A27" w:rsidP="008B750B">
      <w:pPr>
        <w:spacing w:line="240" w:lineRule="auto"/>
      </w:pPr>
      <w:r>
        <w:continuationSeparator/>
      </w:r>
    </w:p>
  </w:footnote>
  <w:footnote w:id="1">
    <w:p w:rsidR="00117956" w:rsidRPr="00673D7C" w:rsidRDefault="00117956" w:rsidP="00673D7C">
      <w:pPr>
        <w:pStyle w:val="FootnoteText"/>
        <w:jc w:val="both"/>
        <w:rPr>
          <w:rFonts w:hint="cs"/>
        </w:rPr>
      </w:pPr>
      <w:r w:rsidRPr="00673D7C">
        <w:rPr>
          <w:rStyle w:val="FootnoteReference"/>
          <w:vertAlign w:val="baseline"/>
        </w:rPr>
        <w:footnoteRef/>
      </w:r>
      <w:r w:rsidRPr="00673D7C">
        <w:rPr>
          <w:rFonts w:hint="cs"/>
          <w:rtl/>
        </w:rPr>
        <w:t xml:space="preserve">. مطلق اصول نقلی حتّی احتیاط </w:t>
      </w:r>
      <w:r w:rsidR="006050AE" w:rsidRPr="00673D7C">
        <w:rPr>
          <w:rFonts w:hint="cs"/>
          <w:rtl/>
        </w:rPr>
        <w:t xml:space="preserve">و تخییر </w:t>
      </w:r>
      <w:r w:rsidRPr="00673D7C">
        <w:rPr>
          <w:rFonts w:hint="cs"/>
          <w:rtl/>
        </w:rPr>
        <w:t>؛ البته به این شرط که ثبوت شرعی و مولوی آن</w:t>
      </w:r>
      <w:r w:rsidR="00542968" w:rsidRPr="00673D7C">
        <w:rPr>
          <w:rFonts w:hint="cs"/>
          <w:rtl/>
        </w:rPr>
        <w:t xml:space="preserve"> </w:t>
      </w:r>
      <w:r w:rsidR="006050AE" w:rsidRPr="00673D7C">
        <w:rPr>
          <w:rFonts w:hint="cs"/>
          <w:rtl/>
        </w:rPr>
        <w:t xml:space="preserve">ها </w:t>
      </w:r>
      <w:r w:rsidR="004A15AB" w:rsidRPr="00673D7C">
        <w:rPr>
          <w:rFonts w:hint="cs"/>
          <w:rtl/>
        </w:rPr>
        <w:t xml:space="preserve">ادعاء شود ، </w:t>
      </w:r>
      <w:r w:rsidR="00796F7B" w:rsidRPr="00673D7C">
        <w:rPr>
          <w:rFonts w:hint="cs"/>
          <w:rtl/>
        </w:rPr>
        <w:t>و چون این مطلب مقبول نیست</w:t>
      </w:r>
      <w:r w:rsidR="00673D7C" w:rsidRPr="00673D7C">
        <w:rPr>
          <w:rFonts w:hint="cs"/>
          <w:rtl/>
        </w:rPr>
        <w:t xml:space="preserve"> عمده بحث ما در کلام </w:t>
      </w:r>
      <w:r w:rsidR="00673D7C">
        <w:rPr>
          <w:rFonts w:hint="cs"/>
          <w:rtl/>
        </w:rPr>
        <w:t xml:space="preserve">اختصاص به رابطه استصحاب با برائت شرعی </w:t>
      </w:r>
      <w:r w:rsidR="004045E1">
        <w:rPr>
          <w:rFonts w:hint="cs"/>
          <w:rtl/>
        </w:rPr>
        <w:t xml:space="preserve">و قواعدی مانند اصل طهارت </w:t>
      </w:r>
      <w:r w:rsidR="00673D7C">
        <w:rPr>
          <w:rFonts w:hint="cs"/>
          <w:rtl/>
        </w:rPr>
        <w:t>دارد</w:t>
      </w:r>
      <w:r w:rsidR="00673D7C" w:rsidRPr="00673D7C">
        <w:rPr>
          <w:rFonts w:hint="cs"/>
          <w:rtl/>
        </w:rPr>
        <w:t xml:space="preserve"> .</w:t>
      </w:r>
      <w:r w:rsidR="009F2293" w:rsidRPr="00673D7C">
        <w:rPr>
          <w:rFonts w:hint="cs"/>
          <w:rtl/>
        </w:rPr>
        <w:t xml:space="preserve"> </w:t>
      </w:r>
    </w:p>
  </w:footnote>
  <w:footnote w:id="2">
    <w:p w:rsidR="00861414" w:rsidRPr="00890039" w:rsidRDefault="00861414" w:rsidP="00890039">
      <w:pPr>
        <w:pStyle w:val="FootnoteText"/>
        <w:jc w:val="both"/>
        <w:rPr>
          <w:rFonts w:hint="cs"/>
        </w:rPr>
      </w:pPr>
      <w:r w:rsidRPr="00890039">
        <w:rPr>
          <w:rStyle w:val="FootnoteReference"/>
          <w:vertAlign w:val="baseline"/>
        </w:rPr>
        <w:footnoteRef/>
      </w:r>
      <w:r w:rsidRPr="00890039">
        <w:rPr>
          <w:rFonts w:hint="cs"/>
          <w:rtl/>
        </w:rPr>
        <w:t xml:space="preserve">. تمام </w:t>
      </w:r>
      <w:r w:rsidR="000B18D5">
        <w:rPr>
          <w:rFonts w:hint="cs"/>
          <w:rtl/>
        </w:rPr>
        <w:t xml:space="preserve">مطالبی که مرحوم آخوند در </w:t>
      </w:r>
      <w:r w:rsidR="00521FBA" w:rsidRPr="00890039">
        <w:rPr>
          <w:rFonts w:hint="cs"/>
          <w:rtl/>
        </w:rPr>
        <w:t>مقام از کفا</w:t>
      </w:r>
      <w:r w:rsidRPr="00890039">
        <w:rPr>
          <w:rFonts w:hint="cs"/>
          <w:rtl/>
        </w:rPr>
        <w:t>ی</w:t>
      </w:r>
      <w:r w:rsidR="00521FBA" w:rsidRPr="00890039">
        <w:rPr>
          <w:rFonts w:hint="cs"/>
          <w:rtl/>
        </w:rPr>
        <w:t>ه</w:t>
      </w:r>
      <w:r w:rsidRPr="00890039">
        <w:rPr>
          <w:rFonts w:hint="cs"/>
          <w:rtl/>
        </w:rPr>
        <w:t xml:space="preserve"> ذکر کرده اند ؛ </w:t>
      </w:r>
      <w:r w:rsidR="001628E2">
        <w:rPr>
          <w:rFonts w:hint="cs"/>
          <w:rtl/>
        </w:rPr>
        <w:t>با</w:t>
      </w:r>
      <w:r w:rsidR="005F6304">
        <w:rPr>
          <w:rFonts w:hint="cs"/>
          <w:rtl/>
        </w:rPr>
        <w:t xml:space="preserve"> تفصیلی بیشتر</w:t>
      </w:r>
      <w:r w:rsidR="00FB797F">
        <w:rPr>
          <w:rFonts w:hint="cs"/>
          <w:rtl/>
        </w:rPr>
        <w:t xml:space="preserve"> </w:t>
      </w:r>
      <w:r w:rsidRPr="00890039">
        <w:rPr>
          <w:rFonts w:hint="cs"/>
          <w:rtl/>
        </w:rPr>
        <w:t xml:space="preserve">در </w:t>
      </w:r>
      <w:r w:rsidR="000B18D5">
        <w:rPr>
          <w:rFonts w:hint="cs"/>
          <w:rtl/>
        </w:rPr>
        <w:t>«درر الفوائد» هم آمده :</w:t>
      </w:r>
      <w:r w:rsidR="0038696F">
        <w:rPr>
          <w:rFonts w:hint="cs"/>
          <w:rtl/>
        </w:rPr>
        <w:t xml:space="preserve"> </w:t>
      </w:r>
      <w:hyperlink r:id="rId1" w:history="1">
        <w:r w:rsidR="0038696F" w:rsidRPr="0038696F">
          <w:rPr>
            <w:rStyle w:val="Hyperlink"/>
            <w:rtl/>
          </w:rPr>
          <w:t>در</w:t>
        </w:r>
        <w:r w:rsidR="000B18D5">
          <w:rPr>
            <w:rStyle w:val="Hyperlink"/>
            <w:rFonts w:hint="cs"/>
            <w:rtl/>
          </w:rPr>
          <w:t>ر</w:t>
        </w:r>
        <w:r w:rsidR="0038696F" w:rsidRPr="0038696F">
          <w:rPr>
            <w:rStyle w:val="Hyperlink"/>
            <w:rtl/>
          </w:rPr>
          <w:t>الفوائد ف</w:t>
        </w:r>
        <w:r w:rsidR="0038696F" w:rsidRPr="0038696F">
          <w:rPr>
            <w:rStyle w:val="Hyperlink"/>
            <w:rFonts w:hint="cs"/>
            <w:rtl/>
          </w:rPr>
          <w:t>ی</w:t>
        </w:r>
        <w:r w:rsidR="0038696F" w:rsidRPr="0038696F">
          <w:rPr>
            <w:rStyle w:val="Hyperlink"/>
            <w:rtl/>
          </w:rPr>
          <w:t xml:space="preserve"> الحاش</w:t>
        </w:r>
        <w:r w:rsidR="0038696F" w:rsidRPr="0038696F">
          <w:rPr>
            <w:rStyle w:val="Hyperlink"/>
            <w:rFonts w:hint="cs"/>
            <w:rtl/>
          </w:rPr>
          <w:t>ی</w:t>
        </w:r>
        <w:r w:rsidR="0038696F" w:rsidRPr="0038696F">
          <w:rPr>
            <w:rStyle w:val="Hyperlink"/>
            <w:rFonts w:hint="eastAsia"/>
            <w:rtl/>
          </w:rPr>
          <w:t>ه</w:t>
        </w:r>
        <w:r w:rsidR="0038696F" w:rsidRPr="0038696F">
          <w:rPr>
            <w:rStyle w:val="Hyperlink"/>
            <w:rtl/>
          </w:rPr>
          <w:t xml:space="preserve"> عل</w:t>
        </w:r>
        <w:r w:rsidR="0038696F" w:rsidRPr="0038696F">
          <w:rPr>
            <w:rStyle w:val="Hyperlink"/>
            <w:rFonts w:hint="cs"/>
            <w:rtl/>
          </w:rPr>
          <w:t>ی</w:t>
        </w:r>
        <w:r w:rsidR="000B18D5">
          <w:rPr>
            <w:rStyle w:val="Hyperlink"/>
            <w:rtl/>
          </w:rPr>
          <w:t xml:space="preserve"> الفرائد،</w:t>
        </w:r>
        <w:r w:rsidR="0038696F" w:rsidRPr="0038696F">
          <w:rPr>
            <w:rStyle w:val="Hyperlink"/>
            <w:rtl/>
          </w:rPr>
          <w:t>آخوند خراسان</w:t>
        </w:r>
        <w:r w:rsidR="0038696F" w:rsidRPr="0038696F">
          <w:rPr>
            <w:rStyle w:val="Hyperlink"/>
            <w:rFonts w:hint="cs"/>
            <w:rtl/>
          </w:rPr>
          <w:t>ی</w:t>
        </w:r>
        <w:r w:rsidR="0038696F" w:rsidRPr="0038696F">
          <w:rPr>
            <w:rStyle w:val="Hyperlink"/>
            <w:rFonts w:hint="eastAsia"/>
            <w:rtl/>
          </w:rPr>
          <w:t>،</w:t>
        </w:r>
        <w:r w:rsidR="000B18D5">
          <w:rPr>
            <w:rStyle w:val="Hyperlink"/>
            <w:rtl/>
          </w:rPr>
          <w:t>ج1،</w:t>
        </w:r>
        <w:r w:rsidR="0038696F" w:rsidRPr="0038696F">
          <w:rPr>
            <w:rStyle w:val="Hyperlink"/>
            <w:rtl/>
          </w:rPr>
          <w:t>ص392</w:t>
        </w:r>
        <w:r w:rsidR="0038696F" w:rsidRPr="0038696F">
          <w:rPr>
            <w:rStyle w:val="Hyperlink"/>
          </w:rPr>
          <w:t>.</w:t>
        </w:r>
      </w:hyperlink>
    </w:p>
  </w:footnote>
  <w:footnote w:id="3">
    <w:p w:rsidR="00C13F26" w:rsidRPr="00C13F26" w:rsidRDefault="00C13F26" w:rsidP="00C13F26">
      <w:pPr>
        <w:pStyle w:val="FootnoteText"/>
        <w:jc w:val="both"/>
        <w:rPr>
          <w:rFonts w:hint="cs"/>
          <w:rtl/>
        </w:rPr>
      </w:pPr>
      <w:r w:rsidRPr="00C13F26">
        <w:rPr>
          <w:rStyle w:val="FootnoteReference"/>
          <w:vertAlign w:val="baseline"/>
        </w:rPr>
        <w:footnoteRef/>
      </w:r>
      <w:r>
        <w:rPr>
          <w:rFonts w:hint="cs"/>
          <w:rtl/>
        </w:rPr>
        <w:t>.</w:t>
      </w:r>
      <w:r w:rsidRPr="00C13F26">
        <w:rPr>
          <w:rtl/>
        </w:rPr>
        <w:t xml:space="preserve"> </w:t>
      </w:r>
      <w:r w:rsidRPr="00C13F26">
        <w:rPr>
          <w:rFonts w:hint="cs"/>
          <w:rtl/>
        </w:rPr>
        <w:t>در این جا نتیجه توفیق عرفی تصرّف در دلیلی است که با دلیل دیگر عام من وجه است ؛ زیرا استصحاب شامل موارد احکام وضعی هم می شود اما برائت خیر ، و برائت مصادیق بدون حالت سابقه معتبره هم دارد اما استصحاب نه .</w:t>
      </w:r>
    </w:p>
  </w:footnote>
  <w:footnote w:id="4">
    <w:p w:rsidR="00357AAA" w:rsidRPr="001C423F" w:rsidRDefault="00357AAA">
      <w:pPr>
        <w:pStyle w:val="FootnoteText"/>
        <w:rPr>
          <w:rFonts w:hint="cs"/>
        </w:rPr>
      </w:pPr>
      <w:r w:rsidRPr="001C423F">
        <w:rPr>
          <w:rStyle w:val="FootnoteReference"/>
          <w:vertAlign w:val="baseline"/>
        </w:rPr>
        <w:footnoteRef/>
      </w:r>
      <w:r w:rsidRPr="001C423F">
        <w:rPr>
          <w:rFonts w:hint="cs"/>
          <w:rtl/>
        </w:rPr>
        <w:t>. گفتیم « حجیت » زیرا</w:t>
      </w:r>
      <w:r w:rsidR="001C423F">
        <w:rPr>
          <w:rFonts w:hint="cs"/>
          <w:rtl/>
        </w:rPr>
        <w:t xml:space="preserve"> قرائن منفصله موجب تغییر</w:t>
      </w:r>
      <w:r w:rsidRPr="001C423F">
        <w:rPr>
          <w:rFonts w:hint="cs"/>
          <w:rtl/>
        </w:rPr>
        <w:t xml:space="preserve"> </w:t>
      </w:r>
      <w:r w:rsidR="001C423F" w:rsidRPr="001C423F">
        <w:rPr>
          <w:rFonts w:hint="cs"/>
          <w:rtl/>
        </w:rPr>
        <w:t xml:space="preserve">ظهور </w:t>
      </w:r>
      <w:r w:rsidR="004D0863">
        <w:rPr>
          <w:rFonts w:hint="cs"/>
          <w:rtl/>
        </w:rPr>
        <w:t xml:space="preserve">و مراد استعمالی </w:t>
      </w:r>
      <w:r w:rsidR="001C423F" w:rsidRPr="001C423F">
        <w:rPr>
          <w:rFonts w:hint="cs"/>
          <w:rtl/>
        </w:rPr>
        <w:t>ادله نمی شوند .</w:t>
      </w:r>
    </w:p>
  </w:footnote>
  <w:footnote w:id="5">
    <w:p w:rsidR="009518D2" w:rsidRPr="009518D2" w:rsidRDefault="009518D2">
      <w:pPr>
        <w:pStyle w:val="FootnoteText"/>
        <w:rPr>
          <w:rFonts w:hint="cs"/>
        </w:rPr>
      </w:pPr>
      <w:r w:rsidRPr="009518D2">
        <w:rPr>
          <w:rStyle w:val="FootnoteReference"/>
          <w:vertAlign w:val="baseline"/>
        </w:rPr>
        <w:footnoteRef/>
      </w:r>
      <w:r w:rsidRPr="009518D2">
        <w:rPr>
          <w:rFonts w:hint="cs"/>
          <w:rtl/>
        </w:rPr>
        <w:t xml:space="preserve">. مفاد </w:t>
      </w:r>
      <w:r w:rsidR="00922301">
        <w:rPr>
          <w:rFonts w:hint="cs"/>
          <w:rtl/>
        </w:rPr>
        <w:t>دلیل استصحاب این نمی باشد</w:t>
      </w:r>
      <w:r w:rsidRPr="009518D2">
        <w:rPr>
          <w:rFonts w:hint="cs"/>
          <w:rtl/>
        </w:rPr>
        <w:t xml:space="preserve"> که « مکلّف شاک نیست » </w:t>
      </w:r>
      <w:r w:rsidR="00941B44">
        <w:rPr>
          <w:rFonts w:hint="cs"/>
          <w:rtl/>
        </w:rPr>
        <w:t xml:space="preserve">؛ </w:t>
      </w:r>
      <w:r w:rsidRPr="009518D2">
        <w:rPr>
          <w:rFonts w:hint="cs"/>
          <w:rtl/>
        </w:rPr>
        <w:t>زیرا این مفاد باعث حکومت می شود که مرحوم آخوند انکار کرده اند .</w:t>
      </w:r>
    </w:p>
  </w:footnote>
  <w:footnote w:id="6">
    <w:p w:rsidR="00B006CC" w:rsidRPr="00B84E0A" w:rsidRDefault="00B006CC" w:rsidP="00B84E0A">
      <w:pPr>
        <w:pStyle w:val="FootnoteText"/>
        <w:jc w:val="both"/>
        <w:rPr>
          <w:rFonts w:hint="cs"/>
        </w:rPr>
      </w:pPr>
      <w:r w:rsidRPr="00B84E0A">
        <w:rPr>
          <w:rStyle w:val="FootnoteReference"/>
          <w:vertAlign w:val="baseline"/>
        </w:rPr>
        <w:footnoteRef/>
      </w:r>
      <w:r w:rsidRPr="00B84E0A">
        <w:rPr>
          <w:rFonts w:hint="cs"/>
          <w:rtl/>
        </w:rPr>
        <w:t xml:space="preserve">. این تقریب از ورود با تقریب مرحوم امام خمینی تفاوت دارد </w:t>
      </w:r>
      <w:r w:rsidR="00D9366E" w:rsidRPr="00B84E0A">
        <w:rPr>
          <w:rFonts w:hint="cs"/>
          <w:rtl/>
        </w:rPr>
        <w:t>؛ زیرا ایشان فرموده اند « عدم العلم » کنایه از « عدم الحجه » است اما مرحوم آخوند با استن</w:t>
      </w:r>
      <w:r w:rsidR="00C17B54">
        <w:rPr>
          <w:rFonts w:hint="cs"/>
          <w:rtl/>
        </w:rPr>
        <w:t>اد به توفیق عرفی تصرف</w:t>
      </w:r>
      <w:r w:rsidR="00D9366E" w:rsidRPr="00B84E0A">
        <w:rPr>
          <w:rFonts w:hint="cs"/>
          <w:rtl/>
        </w:rPr>
        <w:t xml:space="preserve"> در</w:t>
      </w:r>
      <w:r w:rsidRPr="00B84E0A">
        <w:rPr>
          <w:rFonts w:hint="cs"/>
          <w:rtl/>
        </w:rPr>
        <w:t xml:space="preserve"> موضوع دلیل برائت </w:t>
      </w:r>
      <w:r w:rsidR="00C17B54">
        <w:rPr>
          <w:rFonts w:hint="cs"/>
          <w:rtl/>
        </w:rPr>
        <w:t>کرده</w:t>
      </w:r>
      <w:r w:rsidR="00B84E0A" w:rsidRPr="00B84E0A">
        <w:rPr>
          <w:rFonts w:hint="cs"/>
          <w:rtl/>
        </w:rPr>
        <w:t xml:space="preserve"> اند .</w:t>
      </w:r>
      <w:r w:rsidR="00582E94">
        <w:rPr>
          <w:rFonts w:hint="cs"/>
          <w:rtl/>
        </w:rPr>
        <w:t xml:space="preserve"> </w:t>
      </w:r>
      <w:hyperlink r:id="rId2" w:history="1">
        <w:r w:rsidR="00582E94" w:rsidRPr="00582E94">
          <w:rPr>
            <w:rStyle w:val="Hyperlink"/>
            <w:rtl/>
          </w:rPr>
          <w:t>الرسائل، الس</w:t>
        </w:r>
        <w:r w:rsidR="00582E94" w:rsidRPr="00582E94">
          <w:rPr>
            <w:rStyle w:val="Hyperlink"/>
            <w:rFonts w:hint="cs"/>
            <w:rtl/>
          </w:rPr>
          <w:t>ی</w:t>
        </w:r>
        <w:r w:rsidR="00582E94" w:rsidRPr="00582E94">
          <w:rPr>
            <w:rStyle w:val="Hyperlink"/>
            <w:rFonts w:hint="eastAsia"/>
            <w:rtl/>
          </w:rPr>
          <w:t>د</w:t>
        </w:r>
        <w:r w:rsidR="00582E94" w:rsidRPr="00582E94">
          <w:rPr>
            <w:rStyle w:val="Hyperlink"/>
            <w:rtl/>
          </w:rPr>
          <w:t xml:space="preserve"> روح الله الموسو</w:t>
        </w:r>
        <w:r w:rsidR="00582E94" w:rsidRPr="00582E94">
          <w:rPr>
            <w:rStyle w:val="Hyperlink"/>
            <w:rFonts w:hint="cs"/>
            <w:rtl/>
          </w:rPr>
          <w:t>ی</w:t>
        </w:r>
        <w:r w:rsidR="00582E94" w:rsidRPr="00582E94">
          <w:rPr>
            <w:rStyle w:val="Hyperlink"/>
            <w:rtl/>
          </w:rPr>
          <w:t xml:space="preserve"> الخم</w:t>
        </w:r>
        <w:r w:rsidR="00582E94" w:rsidRPr="00582E94">
          <w:rPr>
            <w:rStyle w:val="Hyperlink"/>
            <w:rFonts w:hint="cs"/>
            <w:rtl/>
          </w:rPr>
          <w:t>ی</w:t>
        </w:r>
        <w:r w:rsidR="00582E94" w:rsidRPr="00582E94">
          <w:rPr>
            <w:rStyle w:val="Hyperlink"/>
            <w:rFonts w:hint="eastAsia"/>
            <w:rtl/>
          </w:rPr>
          <w:t>ن</w:t>
        </w:r>
        <w:r w:rsidR="00582E94" w:rsidRPr="00582E94">
          <w:rPr>
            <w:rStyle w:val="Hyperlink"/>
            <w:rFonts w:hint="cs"/>
            <w:rtl/>
          </w:rPr>
          <w:t>ی</w:t>
        </w:r>
        <w:r w:rsidR="00582E94" w:rsidRPr="00582E94">
          <w:rPr>
            <w:rStyle w:val="Hyperlink"/>
            <w:rFonts w:hint="eastAsia"/>
            <w:rtl/>
          </w:rPr>
          <w:t>،</w:t>
        </w:r>
        <w:r w:rsidR="00582E94" w:rsidRPr="00582E94">
          <w:rPr>
            <w:rStyle w:val="Hyperlink"/>
            <w:rtl/>
          </w:rPr>
          <w:t xml:space="preserve"> ج1، ص242.</w:t>
        </w:r>
      </w:hyperlink>
    </w:p>
  </w:footnote>
  <w:footnote w:id="7">
    <w:p w:rsidR="00EC6384" w:rsidRPr="00320CF4" w:rsidRDefault="00EC6384" w:rsidP="00320CF4">
      <w:pPr>
        <w:pStyle w:val="FootnoteText"/>
        <w:jc w:val="both"/>
        <w:rPr>
          <w:rFonts w:hint="cs"/>
        </w:rPr>
      </w:pPr>
      <w:r w:rsidRPr="00320CF4">
        <w:rPr>
          <w:rStyle w:val="FootnoteReference"/>
          <w:vertAlign w:val="baseline"/>
        </w:rPr>
        <w:footnoteRef/>
      </w:r>
      <w:r w:rsidRPr="00320CF4">
        <w:rPr>
          <w:rFonts w:hint="cs"/>
          <w:rtl/>
        </w:rPr>
        <w:t xml:space="preserve">. زیرا موضوع </w:t>
      </w:r>
      <w:r w:rsidR="00594CF3">
        <w:rPr>
          <w:rFonts w:hint="cs"/>
          <w:rtl/>
        </w:rPr>
        <w:t>دلیل استصحاب نه شک در جمیع جهات</w:t>
      </w:r>
      <w:r w:rsidRPr="00320CF4">
        <w:rPr>
          <w:rFonts w:hint="cs"/>
          <w:rtl/>
        </w:rPr>
        <w:t xml:space="preserve"> بلکه شک در بقاء است</w:t>
      </w:r>
      <w:r w:rsidR="00320CF4" w:rsidRPr="00320CF4">
        <w:rPr>
          <w:rFonts w:hint="cs"/>
          <w:rtl/>
        </w:rPr>
        <w:t xml:space="preserve"> و این شک حتّی در صورت </w:t>
      </w:r>
      <w:r w:rsidR="000C4346">
        <w:rPr>
          <w:rFonts w:hint="cs"/>
          <w:rtl/>
        </w:rPr>
        <w:t>قیام حجت بر عدم بقاء ، باقی است</w:t>
      </w:r>
      <w:r w:rsidR="001D72E1">
        <w:rPr>
          <w:rFonts w:hint="cs"/>
          <w:rtl/>
        </w:rPr>
        <w:t xml:space="preserve">؛ </w:t>
      </w:r>
      <w:r w:rsidR="00320CF4" w:rsidRPr="00320CF4">
        <w:rPr>
          <w:rFonts w:hint="cs"/>
          <w:rtl/>
        </w:rPr>
        <w:t>پس موضوع منتفی نمی شود .</w:t>
      </w:r>
    </w:p>
  </w:footnote>
  <w:footnote w:id="8">
    <w:p w:rsidR="00C45603" w:rsidRPr="00C45603" w:rsidRDefault="00C45603" w:rsidP="00C45603">
      <w:pPr>
        <w:pStyle w:val="FootnoteText"/>
        <w:jc w:val="both"/>
        <w:rPr>
          <w:rFonts w:hint="cs"/>
        </w:rPr>
      </w:pPr>
      <w:r w:rsidRPr="00C45603">
        <w:rPr>
          <w:rStyle w:val="FootnoteReference"/>
          <w:vertAlign w:val="baseline"/>
        </w:rPr>
        <w:footnoteRef/>
      </w:r>
      <w:r w:rsidRPr="00C45603">
        <w:rPr>
          <w:rFonts w:hint="cs"/>
          <w:rtl/>
        </w:rPr>
        <w:t xml:space="preserve">. </w:t>
      </w:r>
      <w:r w:rsidRPr="00C45603">
        <w:rPr>
          <w:rFonts w:hint="cs"/>
          <w:rtl/>
        </w:rPr>
        <w:t>از جانب استصحاب دوری وجود ندارد زیرا وجه تقدیم توفیق عرفی است نه تخصیص .</w:t>
      </w:r>
    </w:p>
  </w:footnote>
  <w:footnote w:id="9">
    <w:p w:rsidR="00AC6005" w:rsidRPr="00DD0A3A" w:rsidRDefault="00AC6005" w:rsidP="00AC6005">
      <w:pPr>
        <w:pStyle w:val="FootnoteText"/>
        <w:rPr>
          <w:rFonts w:hint="cs"/>
          <w:rtl/>
        </w:rPr>
      </w:pPr>
      <w:r w:rsidRPr="00DD0A3A">
        <w:rPr>
          <w:rStyle w:val="FootnoteReference"/>
          <w:vertAlign w:val="baseline"/>
        </w:rPr>
        <w:footnoteRef/>
      </w:r>
      <w:r w:rsidRPr="00DD0A3A">
        <w:rPr>
          <w:rFonts w:hint="cs"/>
          <w:rtl/>
        </w:rPr>
        <w:t>. البته هر دلیل متکفّل تحدید موضوع خود است و این غیر از مطلب ماست 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50" w:name="BokNum"/>
    <w:bookmarkEnd w:id="50"/>
    <w:r w:rsidR="00E2252E">
      <w:rPr>
        <w:b/>
        <w:bCs/>
        <w:sz w:val="20"/>
        <w:szCs w:val="24"/>
        <w:rtl/>
      </w:rPr>
      <w:t>023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51" w:name="Bokdars"/>
    <w:bookmarkEnd w:id="51"/>
    <w:r w:rsidR="00E2252E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52" w:name="Bokostad"/>
    <w:bookmarkEnd w:id="52"/>
    <w:r w:rsidR="00E2252E">
      <w:rPr>
        <w:b/>
        <w:bCs/>
        <w:color w:val="632423" w:themeColor="accent2" w:themeShade="80"/>
        <w:sz w:val="20"/>
        <w:szCs w:val="24"/>
        <w:rtl/>
      </w:rPr>
      <w:t>قائ</w:t>
    </w:r>
    <w:r w:rsidR="00E2252E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E2252E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E2252E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53" w:name="BokTarikh"/>
    <w:bookmarkEnd w:id="53"/>
    <w:r w:rsidR="00E2252E">
      <w:rPr>
        <w:sz w:val="24"/>
        <w:szCs w:val="24"/>
        <w:rtl/>
      </w:rPr>
      <w:t>21 /8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54" w:name="BokSabj"/>
    <w:bookmarkEnd w:id="54"/>
    <w:r w:rsidR="00E2252E">
      <w:rPr>
        <w:color w:val="000000" w:themeColor="text1"/>
        <w:sz w:val="24"/>
        <w:szCs w:val="24"/>
        <w:rtl/>
      </w:rPr>
      <w:t>تطب</w:t>
    </w:r>
    <w:r w:rsidR="00E2252E">
      <w:rPr>
        <w:rFonts w:hint="cs"/>
        <w:color w:val="000000" w:themeColor="text1"/>
        <w:sz w:val="24"/>
        <w:szCs w:val="24"/>
        <w:rtl/>
      </w:rPr>
      <w:t>ی</w:t>
    </w:r>
    <w:r w:rsidR="00E2252E">
      <w:rPr>
        <w:rFonts w:hint="eastAsia"/>
        <w:color w:val="000000" w:themeColor="text1"/>
        <w:sz w:val="24"/>
        <w:szCs w:val="24"/>
        <w:rtl/>
      </w:rPr>
      <w:t>قات</w:t>
    </w:r>
    <w:r w:rsidR="00E2252E">
      <w:rPr>
        <w:color w:val="000000" w:themeColor="text1"/>
        <w:sz w:val="24"/>
        <w:szCs w:val="24"/>
        <w:rtl/>
      </w:rPr>
      <w:t xml:space="preserve"> تعارض غ</w:t>
    </w:r>
    <w:r w:rsidR="00E2252E">
      <w:rPr>
        <w:rFonts w:hint="cs"/>
        <w:color w:val="000000" w:themeColor="text1"/>
        <w:sz w:val="24"/>
        <w:szCs w:val="24"/>
        <w:rtl/>
      </w:rPr>
      <w:t>ی</w:t>
    </w:r>
    <w:r w:rsidR="00E2252E">
      <w:rPr>
        <w:rFonts w:hint="eastAsia"/>
        <w:color w:val="000000" w:themeColor="text1"/>
        <w:sz w:val="24"/>
        <w:szCs w:val="24"/>
        <w:rtl/>
      </w:rPr>
      <w:t>ر</w:t>
    </w:r>
    <w:r w:rsidR="00E2252E">
      <w:rPr>
        <w:color w:val="000000" w:themeColor="text1"/>
        <w:sz w:val="24"/>
        <w:szCs w:val="24"/>
        <w:rtl/>
      </w:rPr>
      <w:t xml:space="preserve"> مستقر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55" w:name="Bokmoqarer"/>
    <w:bookmarkEnd w:id="55"/>
    <w:r w:rsidR="00E2252E">
      <w:rPr>
        <w:sz w:val="24"/>
        <w:szCs w:val="24"/>
        <w:rtl/>
      </w:rPr>
      <w:t>عل</w:t>
    </w:r>
    <w:r w:rsidR="00E2252E">
      <w:rPr>
        <w:rFonts w:hint="cs"/>
        <w:sz w:val="24"/>
        <w:szCs w:val="24"/>
        <w:rtl/>
      </w:rPr>
      <w:t>ی</w:t>
    </w:r>
    <w:r w:rsidR="00E2252E">
      <w:rPr>
        <w:sz w:val="24"/>
        <w:szCs w:val="24"/>
        <w:rtl/>
      </w:rPr>
      <w:t xml:space="preserve"> بهادرزا</w:t>
    </w:r>
    <w:r w:rsidR="00E2252E">
      <w:rPr>
        <w:rFonts w:hint="cs"/>
        <w:sz w:val="24"/>
        <w:szCs w:val="24"/>
        <w:rtl/>
      </w:rPr>
      <w:t>یی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56" w:name="BokSabj2"/>
    <w:bookmarkEnd w:id="56"/>
    <w:r w:rsidR="00E2252E">
      <w:rPr>
        <w:sz w:val="24"/>
        <w:szCs w:val="24"/>
        <w:rtl/>
      </w:rPr>
      <w:t>رابطه استصحاب و اصول شرع</w:t>
    </w:r>
    <w:r w:rsidR="00E2252E">
      <w:rPr>
        <w:rFonts w:hint="cs"/>
        <w:sz w:val="24"/>
        <w:szCs w:val="24"/>
        <w:rtl/>
      </w:rPr>
      <w:t>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17B3"/>
    <w:rsid w:val="000072A3"/>
    <w:rsid w:val="00025777"/>
    <w:rsid w:val="00025B70"/>
    <w:rsid w:val="000353D7"/>
    <w:rsid w:val="00050807"/>
    <w:rsid w:val="00055496"/>
    <w:rsid w:val="0006767A"/>
    <w:rsid w:val="0007057C"/>
    <w:rsid w:val="000734C4"/>
    <w:rsid w:val="00080A41"/>
    <w:rsid w:val="0008299B"/>
    <w:rsid w:val="00086BA8"/>
    <w:rsid w:val="000913AA"/>
    <w:rsid w:val="000930C4"/>
    <w:rsid w:val="00094847"/>
    <w:rsid w:val="00096224"/>
    <w:rsid w:val="00096C63"/>
    <w:rsid w:val="000A2475"/>
    <w:rsid w:val="000A4252"/>
    <w:rsid w:val="000B18D5"/>
    <w:rsid w:val="000B5DB5"/>
    <w:rsid w:val="000C3947"/>
    <w:rsid w:val="000C4346"/>
    <w:rsid w:val="000D2A37"/>
    <w:rsid w:val="000D30E9"/>
    <w:rsid w:val="000D6818"/>
    <w:rsid w:val="000D72EB"/>
    <w:rsid w:val="000E335E"/>
    <w:rsid w:val="000E5A27"/>
    <w:rsid w:val="000E75B0"/>
    <w:rsid w:val="000F1482"/>
    <w:rsid w:val="000F16CF"/>
    <w:rsid w:val="000F42F8"/>
    <w:rsid w:val="000F5BAC"/>
    <w:rsid w:val="00102585"/>
    <w:rsid w:val="00114AB7"/>
    <w:rsid w:val="00116B2B"/>
    <w:rsid w:val="00117956"/>
    <w:rsid w:val="00124E3D"/>
    <w:rsid w:val="00127E95"/>
    <w:rsid w:val="00130659"/>
    <w:rsid w:val="001347C7"/>
    <w:rsid w:val="001356B0"/>
    <w:rsid w:val="00140EFD"/>
    <w:rsid w:val="00151937"/>
    <w:rsid w:val="00152F28"/>
    <w:rsid w:val="00153508"/>
    <w:rsid w:val="00155488"/>
    <w:rsid w:val="001628E2"/>
    <w:rsid w:val="00162A2A"/>
    <w:rsid w:val="001631D2"/>
    <w:rsid w:val="00166384"/>
    <w:rsid w:val="00167051"/>
    <w:rsid w:val="00167962"/>
    <w:rsid w:val="00181844"/>
    <w:rsid w:val="001837E9"/>
    <w:rsid w:val="001838EC"/>
    <w:rsid w:val="00187DFA"/>
    <w:rsid w:val="001A1BC1"/>
    <w:rsid w:val="001A1EA5"/>
    <w:rsid w:val="001A2574"/>
    <w:rsid w:val="001A27D7"/>
    <w:rsid w:val="001A294E"/>
    <w:rsid w:val="001A328B"/>
    <w:rsid w:val="001A4ED8"/>
    <w:rsid w:val="001B1793"/>
    <w:rsid w:val="001B2488"/>
    <w:rsid w:val="001B6799"/>
    <w:rsid w:val="001B6FBA"/>
    <w:rsid w:val="001C1362"/>
    <w:rsid w:val="001C423F"/>
    <w:rsid w:val="001D1ADD"/>
    <w:rsid w:val="001D2E9A"/>
    <w:rsid w:val="001D597F"/>
    <w:rsid w:val="001D72E1"/>
    <w:rsid w:val="001E1D2B"/>
    <w:rsid w:val="001E3FD4"/>
    <w:rsid w:val="0020241A"/>
    <w:rsid w:val="00202DE0"/>
    <w:rsid w:val="00203821"/>
    <w:rsid w:val="002059A7"/>
    <w:rsid w:val="00207FC9"/>
    <w:rsid w:val="0021017A"/>
    <w:rsid w:val="00211632"/>
    <w:rsid w:val="00214018"/>
    <w:rsid w:val="0021630D"/>
    <w:rsid w:val="00226473"/>
    <w:rsid w:val="00234C56"/>
    <w:rsid w:val="0024121B"/>
    <w:rsid w:val="00244F05"/>
    <w:rsid w:val="00247D2F"/>
    <w:rsid w:val="00250659"/>
    <w:rsid w:val="0025464F"/>
    <w:rsid w:val="00255B9E"/>
    <w:rsid w:val="00256560"/>
    <w:rsid w:val="0025665D"/>
    <w:rsid w:val="00257769"/>
    <w:rsid w:val="00263231"/>
    <w:rsid w:val="0027605E"/>
    <w:rsid w:val="00281E00"/>
    <w:rsid w:val="00291951"/>
    <w:rsid w:val="00294A52"/>
    <w:rsid w:val="00296BE8"/>
    <w:rsid w:val="002A54DF"/>
    <w:rsid w:val="002A7D2D"/>
    <w:rsid w:val="002B575F"/>
    <w:rsid w:val="002B729B"/>
    <w:rsid w:val="002C23B5"/>
    <w:rsid w:val="002C53A2"/>
    <w:rsid w:val="002D0040"/>
    <w:rsid w:val="002D2FA8"/>
    <w:rsid w:val="002E1014"/>
    <w:rsid w:val="002E220F"/>
    <w:rsid w:val="002E35A2"/>
    <w:rsid w:val="002E7AB9"/>
    <w:rsid w:val="002F1127"/>
    <w:rsid w:val="002F4932"/>
    <w:rsid w:val="002F7151"/>
    <w:rsid w:val="00301A27"/>
    <w:rsid w:val="00307311"/>
    <w:rsid w:val="00320CF4"/>
    <w:rsid w:val="0032100F"/>
    <w:rsid w:val="0033402C"/>
    <w:rsid w:val="0033604C"/>
    <w:rsid w:val="00340521"/>
    <w:rsid w:val="00345C73"/>
    <w:rsid w:val="00354A99"/>
    <w:rsid w:val="0035654D"/>
    <w:rsid w:val="003570EE"/>
    <w:rsid w:val="00357AAA"/>
    <w:rsid w:val="00360311"/>
    <w:rsid w:val="00361922"/>
    <w:rsid w:val="00372059"/>
    <w:rsid w:val="0037339B"/>
    <w:rsid w:val="003818CF"/>
    <w:rsid w:val="0038696F"/>
    <w:rsid w:val="00386C11"/>
    <w:rsid w:val="00397466"/>
    <w:rsid w:val="003A3607"/>
    <w:rsid w:val="003A5265"/>
    <w:rsid w:val="003A5D45"/>
    <w:rsid w:val="003A6148"/>
    <w:rsid w:val="003C2578"/>
    <w:rsid w:val="003C33F6"/>
    <w:rsid w:val="003C3D2E"/>
    <w:rsid w:val="003C43A5"/>
    <w:rsid w:val="003C7B6A"/>
    <w:rsid w:val="003D5E5A"/>
    <w:rsid w:val="003E1C5C"/>
    <w:rsid w:val="003E5D13"/>
    <w:rsid w:val="003E6650"/>
    <w:rsid w:val="003F4228"/>
    <w:rsid w:val="003F5B46"/>
    <w:rsid w:val="00401363"/>
    <w:rsid w:val="00402E47"/>
    <w:rsid w:val="004045E1"/>
    <w:rsid w:val="00425015"/>
    <w:rsid w:val="00430994"/>
    <w:rsid w:val="0043599C"/>
    <w:rsid w:val="00441B6D"/>
    <w:rsid w:val="004556EF"/>
    <w:rsid w:val="00456110"/>
    <w:rsid w:val="00456245"/>
    <w:rsid w:val="00462B07"/>
    <w:rsid w:val="00465BD2"/>
    <w:rsid w:val="00465F74"/>
    <w:rsid w:val="004715C8"/>
    <w:rsid w:val="00471FF9"/>
    <w:rsid w:val="0047471B"/>
    <w:rsid w:val="00481C31"/>
    <w:rsid w:val="00482FC1"/>
    <w:rsid w:val="00483027"/>
    <w:rsid w:val="004852BC"/>
    <w:rsid w:val="004871AA"/>
    <w:rsid w:val="004918D7"/>
    <w:rsid w:val="004926E1"/>
    <w:rsid w:val="004A15AB"/>
    <w:rsid w:val="004A2E0E"/>
    <w:rsid w:val="004A2FEA"/>
    <w:rsid w:val="004C0A28"/>
    <w:rsid w:val="004C22E8"/>
    <w:rsid w:val="004C2CA7"/>
    <w:rsid w:val="004C78F7"/>
    <w:rsid w:val="004D0863"/>
    <w:rsid w:val="004D2DD7"/>
    <w:rsid w:val="004D75C5"/>
    <w:rsid w:val="004E2186"/>
    <w:rsid w:val="004E66FB"/>
    <w:rsid w:val="004E7124"/>
    <w:rsid w:val="004F4268"/>
    <w:rsid w:val="004F470A"/>
    <w:rsid w:val="004F4C59"/>
    <w:rsid w:val="00500C8F"/>
    <w:rsid w:val="00501909"/>
    <w:rsid w:val="00502003"/>
    <w:rsid w:val="00507BBB"/>
    <w:rsid w:val="005119C4"/>
    <w:rsid w:val="00511E93"/>
    <w:rsid w:val="005128DF"/>
    <w:rsid w:val="00512CCF"/>
    <w:rsid w:val="0051592A"/>
    <w:rsid w:val="005206FE"/>
    <w:rsid w:val="00521FBA"/>
    <w:rsid w:val="005229E5"/>
    <w:rsid w:val="005257ED"/>
    <w:rsid w:val="005306F8"/>
    <w:rsid w:val="0054023D"/>
    <w:rsid w:val="0054045B"/>
    <w:rsid w:val="0054115A"/>
    <w:rsid w:val="005426BF"/>
    <w:rsid w:val="00542968"/>
    <w:rsid w:val="005536A8"/>
    <w:rsid w:val="0056213C"/>
    <w:rsid w:val="00573B79"/>
    <w:rsid w:val="005803EB"/>
    <w:rsid w:val="00580C24"/>
    <w:rsid w:val="00582E94"/>
    <w:rsid w:val="00585E4C"/>
    <w:rsid w:val="00594CF3"/>
    <w:rsid w:val="005968EF"/>
    <w:rsid w:val="00596C1E"/>
    <w:rsid w:val="005A19EA"/>
    <w:rsid w:val="005A2E26"/>
    <w:rsid w:val="005B0FDF"/>
    <w:rsid w:val="005B7BCA"/>
    <w:rsid w:val="005C0DAE"/>
    <w:rsid w:val="005C188E"/>
    <w:rsid w:val="005C6660"/>
    <w:rsid w:val="005D013A"/>
    <w:rsid w:val="005D2349"/>
    <w:rsid w:val="005D4E20"/>
    <w:rsid w:val="005D4F2B"/>
    <w:rsid w:val="005E1B43"/>
    <w:rsid w:val="005E1B60"/>
    <w:rsid w:val="005E5507"/>
    <w:rsid w:val="005E5AAF"/>
    <w:rsid w:val="005E607B"/>
    <w:rsid w:val="005E79B7"/>
    <w:rsid w:val="005F0A8D"/>
    <w:rsid w:val="005F1672"/>
    <w:rsid w:val="005F6304"/>
    <w:rsid w:val="00601229"/>
    <w:rsid w:val="00603B67"/>
    <w:rsid w:val="006050AE"/>
    <w:rsid w:val="006051D5"/>
    <w:rsid w:val="006063E6"/>
    <w:rsid w:val="006162A2"/>
    <w:rsid w:val="00617BA0"/>
    <w:rsid w:val="006240DA"/>
    <w:rsid w:val="0063256E"/>
    <w:rsid w:val="006338BB"/>
    <w:rsid w:val="00633F04"/>
    <w:rsid w:val="00635219"/>
    <w:rsid w:val="00635EC0"/>
    <w:rsid w:val="00640B58"/>
    <w:rsid w:val="00643AA8"/>
    <w:rsid w:val="00651B02"/>
    <w:rsid w:val="00651B19"/>
    <w:rsid w:val="00652926"/>
    <w:rsid w:val="006544A5"/>
    <w:rsid w:val="00660A29"/>
    <w:rsid w:val="00673D7C"/>
    <w:rsid w:val="00676948"/>
    <w:rsid w:val="00693611"/>
    <w:rsid w:val="00695519"/>
    <w:rsid w:val="00697BA1"/>
    <w:rsid w:val="006A2661"/>
    <w:rsid w:val="006A4134"/>
    <w:rsid w:val="006A5DDA"/>
    <w:rsid w:val="006A6701"/>
    <w:rsid w:val="006B21F4"/>
    <w:rsid w:val="006B2E8C"/>
    <w:rsid w:val="006B3753"/>
    <w:rsid w:val="006B7AD6"/>
    <w:rsid w:val="006C50FD"/>
    <w:rsid w:val="006D1DD4"/>
    <w:rsid w:val="006D3EF9"/>
    <w:rsid w:val="006D3FA4"/>
    <w:rsid w:val="006D4014"/>
    <w:rsid w:val="006D413D"/>
    <w:rsid w:val="006D44C1"/>
    <w:rsid w:val="006E0665"/>
    <w:rsid w:val="006E5651"/>
    <w:rsid w:val="006E5B85"/>
    <w:rsid w:val="006F026A"/>
    <w:rsid w:val="006F42DB"/>
    <w:rsid w:val="006F5911"/>
    <w:rsid w:val="0070265B"/>
    <w:rsid w:val="00704813"/>
    <w:rsid w:val="00721ED6"/>
    <w:rsid w:val="0072290D"/>
    <w:rsid w:val="00723D6D"/>
    <w:rsid w:val="00724537"/>
    <w:rsid w:val="00727764"/>
    <w:rsid w:val="00731724"/>
    <w:rsid w:val="00732850"/>
    <w:rsid w:val="0073474B"/>
    <w:rsid w:val="00735511"/>
    <w:rsid w:val="00737208"/>
    <w:rsid w:val="007413FB"/>
    <w:rsid w:val="00744DE6"/>
    <w:rsid w:val="0075223B"/>
    <w:rsid w:val="00755BA3"/>
    <w:rsid w:val="00762452"/>
    <w:rsid w:val="007639E0"/>
    <w:rsid w:val="007715B2"/>
    <w:rsid w:val="007727F8"/>
    <w:rsid w:val="00775507"/>
    <w:rsid w:val="00783473"/>
    <w:rsid w:val="00783A63"/>
    <w:rsid w:val="0078594B"/>
    <w:rsid w:val="00792AF4"/>
    <w:rsid w:val="00794FCA"/>
    <w:rsid w:val="00795E02"/>
    <w:rsid w:val="00796F7B"/>
    <w:rsid w:val="007979D0"/>
    <w:rsid w:val="007A4E18"/>
    <w:rsid w:val="007A7B8C"/>
    <w:rsid w:val="007B757F"/>
    <w:rsid w:val="007C2CC1"/>
    <w:rsid w:val="007C39A0"/>
    <w:rsid w:val="007C6D56"/>
    <w:rsid w:val="007C6D9E"/>
    <w:rsid w:val="007D0715"/>
    <w:rsid w:val="007D0810"/>
    <w:rsid w:val="007D1C43"/>
    <w:rsid w:val="007D6C53"/>
    <w:rsid w:val="007E07DC"/>
    <w:rsid w:val="007E1564"/>
    <w:rsid w:val="007E1E87"/>
    <w:rsid w:val="007E22F6"/>
    <w:rsid w:val="007E3C14"/>
    <w:rsid w:val="007E5B3F"/>
    <w:rsid w:val="007F0255"/>
    <w:rsid w:val="007F2257"/>
    <w:rsid w:val="007F41B8"/>
    <w:rsid w:val="0080091D"/>
    <w:rsid w:val="00801ACB"/>
    <w:rsid w:val="00804108"/>
    <w:rsid w:val="0080487E"/>
    <w:rsid w:val="00804FC4"/>
    <w:rsid w:val="008075D3"/>
    <w:rsid w:val="00813E72"/>
    <w:rsid w:val="00815A60"/>
    <w:rsid w:val="00816367"/>
    <w:rsid w:val="00816A0B"/>
    <w:rsid w:val="0082113F"/>
    <w:rsid w:val="008225C3"/>
    <w:rsid w:val="00822B3C"/>
    <w:rsid w:val="00824B22"/>
    <w:rsid w:val="00830C53"/>
    <w:rsid w:val="00837A51"/>
    <w:rsid w:val="00837FAA"/>
    <w:rsid w:val="00841F77"/>
    <w:rsid w:val="00842127"/>
    <w:rsid w:val="00843E2E"/>
    <w:rsid w:val="008449D1"/>
    <w:rsid w:val="00851D32"/>
    <w:rsid w:val="0085276D"/>
    <w:rsid w:val="00861414"/>
    <w:rsid w:val="00863390"/>
    <w:rsid w:val="0086385C"/>
    <w:rsid w:val="00871916"/>
    <w:rsid w:val="00885E65"/>
    <w:rsid w:val="00890039"/>
    <w:rsid w:val="008956DD"/>
    <w:rsid w:val="008A1A20"/>
    <w:rsid w:val="008A2092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108A"/>
    <w:rsid w:val="00922301"/>
    <w:rsid w:val="00923239"/>
    <w:rsid w:val="00923C34"/>
    <w:rsid w:val="00924152"/>
    <w:rsid w:val="0092513D"/>
    <w:rsid w:val="00927A9F"/>
    <w:rsid w:val="009335CC"/>
    <w:rsid w:val="00934521"/>
    <w:rsid w:val="00935A55"/>
    <w:rsid w:val="00941B44"/>
    <w:rsid w:val="00941CEB"/>
    <w:rsid w:val="0094720F"/>
    <w:rsid w:val="009518D2"/>
    <w:rsid w:val="00953B28"/>
    <w:rsid w:val="00954322"/>
    <w:rsid w:val="00957CAA"/>
    <w:rsid w:val="0096356B"/>
    <w:rsid w:val="0096778A"/>
    <w:rsid w:val="009711BC"/>
    <w:rsid w:val="00977656"/>
    <w:rsid w:val="009846A7"/>
    <w:rsid w:val="0098794D"/>
    <w:rsid w:val="0099497B"/>
    <w:rsid w:val="00997A4D"/>
    <w:rsid w:val="009A43BA"/>
    <w:rsid w:val="009B0D05"/>
    <w:rsid w:val="009B4CA6"/>
    <w:rsid w:val="009B612C"/>
    <w:rsid w:val="009B79F8"/>
    <w:rsid w:val="009C66D5"/>
    <w:rsid w:val="009D13FD"/>
    <w:rsid w:val="009D266A"/>
    <w:rsid w:val="009E20E3"/>
    <w:rsid w:val="009F2293"/>
    <w:rsid w:val="009F7E07"/>
    <w:rsid w:val="00A00567"/>
    <w:rsid w:val="00A01522"/>
    <w:rsid w:val="00A06F29"/>
    <w:rsid w:val="00A10A11"/>
    <w:rsid w:val="00A12425"/>
    <w:rsid w:val="00A13C6A"/>
    <w:rsid w:val="00A17B09"/>
    <w:rsid w:val="00A3232B"/>
    <w:rsid w:val="00A41BC4"/>
    <w:rsid w:val="00A457C6"/>
    <w:rsid w:val="00A46690"/>
    <w:rsid w:val="00A46AD0"/>
    <w:rsid w:val="00A47063"/>
    <w:rsid w:val="00A473A8"/>
    <w:rsid w:val="00A513F0"/>
    <w:rsid w:val="00A60D68"/>
    <w:rsid w:val="00A61AC8"/>
    <w:rsid w:val="00A6366F"/>
    <w:rsid w:val="00A65B94"/>
    <w:rsid w:val="00A65D4C"/>
    <w:rsid w:val="00A70512"/>
    <w:rsid w:val="00A70F43"/>
    <w:rsid w:val="00A75EFB"/>
    <w:rsid w:val="00A97D01"/>
    <w:rsid w:val="00AA0CB7"/>
    <w:rsid w:val="00AA1F60"/>
    <w:rsid w:val="00AA35F5"/>
    <w:rsid w:val="00AA40D7"/>
    <w:rsid w:val="00AB4CFB"/>
    <w:rsid w:val="00AB5F7D"/>
    <w:rsid w:val="00AC0C50"/>
    <w:rsid w:val="00AC5E07"/>
    <w:rsid w:val="00AC6005"/>
    <w:rsid w:val="00AC6FE2"/>
    <w:rsid w:val="00AD6A3C"/>
    <w:rsid w:val="00AE2B61"/>
    <w:rsid w:val="00AE3D0B"/>
    <w:rsid w:val="00AF3925"/>
    <w:rsid w:val="00AF4581"/>
    <w:rsid w:val="00B006CC"/>
    <w:rsid w:val="00B01B4B"/>
    <w:rsid w:val="00B1296B"/>
    <w:rsid w:val="00B2292F"/>
    <w:rsid w:val="00B4208B"/>
    <w:rsid w:val="00B43169"/>
    <w:rsid w:val="00B44B70"/>
    <w:rsid w:val="00B501A8"/>
    <w:rsid w:val="00B55AE4"/>
    <w:rsid w:val="00B603BB"/>
    <w:rsid w:val="00B652D2"/>
    <w:rsid w:val="00B665DF"/>
    <w:rsid w:val="00B70B46"/>
    <w:rsid w:val="00B73506"/>
    <w:rsid w:val="00B739B0"/>
    <w:rsid w:val="00B73A05"/>
    <w:rsid w:val="00B77956"/>
    <w:rsid w:val="00B77C5F"/>
    <w:rsid w:val="00B814A3"/>
    <w:rsid w:val="00B822C6"/>
    <w:rsid w:val="00B84E0A"/>
    <w:rsid w:val="00B84EE4"/>
    <w:rsid w:val="00B8796A"/>
    <w:rsid w:val="00B87DF4"/>
    <w:rsid w:val="00B96F38"/>
    <w:rsid w:val="00BB00E4"/>
    <w:rsid w:val="00BB21F8"/>
    <w:rsid w:val="00BC6775"/>
    <w:rsid w:val="00BC716B"/>
    <w:rsid w:val="00BD03FE"/>
    <w:rsid w:val="00BD0E74"/>
    <w:rsid w:val="00BD5F8C"/>
    <w:rsid w:val="00BE1126"/>
    <w:rsid w:val="00BE29DD"/>
    <w:rsid w:val="00BE55EE"/>
    <w:rsid w:val="00BF2BAD"/>
    <w:rsid w:val="00C02B0F"/>
    <w:rsid w:val="00C066AF"/>
    <w:rsid w:val="00C10CEB"/>
    <w:rsid w:val="00C10E06"/>
    <w:rsid w:val="00C13F26"/>
    <w:rsid w:val="00C145B8"/>
    <w:rsid w:val="00C1467A"/>
    <w:rsid w:val="00C17B54"/>
    <w:rsid w:val="00C2438F"/>
    <w:rsid w:val="00C31AF0"/>
    <w:rsid w:val="00C32A7E"/>
    <w:rsid w:val="00C34F28"/>
    <w:rsid w:val="00C368DF"/>
    <w:rsid w:val="00C4172B"/>
    <w:rsid w:val="00C4325A"/>
    <w:rsid w:val="00C442C5"/>
    <w:rsid w:val="00C45603"/>
    <w:rsid w:val="00C57B5C"/>
    <w:rsid w:val="00C57C7C"/>
    <w:rsid w:val="00C60657"/>
    <w:rsid w:val="00C61049"/>
    <w:rsid w:val="00C63FFE"/>
    <w:rsid w:val="00C65720"/>
    <w:rsid w:val="00C739D8"/>
    <w:rsid w:val="00C762A0"/>
    <w:rsid w:val="00C800D7"/>
    <w:rsid w:val="00C91732"/>
    <w:rsid w:val="00C91EB6"/>
    <w:rsid w:val="00CA10B0"/>
    <w:rsid w:val="00CA2F8E"/>
    <w:rsid w:val="00CA34AC"/>
    <w:rsid w:val="00CA3EE2"/>
    <w:rsid w:val="00CA6CDF"/>
    <w:rsid w:val="00CA7FD5"/>
    <w:rsid w:val="00CB3287"/>
    <w:rsid w:val="00CB33E2"/>
    <w:rsid w:val="00CB4E68"/>
    <w:rsid w:val="00CC2733"/>
    <w:rsid w:val="00CC2B4B"/>
    <w:rsid w:val="00CD0050"/>
    <w:rsid w:val="00CD2358"/>
    <w:rsid w:val="00CD3339"/>
    <w:rsid w:val="00CD3DAB"/>
    <w:rsid w:val="00CE7481"/>
    <w:rsid w:val="00CF0A8F"/>
    <w:rsid w:val="00D027C6"/>
    <w:rsid w:val="00D048CE"/>
    <w:rsid w:val="00D07EF1"/>
    <w:rsid w:val="00D10998"/>
    <w:rsid w:val="00D15CBD"/>
    <w:rsid w:val="00D221CB"/>
    <w:rsid w:val="00D22349"/>
    <w:rsid w:val="00D23391"/>
    <w:rsid w:val="00D31805"/>
    <w:rsid w:val="00D511BF"/>
    <w:rsid w:val="00D535B0"/>
    <w:rsid w:val="00D5442D"/>
    <w:rsid w:val="00D544A0"/>
    <w:rsid w:val="00D552B9"/>
    <w:rsid w:val="00D55601"/>
    <w:rsid w:val="00D642F5"/>
    <w:rsid w:val="00D71430"/>
    <w:rsid w:val="00D735B2"/>
    <w:rsid w:val="00D74021"/>
    <w:rsid w:val="00D76D01"/>
    <w:rsid w:val="00D810C5"/>
    <w:rsid w:val="00D90B65"/>
    <w:rsid w:val="00D91370"/>
    <w:rsid w:val="00D915C9"/>
    <w:rsid w:val="00D922A9"/>
    <w:rsid w:val="00D9366E"/>
    <w:rsid w:val="00D9394A"/>
    <w:rsid w:val="00D94E1E"/>
    <w:rsid w:val="00D97753"/>
    <w:rsid w:val="00DA45B0"/>
    <w:rsid w:val="00DA6EFA"/>
    <w:rsid w:val="00DB0CBB"/>
    <w:rsid w:val="00DB32C6"/>
    <w:rsid w:val="00DB649C"/>
    <w:rsid w:val="00DB67CC"/>
    <w:rsid w:val="00DC144E"/>
    <w:rsid w:val="00DC1FA1"/>
    <w:rsid w:val="00DC3783"/>
    <w:rsid w:val="00DD0A3A"/>
    <w:rsid w:val="00DD77BC"/>
    <w:rsid w:val="00DE1070"/>
    <w:rsid w:val="00DE13A0"/>
    <w:rsid w:val="00DE6101"/>
    <w:rsid w:val="00DF64F6"/>
    <w:rsid w:val="00E00219"/>
    <w:rsid w:val="00E0316B"/>
    <w:rsid w:val="00E051D1"/>
    <w:rsid w:val="00E06988"/>
    <w:rsid w:val="00E11CBD"/>
    <w:rsid w:val="00E220F5"/>
    <w:rsid w:val="00E2252E"/>
    <w:rsid w:val="00E25E10"/>
    <w:rsid w:val="00E32055"/>
    <w:rsid w:val="00E32CF0"/>
    <w:rsid w:val="00E5090F"/>
    <w:rsid w:val="00E50B41"/>
    <w:rsid w:val="00E5219B"/>
    <w:rsid w:val="00E52D07"/>
    <w:rsid w:val="00E543C7"/>
    <w:rsid w:val="00E54892"/>
    <w:rsid w:val="00E5518B"/>
    <w:rsid w:val="00E57191"/>
    <w:rsid w:val="00E609FE"/>
    <w:rsid w:val="00E6246C"/>
    <w:rsid w:val="00E630BE"/>
    <w:rsid w:val="00E63605"/>
    <w:rsid w:val="00E75920"/>
    <w:rsid w:val="00E80D96"/>
    <w:rsid w:val="00E83706"/>
    <w:rsid w:val="00E871FA"/>
    <w:rsid w:val="00E936A4"/>
    <w:rsid w:val="00E954BB"/>
    <w:rsid w:val="00EA45E7"/>
    <w:rsid w:val="00EB3F01"/>
    <w:rsid w:val="00EB42DC"/>
    <w:rsid w:val="00EB78E3"/>
    <w:rsid w:val="00EB7BE3"/>
    <w:rsid w:val="00EC18AA"/>
    <w:rsid w:val="00EC1C4B"/>
    <w:rsid w:val="00EC6384"/>
    <w:rsid w:val="00EC735A"/>
    <w:rsid w:val="00ED1D00"/>
    <w:rsid w:val="00ED5F38"/>
    <w:rsid w:val="00EE0E81"/>
    <w:rsid w:val="00EF17D9"/>
    <w:rsid w:val="00EF27FE"/>
    <w:rsid w:val="00EF5575"/>
    <w:rsid w:val="00EF5E4C"/>
    <w:rsid w:val="00F07FB6"/>
    <w:rsid w:val="00F14392"/>
    <w:rsid w:val="00F149D0"/>
    <w:rsid w:val="00F16B53"/>
    <w:rsid w:val="00F17C0F"/>
    <w:rsid w:val="00F237F5"/>
    <w:rsid w:val="00F25ECD"/>
    <w:rsid w:val="00F318BE"/>
    <w:rsid w:val="00F33297"/>
    <w:rsid w:val="00F343FB"/>
    <w:rsid w:val="00F359FE"/>
    <w:rsid w:val="00F42159"/>
    <w:rsid w:val="00F4256E"/>
    <w:rsid w:val="00F42EE1"/>
    <w:rsid w:val="00F51CEF"/>
    <w:rsid w:val="00F60F1F"/>
    <w:rsid w:val="00F62721"/>
    <w:rsid w:val="00F64141"/>
    <w:rsid w:val="00F662FD"/>
    <w:rsid w:val="00F67508"/>
    <w:rsid w:val="00F71FC9"/>
    <w:rsid w:val="00F73B48"/>
    <w:rsid w:val="00F74F51"/>
    <w:rsid w:val="00F7560E"/>
    <w:rsid w:val="00F842AD"/>
    <w:rsid w:val="00F914EB"/>
    <w:rsid w:val="00F91B85"/>
    <w:rsid w:val="00F938E7"/>
    <w:rsid w:val="00FA3B17"/>
    <w:rsid w:val="00FA43AE"/>
    <w:rsid w:val="00FA5E8D"/>
    <w:rsid w:val="00FA5F3D"/>
    <w:rsid w:val="00FB1F3E"/>
    <w:rsid w:val="00FB399E"/>
    <w:rsid w:val="00FB41F6"/>
    <w:rsid w:val="00FB797F"/>
    <w:rsid w:val="00FB7F50"/>
    <w:rsid w:val="00FC2A85"/>
    <w:rsid w:val="00FC40AF"/>
    <w:rsid w:val="00FC73B9"/>
    <w:rsid w:val="00FD0A16"/>
    <w:rsid w:val="00FE3D7D"/>
    <w:rsid w:val="00FE6DCF"/>
    <w:rsid w:val="00FE7254"/>
    <w:rsid w:val="00FF0248"/>
    <w:rsid w:val="00FF0641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lib.eshia.ir/13074/1/242/" TargetMode="External"/><Relationship Id="rId1" Type="http://schemas.openxmlformats.org/officeDocument/2006/relationships/hyperlink" Target="http://lib.eshia.ir/13097/1/392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EBE76-A337-450A-9CAC-88CF3432E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348</TotalTime>
  <Pages>1</Pages>
  <Words>705</Words>
  <Characters>4025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4721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bahadorzaei</cp:lastModifiedBy>
  <cp:revision>327</cp:revision>
  <cp:lastPrinted>2018-11-12T21:43:00Z</cp:lastPrinted>
  <dcterms:created xsi:type="dcterms:W3CDTF">2018-11-12T15:57:00Z</dcterms:created>
  <dcterms:modified xsi:type="dcterms:W3CDTF">2018-11-12T21:44:00Z</dcterms:modified>
  <cp:contentStatus>ویرایش 2.5</cp:contentStatus>
  <cp:version>2.7</cp:version>
</cp:coreProperties>
</file>