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C629C" w:rsidRDefault="000C629C" w:rsidP="000C629C">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27714115" w:history="1">
        <w:r w:rsidRPr="00FF44B3">
          <w:rPr>
            <w:rStyle w:val="Hyperlink"/>
            <w:noProof/>
            <w:rtl/>
          </w:rPr>
          <w:t>مرحوم خو</w:t>
        </w:r>
        <w:r w:rsidRPr="00FF44B3">
          <w:rPr>
            <w:rStyle w:val="Hyperlink"/>
            <w:rFonts w:hint="cs"/>
            <w:noProof/>
            <w:rtl/>
          </w:rPr>
          <w:t>یی</w:t>
        </w:r>
        <w:r w:rsidRPr="00FF44B3">
          <w:rPr>
            <w:rStyle w:val="Hyperlink"/>
            <w:noProof/>
            <w:rtl/>
          </w:rPr>
          <w:t xml:space="preserve"> : تقدّم حاکم به مناط تفاوت ساحت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Toc527714115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C629C" w:rsidRDefault="004B2047" w:rsidP="000C629C">
      <w:pPr>
        <w:pStyle w:val="TOC1"/>
        <w:rPr>
          <w:rFonts w:asciiTheme="minorHAnsi" w:eastAsiaTheme="minorEastAsia" w:hAnsiTheme="minorHAnsi" w:cstheme="minorBidi"/>
          <w:noProof/>
          <w:color w:val="auto"/>
          <w:szCs w:val="22"/>
          <w:rtl/>
        </w:rPr>
      </w:pPr>
      <w:hyperlink w:anchor="_Toc527714116" w:history="1">
        <w:r w:rsidR="000C629C" w:rsidRPr="00FF44B3">
          <w:rPr>
            <w:rStyle w:val="Hyperlink"/>
            <w:noProof/>
            <w:rtl/>
          </w:rPr>
          <w:t>مناقشه اول : ثبوت تناف</w:t>
        </w:r>
        <w:r w:rsidR="000C629C" w:rsidRPr="00FF44B3">
          <w:rPr>
            <w:rStyle w:val="Hyperlink"/>
            <w:rFonts w:hint="cs"/>
            <w:noProof/>
            <w:rtl/>
          </w:rPr>
          <w:t>ی</w:t>
        </w:r>
        <w:r w:rsidR="000C629C" w:rsidRPr="00FF44B3">
          <w:rPr>
            <w:rStyle w:val="Hyperlink"/>
            <w:noProof/>
            <w:rtl/>
          </w:rPr>
          <w:t xml:space="preserve"> بعد از صدور حاکم</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Toc527714116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1</w:t>
        </w:r>
        <w:r w:rsidR="000C629C">
          <w:rPr>
            <w:rStyle w:val="Hyperlink"/>
            <w:noProof/>
            <w:rtl/>
          </w:rPr>
          <w:fldChar w:fldCharType="end"/>
        </w:r>
      </w:hyperlink>
    </w:p>
    <w:p w:rsidR="000C629C" w:rsidRDefault="004B2047" w:rsidP="000C629C">
      <w:pPr>
        <w:pStyle w:val="TOC6"/>
        <w:tabs>
          <w:tab w:val="right" w:leader="dot" w:pos="10194"/>
        </w:tabs>
        <w:rPr>
          <w:rFonts w:asciiTheme="minorHAnsi" w:eastAsiaTheme="minorEastAsia" w:hAnsiTheme="minorHAnsi" w:cstheme="minorBidi"/>
          <w:bCs w:val="0"/>
          <w:noProof/>
          <w:color w:val="auto"/>
          <w:szCs w:val="22"/>
          <w:rtl/>
        </w:rPr>
      </w:pPr>
      <w:hyperlink w:anchor="_Toc527714117" w:history="1">
        <w:r w:rsidR="000C629C" w:rsidRPr="00FF44B3">
          <w:rPr>
            <w:rStyle w:val="Hyperlink"/>
            <w:noProof/>
            <w:rtl/>
          </w:rPr>
          <w:t>منشا اول اشتباه : خلط م</w:t>
        </w:r>
        <w:r w:rsidR="000C629C" w:rsidRPr="00FF44B3">
          <w:rPr>
            <w:rStyle w:val="Hyperlink"/>
            <w:rFonts w:hint="cs"/>
            <w:noProof/>
            <w:rtl/>
          </w:rPr>
          <w:t>ی</w:t>
        </w:r>
        <w:r w:rsidR="000C629C" w:rsidRPr="00FF44B3">
          <w:rPr>
            <w:rStyle w:val="Hyperlink"/>
            <w:rFonts w:hint="eastAsia"/>
            <w:noProof/>
            <w:rtl/>
          </w:rPr>
          <w:t>ان</w:t>
        </w:r>
        <w:r w:rsidR="000C629C" w:rsidRPr="00FF44B3">
          <w:rPr>
            <w:rStyle w:val="Hyperlink"/>
            <w:noProof/>
            <w:rtl/>
          </w:rPr>
          <w:t xml:space="preserve"> حکومت و ورود</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Toc527714117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2</w:t>
        </w:r>
        <w:r w:rsidR="000C629C">
          <w:rPr>
            <w:rStyle w:val="Hyperlink"/>
            <w:noProof/>
            <w:rtl/>
          </w:rPr>
          <w:fldChar w:fldCharType="end"/>
        </w:r>
      </w:hyperlink>
    </w:p>
    <w:p w:rsidR="000C629C" w:rsidRDefault="004B2047" w:rsidP="000C629C">
      <w:pPr>
        <w:pStyle w:val="TOC6"/>
        <w:tabs>
          <w:tab w:val="right" w:leader="dot" w:pos="10194"/>
        </w:tabs>
        <w:rPr>
          <w:rFonts w:asciiTheme="minorHAnsi" w:eastAsiaTheme="minorEastAsia" w:hAnsiTheme="minorHAnsi" w:cstheme="minorBidi"/>
          <w:bCs w:val="0"/>
          <w:noProof/>
          <w:color w:val="auto"/>
          <w:szCs w:val="22"/>
          <w:rtl/>
        </w:rPr>
      </w:pPr>
      <w:hyperlink w:anchor="_Toc527714118" w:history="1">
        <w:r w:rsidR="000C629C" w:rsidRPr="00FF44B3">
          <w:rPr>
            <w:rStyle w:val="Hyperlink"/>
            <w:noProof/>
            <w:rtl/>
          </w:rPr>
          <w:t>منشا دوم اشتباه : خلط م</w:t>
        </w:r>
        <w:r w:rsidR="000C629C" w:rsidRPr="00FF44B3">
          <w:rPr>
            <w:rStyle w:val="Hyperlink"/>
            <w:rFonts w:hint="cs"/>
            <w:noProof/>
            <w:rtl/>
          </w:rPr>
          <w:t>ی</w:t>
        </w:r>
        <w:r w:rsidR="000C629C" w:rsidRPr="00FF44B3">
          <w:rPr>
            <w:rStyle w:val="Hyperlink"/>
            <w:rFonts w:hint="eastAsia"/>
            <w:noProof/>
            <w:rtl/>
          </w:rPr>
          <w:t>ان</w:t>
        </w:r>
        <w:r w:rsidR="000C629C" w:rsidRPr="00FF44B3">
          <w:rPr>
            <w:rStyle w:val="Hyperlink"/>
            <w:noProof/>
            <w:rtl/>
          </w:rPr>
          <w:t xml:space="preserve"> رسالات ادله</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Toc527714118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2</w:t>
        </w:r>
        <w:r w:rsidR="000C629C">
          <w:rPr>
            <w:rStyle w:val="Hyperlink"/>
            <w:noProof/>
            <w:rtl/>
          </w:rPr>
          <w:fldChar w:fldCharType="end"/>
        </w:r>
      </w:hyperlink>
    </w:p>
    <w:p w:rsidR="000C629C" w:rsidRDefault="004B2047" w:rsidP="000C629C">
      <w:pPr>
        <w:pStyle w:val="TOC1"/>
        <w:rPr>
          <w:rFonts w:asciiTheme="minorHAnsi" w:eastAsiaTheme="minorEastAsia" w:hAnsiTheme="minorHAnsi" w:cstheme="minorBidi"/>
          <w:noProof/>
          <w:color w:val="auto"/>
          <w:szCs w:val="22"/>
          <w:rtl/>
        </w:rPr>
      </w:pPr>
      <w:hyperlink w:anchor="_Toc527714119" w:history="1">
        <w:r w:rsidR="000C629C" w:rsidRPr="00FF44B3">
          <w:rPr>
            <w:rStyle w:val="Hyperlink"/>
            <w:noProof/>
            <w:rtl/>
          </w:rPr>
          <w:t>مناقشه دوم : اختصاص راه حلّ به حکومت در عقد الوضع</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Toc527714119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2</w:t>
        </w:r>
        <w:r w:rsidR="000C629C">
          <w:rPr>
            <w:rStyle w:val="Hyperlink"/>
            <w:noProof/>
            <w:rtl/>
          </w:rPr>
          <w:fldChar w:fldCharType="end"/>
        </w:r>
      </w:hyperlink>
    </w:p>
    <w:p w:rsidR="000C629C" w:rsidRDefault="004B2047" w:rsidP="000C629C">
      <w:pPr>
        <w:pStyle w:val="TOC1"/>
        <w:rPr>
          <w:rFonts w:asciiTheme="minorHAnsi" w:eastAsiaTheme="minorEastAsia" w:hAnsiTheme="minorHAnsi" w:cstheme="minorBidi"/>
          <w:noProof/>
          <w:color w:val="auto"/>
          <w:szCs w:val="22"/>
          <w:rtl/>
        </w:rPr>
      </w:pPr>
      <w:hyperlink w:anchor="_Toc527714120" w:history="1">
        <w:r w:rsidR="000C629C" w:rsidRPr="00FF44B3">
          <w:rPr>
            <w:rStyle w:val="Hyperlink"/>
            <w:noProof/>
            <w:rtl/>
          </w:rPr>
          <w:t>پاسخ : محدود بودن ادعا</w:t>
        </w:r>
        <w:r w:rsidR="000C629C" w:rsidRPr="00FF44B3">
          <w:rPr>
            <w:rStyle w:val="Hyperlink"/>
            <w:rFonts w:hint="cs"/>
            <w:noProof/>
            <w:rtl/>
          </w:rPr>
          <w:t>ی</w:t>
        </w:r>
        <w:r w:rsidR="000C629C" w:rsidRPr="00FF44B3">
          <w:rPr>
            <w:rStyle w:val="Hyperlink"/>
            <w:noProof/>
            <w:rtl/>
          </w:rPr>
          <w:t xml:space="preserve"> مرحوم خو</w:t>
        </w:r>
        <w:r w:rsidR="000C629C" w:rsidRPr="00FF44B3">
          <w:rPr>
            <w:rStyle w:val="Hyperlink"/>
            <w:rFonts w:hint="cs"/>
            <w:noProof/>
            <w:rtl/>
          </w:rPr>
          <w:t>یی</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Toc527714120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2</w:t>
        </w:r>
        <w:r w:rsidR="000C629C">
          <w:rPr>
            <w:rStyle w:val="Hyperlink"/>
            <w:noProof/>
            <w:rtl/>
          </w:rPr>
          <w:fldChar w:fldCharType="end"/>
        </w:r>
      </w:hyperlink>
    </w:p>
    <w:p w:rsidR="000C629C" w:rsidRDefault="004B2047" w:rsidP="000C629C">
      <w:pPr>
        <w:pStyle w:val="TOC1"/>
        <w:rPr>
          <w:rFonts w:asciiTheme="minorHAnsi" w:eastAsiaTheme="minorEastAsia" w:hAnsiTheme="minorHAnsi" w:cstheme="minorBidi"/>
          <w:noProof/>
          <w:color w:val="auto"/>
          <w:szCs w:val="22"/>
          <w:rtl/>
        </w:rPr>
      </w:pPr>
      <w:hyperlink w:anchor="_Toc527714121" w:history="1">
        <w:r w:rsidR="000C629C" w:rsidRPr="00FF44B3">
          <w:rPr>
            <w:rStyle w:val="Hyperlink"/>
            <w:noProof/>
            <w:rtl/>
          </w:rPr>
          <w:t>تقد</w:t>
        </w:r>
        <w:r w:rsidR="000C629C" w:rsidRPr="00FF44B3">
          <w:rPr>
            <w:rStyle w:val="Hyperlink"/>
            <w:rFonts w:hint="cs"/>
            <w:noProof/>
            <w:rtl/>
          </w:rPr>
          <w:t>ی</w:t>
        </w:r>
        <w:r w:rsidR="000C629C" w:rsidRPr="00FF44B3">
          <w:rPr>
            <w:rStyle w:val="Hyperlink"/>
            <w:rFonts w:hint="eastAsia"/>
            <w:noProof/>
            <w:rtl/>
          </w:rPr>
          <w:t>م</w:t>
        </w:r>
        <w:r w:rsidR="000C629C" w:rsidRPr="00FF44B3">
          <w:rPr>
            <w:rStyle w:val="Hyperlink"/>
            <w:noProof/>
            <w:rtl/>
          </w:rPr>
          <w:t xml:space="preserve"> حاکم به ملاک مسالمت</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Toc527714121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3</w:t>
        </w:r>
        <w:r w:rsidR="000C629C">
          <w:rPr>
            <w:rStyle w:val="Hyperlink"/>
            <w:noProof/>
            <w:rtl/>
          </w:rPr>
          <w:fldChar w:fldCharType="end"/>
        </w:r>
      </w:hyperlink>
    </w:p>
    <w:p w:rsidR="000C629C" w:rsidRDefault="004B2047" w:rsidP="000C629C">
      <w:pPr>
        <w:pStyle w:val="TOC1"/>
        <w:rPr>
          <w:rFonts w:asciiTheme="minorHAnsi" w:eastAsiaTheme="minorEastAsia" w:hAnsiTheme="minorHAnsi" w:cstheme="minorBidi"/>
          <w:noProof/>
          <w:color w:val="auto"/>
          <w:szCs w:val="22"/>
          <w:rtl/>
        </w:rPr>
      </w:pPr>
      <w:hyperlink w:anchor="_Toc527714122" w:history="1">
        <w:r w:rsidR="000C629C" w:rsidRPr="00FF44B3">
          <w:rPr>
            <w:rStyle w:val="Hyperlink"/>
            <w:noProof/>
            <w:rtl/>
          </w:rPr>
          <w:t>تقد</w:t>
        </w:r>
        <w:r w:rsidR="000C629C" w:rsidRPr="00FF44B3">
          <w:rPr>
            <w:rStyle w:val="Hyperlink"/>
            <w:rFonts w:hint="cs"/>
            <w:noProof/>
            <w:rtl/>
          </w:rPr>
          <w:t>ی</w:t>
        </w:r>
        <w:r w:rsidR="000C629C" w:rsidRPr="00FF44B3">
          <w:rPr>
            <w:rStyle w:val="Hyperlink"/>
            <w:rFonts w:hint="eastAsia"/>
            <w:noProof/>
            <w:rtl/>
          </w:rPr>
          <w:t>م</w:t>
        </w:r>
        <w:r w:rsidR="000C629C" w:rsidRPr="00FF44B3">
          <w:rPr>
            <w:rStyle w:val="Hyperlink"/>
            <w:noProof/>
            <w:rtl/>
          </w:rPr>
          <w:t xml:space="preserve"> حاکم به ملاک نظارت</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Toc527714122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3</w:t>
        </w:r>
        <w:r w:rsidR="000C629C">
          <w:rPr>
            <w:rStyle w:val="Hyperlink"/>
            <w:noProof/>
            <w:rtl/>
          </w:rPr>
          <w:fldChar w:fldCharType="end"/>
        </w:r>
      </w:hyperlink>
    </w:p>
    <w:p w:rsidR="000C629C" w:rsidRDefault="004B2047" w:rsidP="000C629C">
      <w:pPr>
        <w:pStyle w:val="TOC1"/>
        <w:rPr>
          <w:rFonts w:asciiTheme="minorHAnsi" w:eastAsiaTheme="minorEastAsia" w:hAnsiTheme="minorHAnsi" w:cstheme="minorBidi"/>
          <w:noProof/>
          <w:color w:val="auto"/>
          <w:szCs w:val="22"/>
          <w:rtl/>
        </w:rPr>
      </w:pPr>
      <w:hyperlink w:anchor="_Toc527714123" w:history="1">
        <w:r w:rsidR="000C629C" w:rsidRPr="00FF44B3">
          <w:rPr>
            <w:rStyle w:val="Hyperlink"/>
            <w:noProof/>
            <w:rtl/>
          </w:rPr>
          <w:t>تقس</w:t>
        </w:r>
        <w:r w:rsidR="000C629C" w:rsidRPr="00FF44B3">
          <w:rPr>
            <w:rStyle w:val="Hyperlink"/>
            <w:rFonts w:hint="cs"/>
            <w:noProof/>
            <w:rtl/>
          </w:rPr>
          <w:t>ی</w:t>
        </w:r>
        <w:r w:rsidR="000C629C" w:rsidRPr="00FF44B3">
          <w:rPr>
            <w:rStyle w:val="Hyperlink"/>
            <w:rFonts w:hint="eastAsia"/>
            <w:noProof/>
            <w:rtl/>
          </w:rPr>
          <w:t>مات</w:t>
        </w:r>
        <w:r w:rsidR="000C629C" w:rsidRPr="00FF44B3">
          <w:rPr>
            <w:rStyle w:val="Hyperlink"/>
            <w:noProof/>
            <w:rtl/>
          </w:rPr>
          <w:t xml:space="preserve"> حکومت</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Toc527714123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3</w:t>
        </w:r>
        <w:r w:rsidR="000C629C">
          <w:rPr>
            <w:rStyle w:val="Hyperlink"/>
            <w:noProof/>
            <w:rtl/>
          </w:rPr>
          <w:fldChar w:fldCharType="end"/>
        </w:r>
      </w:hyperlink>
    </w:p>
    <w:p w:rsidR="000C629C" w:rsidRDefault="004B2047" w:rsidP="000C629C">
      <w:pPr>
        <w:pStyle w:val="TOC6"/>
        <w:tabs>
          <w:tab w:val="right" w:leader="dot" w:pos="10194"/>
        </w:tabs>
        <w:rPr>
          <w:rFonts w:asciiTheme="minorHAnsi" w:eastAsiaTheme="minorEastAsia" w:hAnsiTheme="minorHAnsi" w:cstheme="minorBidi"/>
          <w:bCs w:val="0"/>
          <w:noProof/>
          <w:color w:val="auto"/>
          <w:szCs w:val="22"/>
          <w:rtl/>
        </w:rPr>
      </w:pPr>
      <w:hyperlink w:anchor="_Toc527714124" w:history="1">
        <w:r w:rsidR="000C629C" w:rsidRPr="00FF44B3">
          <w:rPr>
            <w:rStyle w:val="Hyperlink"/>
            <w:noProof/>
            <w:rtl/>
          </w:rPr>
          <w:t>تقس</w:t>
        </w:r>
        <w:r w:rsidR="000C629C" w:rsidRPr="00FF44B3">
          <w:rPr>
            <w:rStyle w:val="Hyperlink"/>
            <w:rFonts w:hint="cs"/>
            <w:noProof/>
            <w:rtl/>
          </w:rPr>
          <w:t>ی</w:t>
        </w:r>
        <w:r w:rsidR="000C629C" w:rsidRPr="00FF44B3">
          <w:rPr>
            <w:rStyle w:val="Hyperlink"/>
            <w:rFonts w:hint="eastAsia"/>
            <w:noProof/>
            <w:rtl/>
          </w:rPr>
          <w:t>م</w:t>
        </w:r>
        <w:r w:rsidR="000C629C" w:rsidRPr="00FF44B3">
          <w:rPr>
            <w:rStyle w:val="Hyperlink"/>
            <w:noProof/>
            <w:rtl/>
          </w:rPr>
          <w:t xml:space="preserve"> اول : تفس</w:t>
        </w:r>
        <w:r w:rsidR="000C629C" w:rsidRPr="00FF44B3">
          <w:rPr>
            <w:rStyle w:val="Hyperlink"/>
            <w:rFonts w:hint="cs"/>
            <w:noProof/>
            <w:rtl/>
          </w:rPr>
          <w:t>ی</w:t>
        </w:r>
        <w:r w:rsidR="000C629C" w:rsidRPr="00FF44B3">
          <w:rPr>
            <w:rStyle w:val="Hyperlink"/>
            <w:rFonts w:hint="eastAsia"/>
            <w:noProof/>
            <w:rtl/>
          </w:rPr>
          <w:t>ر</w:t>
        </w:r>
        <w:r w:rsidR="000C629C" w:rsidRPr="00FF44B3">
          <w:rPr>
            <w:rStyle w:val="Hyperlink"/>
            <w:rFonts w:hint="cs"/>
            <w:noProof/>
            <w:rtl/>
          </w:rPr>
          <w:t>ی</w:t>
        </w:r>
        <w:r w:rsidR="000C629C" w:rsidRPr="00FF44B3">
          <w:rPr>
            <w:rStyle w:val="Hyperlink"/>
            <w:noProof/>
            <w:rtl/>
          </w:rPr>
          <w:t xml:space="preserve"> و نف</w:t>
        </w:r>
        <w:r w:rsidR="000C629C" w:rsidRPr="00FF44B3">
          <w:rPr>
            <w:rStyle w:val="Hyperlink"/>
            <w:rFonts w:hint="cs"/>
            <w:noProof/>
            <w:rtl/>
          </w:rPr>
          <w:t>ی</w:t>
        </w:r>
        <w:r w:rsidR="000C629C" w:rsidRPr="00FF44B3">
          <w:rPr>
            <w:rStyle w:val="Hyperlink"/>
            <w:noProof/>
            <w:rtl/>
          </w:rPr>
          <w:t xml:space="preserve"> موضوع</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Toc527714124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3</w:t>
        </w:r>
        <w:r w:rsidR="000C629C">
          <w:rPr>
            <w:rStyle w:val="Hyperlink"/>
            <w:noProof/>
            <w:rtl/>
          </w:rPr>
          <w:fldChar w:fldCharType="end"/>
        </w:r>
      </w:hyperlink>
    </w:p>
    <w:p w:rsidR="000C629C" w:rsidRDefault="004B2047" w:rsidP="000C629C">
      <w:pPr>
        <w:pStyle w:val="TOC6"/>
        <w:tabs>
          <w:tab w:val="right" w:leader="dot" w:pos="10194"/>
        </w:tabs>
        <w:rPr>
          <w:rFonts w:asciiTheme="minorHAnsi" w:eastAsiaTheme="minorEastAsia" w:hAnsiTheme="minorHAnsi" w:cstheme="minorBidi"/>
          <w:bCs w:val="0"/>
          <w:noProof/>
          <w:color w:val="auto"/>
          <w:szCs w:val="22"/>
          <w:rtl/>
        </w:rPr>
      </w:pPr>
      <w:hyperlink w:anchor="_Toc527714125" w:history="1">
        <w:r w:rsidR="000C629C" w:rsidRPr="00FF44B3">
          <w:rPr>
            <w:rStyle w:val="Hyperlink"/>
            <w:noProof/>
            <w:rtl/>
          </w:rPr>
          <w:t>تقس</w:t>
        </w:r>
        <w:r w:rsidR="000C629C" w:rsidRPr="00FF44B3">
          <w:rPr>
            <w:rStyle w:val="Hyperlink"/>
            <w:rFonts w:hint="cs"/>
            <w:noProof/>
            <w:rtl/>
          </w:rPr>
          <w:t>ی</w:t>
        </w:r>
        <w:r w:rsidR="000C629C" w:rsidRPr="00FF44B3">
          <w:rPr>
            <w:rStyle w:val="Hyperlink"/>
            <w:rFonts w:hint="eastAsia"/>
            <w:noProof/>
            <w:rtl/>
          </w:rPr>
          <w:t>م</w:t>
        </w:r>
        <w:r w:rsidR="000C629C" w:rsidRPr="00FF44B3">
          <w:rPr>
            <w:rStyle w:val="Hyperlink"/>
            <w:noProof/>
            <w:rtl/>
          </w:rPr>
          <w:t xml:space="preserve"> دوم : تض</w:t>
        </w:r>
        <w:r w:rsidR="000C629C" w:rsidRPr="00FF44B3">
          <w:rPr>
            <w:rStyle w:val="Hyperlink"/>
            <w:rFonts w:hint="cs"/>
            <w:noProof/>
            <w:rtl/>
          </w:rPr>
          <w:t>یی</w:t>
        </w:r>
        <w:r w:rsidR="000C629C" w:rsidRPr="00FF44B3">
          <w:rPr>
            <w:rStyle w:val="Hyperlink"/>
            <w:rFonts w:hint="eastAsia"/>
            <w:noProof/>
            <w:rtl/>
          </w:rPr>
          <w:t>ق</w:t>
        </w:r>
        <w:r w:rsidR="000C629C" w:rsidRPr="00FF44B3">
          <w:rPr>
            <w:rStyle w:val="Hyperlink"/>
            <w:rFonts w:hint="cs"/>
            <w:noProof/>
            <w:rtl/>
          </w:rPr>
          <w:t>ی</w:t>
        </w:r>
        <w:r w:rsidR="000C629C" w:rsidRPr="00FF44B3">
          <w:rPr>
            <w:rStyle w:val="Hyperlink"/>
            <w:noProof/>
            <w:rtl/>
          </w:rPr>
          <w:t xml:space="preserve"> و توسعه ا</w:t>
        </w:r>
        <w:r w:rsidR="000C629C" w:rsidRPr="00FF44B3">
          <w:rPr>
            <w:rStyle w:val="Hyperlink"/>
            <w:rFonts w:hint="cs"/>
            <w:noProof/>
            <w:rtl/>
          </w:rPr>
          <w:t>ی</w:t>
        </w:r>
        <w:r w:rsidR="000C629C">
          <w:rPr>
            <w:noProof/>
            <w:webHidden/>
            <w:rtl/>
          </w:rPr>
          <w:tab/>
        </w:r>
        <w:r w:rsidR="000C629C">
          <w:rPr>
            <w:rStyle w:val="Hyperlink"/>
            <w:noProof/>
            <w:rtl/>
          </w:rPr>
          <w:fldChar w:fldCharType="begin"/>
        </w:r>
        <w:r w:rsidR="000C629C">
          <w:rPr>
            <w:noProof/>
            <w:webHidden/>
            <w:rtl/>
          </w:rPr>
          <w:instrText xml:space="preserve"> </w:instrText>
        </w:r>
        <w:r w:rsidR="000C629C">
          <w:rPr>
            <w:noProof/>
            <w:webHidden/>
          </w:rPr>
          <w:instrText>PAGEREF</w:instrText>
        </w:r>
        <w:r w:rsidR="000C629C">
          <w:rPr>
            <w:noProof/>
            <w:webHidden/>
            <w:rtl/>
          </w:rPr>
          <w:instrText xml:space="preserve"> _</w:instrText>
        </w:r>
        <w:r w:rsidR="000C629C">
          <w:rPr>
            <w:noProof/>
            <w:webHidden/>
          </w:rPr>
          <w:instrText>Toc527714125 \h</w:instrText>
        </w:r>
        <w:r w:rsidR="000C629C">
          <w:rPr>
            <w:noProof/>
            <w:webHidden/>
            <w:rtl/>
          </w:rPr>
          <w:instrText xml:space="preserve"> </w:instrText>
        </w:r>
        <w:r w:rsidR="000C629C">
          <w:rPr>
            <w:rStyle w:val="Hyperlink"/>
            <w:noProof/>
            <w:rtl/>
          </w:rPr>
        </w:r>
        <w:r w:rsidR="000C629C">
          <w:rPr>
            <w:rStyle w:val="Hyperlink"/>
            <w:noProof/>
            <w:rtl/>
          </w:rPr>
          <w:fldChar w:fldCharType="separate"/>
        </w:r>
        <w:r w:rsidR="000C629C">
          <w:rPr>
            <w:noProof/>
            <w:webHidden/>
            <w:rtl/>
          </w:rPr>
          <w:t>3</w:t>
        </w:r>
        <w:r w:rsidR="000C629C">
          <w:rPr>
            <w:rStyle w:val="Hyperlink"/>
            <w:noProof/>
            <w:rtl/>
          </w:rPr>
          <w:fldChar w:fldCharType="end"/>
        </w:r>
      </w:hyperlink>
    </w:p>
    <w:p w:rsidR="00F343FB" w:rsidRPr="00A6366F" w:rsidRDefault="000C629C" w:rsidP="000C629C">
      <w:r>
        <w:fldChar w:fldCharType="end"/>
      </w:r>
      <w:r w:rsidR="00F842AD" w:rsidRPr="009C66D5">
        <w:rPr>
          <w:rStyle w:val="Emphasis"/>
          <w:rFonts w:hint="cs"/>
          <w:b/>
          <w:bCs w:val="0"/>
          <w:rtl/>
        </w:rPr>
        <w:t>موضوع</w:t>
      </w:r>
      <w:r w:rsidR="00F842AD" w:rsidRPr="009C66D5">
        <w:rPr>
          <w:rStyle w:val="Emphasis"/>
          <w:rFonts w:hint="cs"/>
          <w:rtl/>
        </w:rPr>
        <w:t>:</w:t>
      </w:r>
      <w:r w:rsidR="00A6366F" w:rsidRPr="00A6366F">
        <w:rPr>
          <w:rFonts w:hint="cs"/>
          <w:rtl/>
        </w:rPr>
        <w:t xml:space="preserve"> </w:t>
      </w:r>
      <w:bookmarkStart w:id="0" w:name="BokSabj2_d"/>
      <w:bookmarkEnd w:id="0"/>
      <w:r w:rsidR="00DF49BB">
        <w:rPr>
          <w:rtl/>
        </w:rPr>
        <w:t>حکومت</w:t>
      </w:r>
      <w:r w:rsidR="00025B70">
        <w:rPr>
          <w:rFonts w:hint="cs"/>
          <w:rtl/>
        </w:rPr>
        <w:t xml:space="preserve"> </w:t>
      </w:r>
      <w:r w:rsidR="00386C11" w:rsidRPr="00A6366F">
        <w:rPr>
          <w:rFonts w:hint="cs"/>
          <w:rtl/>
        </w:rPr>
        <w:t>/</w:t>
      </w:r>
      <w:bookmarkStart w:id="1" w:name="BokSabj_d"/>
      <w:bookmarkEnd w:id="1"/>
      <w:r w:rsidR="00DF49BB">
        <w:rPr>
          <w:rtl/>
        </w:rPr>
        <w:t>تعارض غ</w:t>
      </w:r>
      <w:r w:rsidR="00DF49BB">
        <w:rPr>
          <w:rFonts w:hint="cs"/>
          <w:rtl/>
        </w:rPr>
        <w:t>ی</w:t>
      </w:r>
      <w:r w:rsidR="00DF49BB">
        <w:rPr>
          <w:rFonts w:hint="eastAsia"/>
          <w:rtl/>
        </w:rPr>
        <w:t>ر</w:t>
      </w:r>
      <w:r w:rsidR="00DF49BB">
        <w:rPr>
          <w:rtl/>
        </w:rPr>
        <w:t xml:space="preserve"> مستقر</w:t>
      </w:r>
      <w:r w:rsidR="00386C11" w:rsidRPr="00A6366F">
        <w:rPr>
          <w:rFonts w:hint="cs"/>
          <w:rtl/>
        </w:rPr>
        <w:t xml:space="preserve"> /</w:t>
      </w:r>
      <w:bookmarkStart w:id="2" w:name="Bokkolli"/>
      <w:bookmarkEnd w:id="2"/>
      <w:r w:rsidR="00DF49BB">
        <w:rPr>
          <w:rtl/>
        </w:rPr>
        <w:t>تعارض ادله</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EB3DD8" w:rsidP="00EB3DD8">
      <w:pPr>
        <w:pBdr>
          <w:bottom w:val="double" w:sz="6" w:space="1" w:color="auto"/>
        </w:pBdr>
        <w:jc w:val="both"/>
      </w:pPr>
      <w:r>
        <w:rPr>
          <w:rFonts w:hint="cs"/>
          <w:rtl/>
        </w:rPr>
        <w:t xml:space="preserve">   متحصّل آن چه گذشت چنین شد که ملاک در تحقّق حکومت « نظارت » است و بر همین اساس قسم دومی برای حکومت که در عبارات بعضی بزرگان یاد شده ، مصداق حکومت نیست . مناط تقدّم حاکمِ مفسّر هم بر این حکومت صادق نیست . بنابراین اگر تقدّمی هم در این قسم دوم ثابت شود ، با ملاک جمع یا توفیق عرفی و مانند آن هاست .</w:t>
      </w:r>
    </w:p>
    <w:p w:rsidR="000C629C" w:rsidRDefault="000C629C" w:rsidP="000C629C">
      <w:pPr>
        <w:pStyle w:val="Heading1"/>
        <w:rPr>
          <w:rtl/>
        </w:rPr>
      </w:pPr>
      <w:bookmarkStart w:id="3" w:name="_Toc527378201"/>
      <w:bookmarkStart w:id="4" w:name="_Toc527378497"/>
      <w:bookmarkStart w:id="5" w:name="_Toc527378911"/>
      <w:bookmarkStart w:id="6" w:name="_Toc527379333"/>
      <w:bookmarkStart w:id="7" w:name="_Toc527379762"/>
      <w:bookmarkStart w:id="8" w:name="_Toc527714115"/>
      <w:r>
        <w:rPr>
          <w:rFonts w:hint="cs"/>
          <w:rtl/>
        </w:rPr>
        <w:t>مرحوم خویی : تقدّم حاکم به مناط تفاوت ساحت</w:t>
      </w:r>
      <w:bookmarkEnd w:id="3"/>
      <w:bookmarkEnd w:id="4"/>
      <w:bookmarkEnd w:id="5"/>
      <w:bookmarkEnd w:id="6"/>
      <w:bookmarkEnd w:id="7"/>
      <w:bookmarkEnd w:id="8"/>
    </w:p>
    <w:p w:rsidR="000C629C" w:rsidRPr="00CA654A" w:rsidRDefault="000C629C" w:rsidP="000C629C">
      <w:pPr>
        <w:jc w:val="both"/>
        <w:rPr>
          <w:color w:val="000000"/>
          <w:rtl/>
        </w:rPr>
      </w:pPr>
      <w:r>
        <w:rPr>
          <w:rFonts w:hint="cs"/>
          <w:rtl/>
        </w:rPr>
        <w:t xml:space="preserve">   مرحوم خویی</w:t>
      </w:r>
      <w:r>
        <w:rPr>
          <w:rStyle w:val="FootnoteReference"/>
          <w:rtl/>
        </w:rPr>
        <w:footnoteReference w:id="1"/>
      </w:r>
      <w:r>
        <w:rPr>
          <w:rFonts w:hint="cs"/>
          <w:rtl/>
        </w:rPr>
        <w:t>مناط تقدّم حاکم را «عدم منافات» با محکوم دانسته اند زیرا که ساحات این دو متفاوتند . دلیل حاکم متعرّض</w:t>
      </w:r>
      <w:r>
        <w:rPr>
          <w:rFonts w:hint="cs"/>
          <w:color w:val="000000"/>
          <w:rtl/>
        </w:rPr>
        <w:t xml:space="preserve"> وضع یا رفع موضوع است و دلیل محکوم متکفّل بیان ثبوت حکم در تقدیر موضوع است و نسبت به تحقّق موضوع بیان ندارد. </w:t>
      </w:r>
    </w:p>
    <w:p w:rsidR="000C629C" w:rsidRDefault="000C629C" w:rsidP="000C629C">
      <w:pPr>
        <w:pStyle w:val="Heading1"/>
        <w:rPr>
          <w:rtl/>
        </w:rPr>
      </w:pPr>
      <w:bookmarkStart w:id="9" w:name="_Toc527378202"/>
      <w:bookmarkStart w:id="10" w:name="_Toc527378498"/>
      <w:bookmarkStart w:id="11" w:name="_Toc527378912"/>
      <w:bookmarkStart w:id="12" w:name="_Toc527379334"/>
      <w:bookmarkStart w:id="13" w:name="_Toc527379763"/>
      <w:bookmarkStart w:id="14" w:name="_Toc527714116"/>
      <w:r>
        <w:rPr>
          <w:rFonts w:hint="cs"/>
          <w:rtl/>
        </w:rPr>
        <w:t>مناقشه اول : ثبوت تنافی بعد از صدور حاکم</w:t>
      </w:r>
      <w:bookmarkEnd w:id="9"/>
      <w:bookmarkEnd w:id="10"/>
      <w:bookmarkEnd w:id="11"/>
      <w:bookmarkEnd w:id="12"/>
      <w:bookmarkEnd w:id="13"/>
      <w:bookmarkEnd w:id="14"/>
    </w:p>
    <w:p w:rsidR="000C629C" w:rsidRDefault="000C629C" w:rsidP="000C629C">
      <w:pPr>
        <w:jc w:val="both"/>
        <w:rPr>
          <w:rtl/>
        </w:rPr>
      </w:pPr>
      <w:r>
        <w:rPr>
          <w:rFonts w:hint="cs"/>
          <w:rtl/>
        </w:rPr>
        <w:t xml:space="preserve">   اما این مطلب به دو جهت مورد بحث است . اول آن که دلیل محکوم مستدعی ثبوت حکم برای عنوان است و به اقتضاء اطلاق خود ، حکم را برای مصادیق خارج شده توسّط دلیل حاکم هم ثابت می کند ؛ در حالی که دلیل حاکم مستلزم نفی این حکم برای مصداق مطرح شده است بنابراین تنافی میان این دو وجود دارد </w:t>
      </w:r>
      <w:r>
        <w:rPr>
          <w:rStyle w:val="FootnoteReference"/>
          <w:rtl/>
        </w:rPr>
        <w:footnoteReference w:id="2"/>
      </w:r>
      <w:r>
        <w:rPr>
          <w:rFonts w:hint="cs"/>
          <w:rtl/>
        </w:rPr>
        <w:t xml:space="preserve">هر چند که محکّم نباشد . </w:t>
      </w:r>
      <w:r>
        <w:rPr>
          <w:rStyle w:val="FootnoteReference"/>
          <w:rtl/>
        </w:rPr>
        <w:footnoteReference w:id="3"/>
      </w:r>
    </w:p>
    <w:p w:rsidR="000C629C" w:rsidRDefault="000C629C" w:rsidP="000C629C">
      <w:pPr>
        <w:pStyle w:val="Heading6"/>
        <w:rPr>
          <w:rtl/>
        </w:rPr>
      </w:pPr>
      <w:bookmarkStart w:id="15" w:name="_Toc527378203"/>
      <w:bookmarkStart w:id="16" w:name="_Toc527378499"/>
      <w:bookmarkStart w:id="17" w:name="_Toc527378913"/>
      <w:bookmarkStart w:id="18" w:name="_Toc527379335"/>
      <w:bookmarkStart w:id="19" w:name="_Toc527379764"/>
      <w:bookmarkStart w:id="20" w:name="_Toc527714117"/>
      <w:r>
        <w:rPr>
          <w:rFonts w:hint="cs"/>
          <w:rtl/>
        </w:rPr>
        <w:lastRenderedPageBreak/>
        <w:t>منشا اول اشتباه : خلط میان حکومت و ورود</w:t>
      </w:r>
      <w:bookmarkEnd w:id="15"/>
      <w:bookmarkEnd w:id="16"/>
      <w:bookmarkEnd w:id="17"/>
      <w:bookmarkEnd w:id="18"/>
      <w:bookmarkEnd w:id="19"/>
      <w:bookmarkEnd w:id="20"/>
    </w:p>
    <w:p w:rsidR="000C629C" w:rsidRDefault="000C629C" w:rsidP="000C629C">
      <w:pPr>
        <w:jc w:val="both"/>
        <w:rPr>
          <w:rtl/>
        </w:rPr>
      </w:pPr>
      <w:r>
        <w:rPr>
          <w:rFonts w:hint="cs"/>
          <w:rtl/>
        </w:rPr>
        <w:t xml:space="preserve">   به نظر ایشان مبتلای به خلط میان حکومت و ورود شده اند ؛ اگر حاکم</w:t>
      </w:r>
      <w:r w:rsidR="005C7F2F">
        <w:rPr>
          <w:rFonts w:hint="cs"/>
          <w:rtl/>
        </w:rPr>
        <w:t xml:space="preserve"> حقیقتا رفع مصداقیت کند ، </w:t>
      </w:r>
      <w:r>
        <w:rPr>
          <w:rFonts w:hint="cs"/>
          <w:rtl/>
        </w:rPr>
        <w:t xml:space="preserve">به دلیل تفاوت ساحات </w:t>
      </w:r>
      <w:r w:rsidR="005C7F2F">
        <w:rPr>
          <w:rFonts w:hint="cs"/>
          <w:rtl/>
        </w:rPr>
        <w:t xml:space="preserve">تنافی میان دو دلیل </w:t>
      </w:r>
      <w:r>
        <w:rPr>
          <w:rFonts w:hint="cs"/>
          <w:rtl/>
        </w:rPr>
        <w:t>حاصل نمی شود اما این امر دیگر حکومت نیست ! در مو</w:t>
      </w:r>
      <w:r w:rsidR="000645AC">
        <w:rPr>
          <w:rFonts w:hint="cs"/>
          <w:rtl/>
        </w:rPr>
        <w:t>ارد حکومت ورود یا خ</w:t>
      </w:r>
      <w:r>
        <w:rPr>
          <w:rFonts w:hint="cs"/>
          <w:rtl/>
        </w:rPr>
        <w:t>ر</w:t>
      </w:r>
      <w:r w:rsidR="000645AC">
        <w:rPr>
          <w:rFonts w:hint="cs"/>
          <w:rtl/>
        </w:rPr>
        <w:t>و</w:t>
      </w:r>
      <w:r>
        <w:rPr>
          <w:rFonts w:hint="cs"/>
          <w:rtl/>
        </w:rPr>
        <w:t>ج حقیقی در گستره مصادیق محکوم رخ نمی دهد پس چگونه می توان ادعاء کرد ساحت حاکم مجزّی از ساحت محکوم است ؟</w:t>
      </w:r>
    </w:p>
    <w:p w:rsidR="000C629C" w:rsidRDefault="000C629C" w:rsidP="000C629C">
      <w:pPr>
        <w:pStyle w:val="Heading6"/>
        <w:rPr>
          <w:rtl/>
        </w:rPr>
      </w:pPr>
      <w:bookmarkStart w:id="21" w:name="_Toc527378204"/>
      <w:bookmarkStart w:id="22" w:name="_Toc527378500"/>
      <w:bookmarkStart w:id="23" w:name="_Toc527378914"/>
      <w:bookmarkStart w:id="24" w:name="_Toc527379336"/>
      <w:bookmarkStart w:id="25" w:name="_Toc527379765"/>
      <w:bookmarkStart w:id="26" w:name="_Toc527714118"/>
      <w:r>
        <w:rPr>
          <w:rFonts w:hint="cs"/>
          <w:rtl/>
        </w:rPr>
        <w:t>منشا دوم اشتباه : خلط میان رسالات ادله</w:t>
      </w:r>
      <w:bookmarkEnd w:id="21"/>
      <w:bookmarkEnd w:id="22"/>
      <w:bookmarkEnd w:id="23"/>
      <w:bookmarkEnd w:id="24"/>
      <w:bookmarkEnd w:id="25"/>
      <w:bookmarkEnd w:id="26"/>
    </w:p>
    <w:p w:rsidR="000C629C" w:rsidRDefault="000C629C" w:rsidP="000C629C">
      <w:pPr>
        <w:jc w:val="both"/>
        <w:rPr>
          <w:rtl/>
        </w:rPr>
      </w:pPr>
      <w:r>
        <w:rPr>
          <w:rFonts w:hint="cs"/>
          <w:rtl/>
        </w:rPr>
        <w:t xml:space="preserve">   خلط دومی هم در کلام ایشان رخ داده میان اینکه هیچ دلیلی بیان کننده ثبوت موضوع خودش نیست ، و میان این که هر دلیلی سعه موضوع خودش را مشخّص می کند . این قانون کلی که رسالت هیچ دلیلی بیان ثبوت یا عدم موضوع خودش است ، صحیح است اما تطبیق آن موجب تفکیک ساحت حاکم و محکوم نمی شود . دلیل محکوم مانند هر دلیل دیگری محدّد موضوع خود است یعنی سعه مفهومی و به تبع مصداقی آن را مشخّص می کند ، و در همین ناحیه است که تنافی با دلیل حاکم پیدا می کند . حاکم تصرّف در مفاهیم موضوعات نمی کند و مفاهیم منزّل بر متفاهم عرفی از آن ها هستند ؛ شارع تنها در دایره تقنین تصرّفی کرده است و به دنبال تاثیر در وضع لغوی نبوده است . نهایت کارکرد حکومت جعل قانون است ، حال لسان جعل قانون گاهی به نحو مستقیم و مباشر است و گاهی به الفاظ کنایی مانند « الإماره علم » .</w:t>
      </w:r>
    </w:p>
    <w:p w:rsidR="000C629C" w:rsidRDefault="000C629C" w:rsidP="000C629C">
      <w:pPr>
        <w:pStyle w:val="Heading1"/>
        <w:rPr>
          <w:rtl/>
        </w:rPr>
      </w:pPr>
      <w:bookmarkStart w:id="27" w:name="_Toc527378205"/>
      <w:bookmarkStart w:id="28" w:name="_Toc527378501"/>
      <w:bookmarkStart w:id="29" w:name="_Toc527378915"/>
      <w:bookmarkStart w:id="30" w:name="_Toc527379337"/>
      <w:bookmarkStart w:id="31" w:name="_Toc527379766"/>
      <w:bookmarkStart w:id="32" w:name="_Toc527714119"/>
      <w:r>
        <w:rPr>
          <w:rFonts w:hint="cs"/>
          <w:rtl/>
        </w:rPr>
        <w:t>مناقشه دوم : اختصاص راه حلّ به حکومت در عقد الوضع</w:t>
      </w:r>
      <w:bookmarkEnd w:id="27"/>
      <w:bookmarkEnd w:id="28"/>
      <w:bookmarkEnd w:id="29"/>
      <w:bookmarkEnd w:id="30"/>
      <w:bookmarkEnd w:id="31"/>
      <w:bookmarkEnd w:id="32"/>
    </w:p>
    <w:p w:rsidR="000C629C" w:rsidRDefault="000C629C" w:rsidP="000C629C">
      <w:pPr>
        <w:jc w:val="both"/>
        <w:rPr>
          <w:rtl/>
        </w:rPr>
      </w:pPr>
      <w:r>
        <w:rPr>
          <w:rFonts w:hint="cs"/>
          <w:rtl/>
        </w:rPr>
        <w:t xml:space="preserve">   اشکال دوم را مرحوم صدر فرموده اند</w:t>
      </w:r>
      <w:r>
        <w:rPr>
          <w:rStyle w:val="FootnoteReference"/>
          <w:rtl/>
        </w:rPr>
        <w:footnoteReference w:id="4"/>
      </w:r>
      <w:r>
        <w:rPr>
          <w:rFonts w:hint="cs"/>
          <w:rtl/>
        </w:rPr>
        <w:t>؛ ایشان گفته اند راه حلّ ارائه شده در صورت تمامیت هم اختصاص به صورتی دارد که حکومت در ناحیه عقد الوضع باشد ؛ اما اگر حکومت در ناحیه عقد الحمل باشد دیگر نمی توان گفت ساحت تعرّض حاکم غیر از ساحت تعارض محکوم است. پس مرحوم خویی!بیان شما اگر هم تمام باشد أخصّ از مدعی است و نسبت به اثبات همه آن قاصر است .</w:t>
      </w:r>
    </w:p>
    <w:p w:rsidR="000C629C" w:rsidRDefault="000C629C" w:rsidP="000C629C">
      <w:pPr>
        <w:pStyle w:val="Heading1"/>
        <w:rPr>
          <w:rtl/>
        </w:rPr>
      </w:pPr>
      <w:bookmarkStart w:id="33" w:name="_Toc527378206"/>
      <w:bookmarkStart w:id="34" w:name="_Toc527378502"/>
      <w:bookmarkStart w:id="35" w:name="_Toc527378916"/>
      <w:bookmarkStart w:id="36" w:name="_Toc527379338"/>
      <w:bookmarkStart w:id="37" w:name="_Toc527379767"/>
      <w:bookmarkStart w:id="38" w:name="_Toc527714120"/>
      <w:r>
        <w:rPr>
          <w:rFonts w:hint="cs"/>
          <w:rtl/>
        </w:rPr>
        <w:t>پاسخ : محدود بودن ادعای مرحوم خویی</w:t>
      </w:r>
      <w:bookmarkEnd w:id="33"/>
      <w:bookmarkEnd w:id="34"/>
      <w:bookmarkEnd w:id="35"/>
      <w:bookmarkEnd w:id="36"/>
      <w:bookmarkEnd w:id="37"/>
      <w:bookmarkEnd w:id="38"/>
    </w:p>
    <w:p w:rsidR="000C629C" w:rsidRDefault="000C629C" w:rsidP="000C629C">
      <w:pPr>
        <w:jc w:val="both"/>
        <w:rPr>
          <w:rtl/>
        </w:rPr>
      </w:pPr>
      <w:r>
        <w:rPr>
          <w:rFonts w:hint="cs"/>
          <w:rtl/>
        </w:rPr>
        <w:t xml:space="preserve">   به نظر این مناقشه قابل ردّ است ؛ زیرا مرحوم خویی حکومت را بر دو قسم کرده اند و در قسم اول ، که موارد حکومت در عقد الحمل را داخل در همین قسم دانسته اند ، شارحیت و تفسیر را پذیرفته اند و تنها در قسم دوم راه حل عدم تنافی ساحات </w:t>
      </w:r>
      <w:r>
        <w:rPr>
          <w:rFonts w:hint="cs"/>
          <w:rtl/>
        </w:rPr>
        <w:lastRenderedPageBreak/>
        <w:t>را مطرح کرده اند . پس ایشان اصلا نسبت به موارد حکومت در عقد الحمل ادعای عدم تنافی را طرح</w:t>
      </w:r>
      <w:r w:rsidR="00784A31">
        <w:rPr>
          <w:rFonts w:hint="cs"/>
          <w:rtl/>
        </w:rPr>
        <w:t xml:space="preserve"> نکرده اند تا این ادعا محلّ اشکال</w:t>
      </w:r>
      <w:bookmarkStart w:id="39" w:name="_GoBack"/>
      <w:bookmarkEnd w:id="39"/>
      <w:r>
        <w:rPr>
          <w:rFonts w:hint="cs"/>
          <w:rtl/>
        </w:rPr>
        <w:t xml:space="preserve"> قرار گیرد .</w:t>
      </w:r>
      <w:r>
        <w:rPr>
          <w:rStyle w:val="FootnoteReference"/>
          <w:rtl/>
        </w:rPr>
        <w:footnoteReference w:id="5"/>
      </w:r>
    </w:p>
    <w:p w:rsidR="000C629C" w:rsidRDefault="000C629C" w:rsidP="000C629C">
      <w:pPr>
        <w:pStyle w:val="Heading1"/>
        <w:rPr>
          <w:rtl/>
        </w:rPr>
      </w:pPr>
      <w:bookmarkStart w:id="40" w:name="_Toc527378503"/>
      <w:bookmarkStart w:id="41" w:name="_Toc527378917"/>
      <w:bookmarkStart w:id="42" w:name="_Toc527379339"/>
      <w:bookmarkStart w:id="43" w:name="_Toc527379768"/>
      <w:bookmarkStart w:id="44" w:name="_Toc527714121"/>
      <w:r>
        <w:rPr>
          <w:rFonts w:hint="cs"/>
          <w:rtl/>
        </w:rPr>
        <w:t>تقدیم حاکم به ملاک مسالمت</w:t>
      </w:r>
      <w:bookmarkEnd w:id="40"/>
      <w:bookmarkEnd w:id="41"/>
      <w:bookmarkEnd w:id="42"/>
      <w:bookmarkEnd w:id="43"/>
      <w:bookmarkEnd w:id="44"/>
    </w:p>
    <w:p w:rsidR="000C629C" w:rsidRDefault="000C629C" w:rsidP="000C629C">
      <w:pPr>
        <w:rPr>
          <w:rtl/>
        </w:rPr>
      </w:pPr>
      <w:r>
        <w:rPr>
          <w:rFonts w:hint="cs"/>
          <w:rtl/>
        </w:rPr>
        <w:t xml:space="preserve">برخی معاصران فرموده اند تقدیم حاکم ، برآمده از لسان مسالِم دلیل آن است نه نظارت . </w:t>
      </w:r>
      <w:r>
        <w:rPr>
          <w:rStyle w:val="FootnoteReference"/>
          <w:rtl/>
        </w:rPr>
        <w:footnoteReference w:id="6"/>
      </w:r>
    </w:p>
    <w:p w:rsidR="000C629C" w:rsidRDefault="000C629C" w:rsidP="000C629C">
      <w:pPr>
        <w:pStyle w:val="Heading1"/>
        <w:rPr>
          <w:rtl/>
        </w:rPr>
      </w:pPr>
      <w:bookmarkStart w:id="45" w:name="_Toc527378918"/>
      <w:bookmarkStart w:id="46" w:name="_Toc527379340"/>
      <w:bookmarkStart w:id="47" w:name="_Toc527379769"/>
      <w:bookmarkStart w:id="48" w:name="_Toc527714122"/>
      <w:r>
        <w:rPr>
          <w:rFonts w:hint="cs"/>
          <w:rtl/>
        </w:rPr>
        <w:t>تقدیم حاکم به ملاک نظارت</w:t>
      </w:r>
      <w:bookmarkEnd w:id="45"/>
      <w:bookmarkEnd w:id="46"/>
      <w:bookmarkEnd w:id="47"/>
      <w:bookmarkEnd w:id="48"/>
    </w:p>
    <w:p w:rsidR="000C629C" w:rsidRDefault="000C629C" w:rsidP="000C629C">
      <w:pPr>
        <w:jc w:val="both"/>
        <w:rPr>
          <w:rtl/>
        </w:rPr>
      </w:pPr>
      <w:r>
        <w:rPr>
          <w:rFonts w:hint="cs"/>
          <w:rtl/>
        </w:rPr>
        <w:t xml:space="preserve">   عرض ما این است که اگر لسان مشیر به نظارت باشد ، حکومت شکل می گیرد به ملاک همین نظارت نه لسان ؛ مانند حکومت توسعه ای. اما اگر نظارت محقّق نشد ، مانند ادله جعل علمیت در امارات که اگر تا ابد دلیلی برای اعتبار اصول صادر نشود لغویتی از آن ها حاصل نمی شود ، حکومتی هم در میان نیست . پس تمام ملاک در تقدیم حاکم نظارت لفظی است که گاهی از لسان فهمیده می شود . این نکته را هم یادآوری می کنیم که سبق محکوم نسبت به حاکم لازم نیست </w:t>
      </w:r>
      <w:r>
        <w:rPr>
          <w:rStyle w:val="FootnoteReference"/>
          <w:rtl/>
        </w:rPr>
        <w:footnoteReference w:id="7"/>
      </w:r>
      <w:r>
        <w:rPr>
          <w:rFonts w:hint="cs"/>
          <w:rtl/>
        </w:rPr>
        <w:t>، بلکه تنها اصل ثبوت لوحی دلیل محکوم لازم است .</w:t>
      </w:r>
      <w:r>
        <w:rPr>
          <w:rStyle w:val="FootnoteReference"/>
          <w:rtl/>
        </w:rPr>
        <w:footnoteReference w:id="8"/>
      </w:r>
    </w:p>
    <w:p w:rsidR="000C629C" w:rsidRDefault="000C629C" w:rsidP="000C629C">
      <w:pPr>
        <w:pStyle w:val="Heading1"/>
        <w:rPr>
          <w:rtl/>
        </w:rPr>
      </w:pPr>
      <w:bookmarkStart w:id="49" w:name="_Toc527379341"/>
      <w:bookmarkStart w:id="50" w:name="_Toc527379770"/>
      <w:bookmarkStart w:id="51" w:name="_Toc527714123"/>
      <w:r>
        <w:rPr>
          <w:rFonts w:hint="cs"/>
          <w:rtl/>
        </w:rPr>
        <w:t>تقسیمات حکومت</w:t>
      </w:r>
      <w:bookmarkEnd w:id="49"/>
      <w:bookmarkEnd w:id="50"/>
      <w:bookmarkEnd w:id="51"/>
    </w:p>
    <w:p w:rsidR="000C629C" w:rsidRDefault="000C629C" w:rsidP="000C629C">
      <w:pPr>
        <w:rPr>
          <w:rtl/>
        </w:rPr>
      </w:pPr>
      <w:r>
        <w:rPr>
          <w:rFonts w:hint="cs"/>
          <w:rtl/>
        </w:rPr>
        <w:t>حکومت به جهات مختلف تقسیماتی هم دارد که باید طرح شوند و آن ها را بررسی کنیم .</w:t>
      </w:r>
    </w:p>
    <w:p w:rsidR="000C629C" w:rsidRDefault="000C629C" w:rsidP="000C629C">
      <w:pPr>
        <w:pStyle w:val="Heading6"/>
        <w:rPr>
          <w:rtl/>
        </w:rPr>
      </w:pPr>
      <w:bookmarkStart w:id="52" w:name="_Toc527379342"/>
      <w:bookmarkStart w:id="53" w:name="_Toc527379771"/>
      <w:bookmarkStart w:id="54" w:name="_Toc527714124"/>
      <w:r>
        <w:rPr>
          <w:rFonts w:hint="cs"/>
          <w:rtl/>
        </w:rPr>
        <w:t>تقسیم اول : تفسیری و نفی موضوع</w:t>
      </w:r>
      <w:bookmarkEnd w:id="52"/>
      <w:bookmarkEnd w:id="53"/>
      <w:bookmarkEnd w:id="54"/>
    </w:p>
    <w:p w:rsidR="000C629C" w:rsidRDefault="000C629C" w:rsidP="000C629C">
      <w:pPr>
        <w:rPr>
          <w:rtl/>
        </w:rPr>
      </w:pPr>
      <w:r>
        <w:rPr>
          <w:rFonts w:hint="cs"/>
          <w:rtl/>
        </w:rPr>
        <w:t xml:space="preserve">   تقسیم اول حکومت آن است که مانند مرحوم خویی فرمودند وحکومت رابر دو نوع شارح و رافع موضوع دانستند ، که ما فرد دوم را قبول نکردیم و از همین رو چنین تقسیمی را مردود می دانیم .</w:t>
      </w:r>
    </w:p>
    <w:p w:rsidR="000C629C" w:rsidRDefault="000C629C" w:rsidP="000C629C">
      <w:pPr>
        <w:pStyle w:val="Heading6"/>
        <w:rPr>
          <w:rtl/>
        </w:rPr>
      </w:pPr>
      <w:bookmarkStart w:id="55" w:name="_Toc527379343"/>
      <w:bookmarkStart w:id="56" w:name="_Toc527379772"/>
      <w:bookmarkStart w:id="57" w:name="_Toc527714125"/>
      <w:r>
        <w:rPr>
          <w:rFonts w:hint="cs"/>
          <w:rtl/>
        </w:rPr>
        <w:t>تقسیم دوم : تضییقی و توسعه ای</w:t>
      </w:r>
      <w:bookmarkEnd w:id="55"/>
      <w:bookmarkEnd w:id="56"/>
      <w:bookmarkEnd w:id="57"/>
      <w:r>
        <w:rPr>
          <w:rFonts w:hint="cs"/>
          <w:rtl/>
        </w:rPr>
        <w:t xml:space="preserve"> </w:t>
      </w:r>
    </w:p>
    <w:p w:rsidR="000C629C" w:rsidRPr="001A27D7" w:rsidRDefault="000C629C" w:rsidP="000C629C">
      <w:pPr>
        <w:rPr>
          <w:rtl/>
        </w:rPr>
      </w:pPr>
      <w:r>
        <w:rPr>
          <w:rFonts w:hint="cs"/>
          <w:rtl/>
        </w:rPr>
        <w:t>تقسیم دوم آن است که حکومت یا تضییقی است : « لا ربا بین الوالد و الولد » و یا توسعه ای : « الطواف بالبیت صلاۀ »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047" w:rsidRDefault="004B2047" w:rsidP="008B750B">
      <w:pPr>
        <w:spacing w:line="240" w:lineRule="auto"/>
      </w:pPr>
      <w:r>
        <w:separator/>
      </w:r>
    </w:p>
  </w:endnote>
  <w:endnote w:type="continuationSeparator" w:id="0">
    <w:p w:rsidR="004B2047" w:rsidRDefault="004B204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84A31" w:rsidRPr="00784A3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F49BB" w:rsidP="001B6799">
          <w:pPr>
            <w:pStyle w:val="Footer"/>
            <w:bidi w:val="0"/>
            <w:rPr>
              <w:color w:val="808080" w:themeColor="background1" w:themeShade="80"/>
              <w:rtl/>
            </w:rPr>
          </w:pPr>
          <w:bookmarkStart w:id="65" w:name="BokAdres"/>
          <w:bookmarkEnd w:id="65"/>
          <w:r>
            <w:rPr>
              <w:color w:val="808080" w:themeColor="background1" w:themeShade="80"/>
            </w:rPr>
            <w:t>U1mq1_13970723-015_ab1_mfeb.ir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047" w:rsidRDefault="004B2047" w:rsidP="008B750B">
      <w:pPr>
        <w:spacing w:line="240" w:lineRule="auto"/>
      </w:pPr>
      <w:r>
        <w:separator/>
      </w:r>
    </w:p>
  </w:footnote>
  <w:footnote w:type="continuationSeparator" w:id="0">
    <w:p w:rsidR="004B2047" w:rsidRDefault="004B2047" w:rsidP="008B750B">
      <w:pPr>
        <w:spacing w:line="240" w:lineRule="auto"/>
      </w:pPr>
      <w:r>
        <w:continuationSeparator/>
      </w:r>
    </w:p>
  </w:footnote>
  <w:footnote w:id="1">
    <w:p w:rsidR="000C629C" w:rsidRPr="00A415AF" w:rsidRDefault="000C629C" w:rsidP="000C629C">
      <w:pPr>
        <w:pStyle w:val="FootnoteText"/>
      </w:pPr>
      <w:r w:rsidRPr="00A415AF">
        <w:footnoteRef/>
      </w:r>
      <w:r w:rsidRPr="00A415AF">
        <w:rPr>
          <w:rFonts w:hint="cs"/>
          <w:rtl/>
        </w:rPr>
        <w:t>.</w:t>
      </w:r>
      <w:r w:rsidRPr="00A415AF">
        <w:rPr>
          <w:rtl/>
        </w:rPr>
        <w:t xml:space="preserve"> </w:t>
      </w:r>
      <w:hyperlink r:id="rId1" w:history="1">
        <w:r w:rsidRPr="00A415AF">
          <w:rPr>
            <w:rStyle w:val="Hyperlink"/>
            <w:rtl/>
          </w:rPr>
          <w:t>مصباح الاصول، الس</w:t>
        </w:r>
        <w:r w:rsidRPr="00A415AF">
          <w:rPr>
            <w:rStyle w:val="Hyperlink"/>
            <w:rFonts w:hint="cs"/>
            <w:rtl/>
          </w:rPr>
          <w:t>ی</w:t>
        </w:r>
        <w:r w:rsidRPr="00A415AF">
          <w:rPr>
            <w:rStyle w:val="Hyperlink"/>
            <w:rFonts w:hint="eastAsia"/>
            <w:rtl/>
          </w:rPr>
          <w:t>د</w:t>
        </w:r>
        <w:r w:rsidRPr="00A415AF">
          <w:rPr>
            <w:rStyle w:val="Hyperlink"/>
            <w:rtl/>
          </w:rPr>
          <w:t xml:space="preserve"> أبوالقاسم الخوئ</w:t>
        </w:r>
        <w:r w:rsidRPr="00A415AF">
          <w:rPr>
            <w:rStyle w:val="Hyperlink"/>
            <w:rFonts w:hint="cs"/>
            <w:rtl/>
          </w:rPr>
          <w:t>ی</w:t>
        </w:r>
        <w:r w:rsidRPr="00A415AF">
          <w:rPr>
            <w:rStyle w:val="Hyperlink"/>
            <w:rFonts w:hint="eastAsia"/>
            <w:rtl/>
          </w:rPr>
          <w:t>،</w:t>
        </w:r>
        <w:r w:rsidRPr="00A415AF">
          <w:rPr>
            <w:rStyle w:val="Hyperlink"/>
            <w:rtl/>
          </w:rPr>
          <w:t xml:space="preserve"> ج3، ص349</w:t>
        </w:r>
        <w:r w:rsidRPr="00A415AF">
          <w:rPr>
            <w:rStyle w:val="Hyperlink"/>
          </w:rPr>
          <w:t>.</w:t>
        </w:r>
      </w:hyperlink>
    </w:p>
  </w:footnote>
  <w:footnote w:id="2">
    <w:p w:rsidR="000C629C" w:rsidRPr="00A415AF" w:rsidRDefault="000C629C" w:rsidP="000C629C">
      <w:pPr>
        <w:pStyle w:val="FootnoteText"/>
      </w:pPr>
      <w:r w:rsidRPr="00A415AF">
        <w:rPr>
          <w:rStyle w:val="FootnoteReference"/>
          <w:vertAlign w:val="baseline"/>
        </w:rPr>
        <w:footnoteRef/>
      </w:r>
      <w:r w:rsidRPr="00A415AF">
        <w:rPr>
          <w:rFonts w:hint="cs"/>
          <w:rtl/>
        </w:rPr>
        <w:t>. زیرا دو حکم متضادّ برای یک موضوع ثابت شده است .</w:t>
      </w:r>
    </w:p>
  </w:footnote>
  <w:footnote w:id="3">
    <w:p w:rsidR="000C629C" w:rsidRPr="00A415AF" w:rsidRDefault="000C629C" w:rsidP="000C629C">
      <w:pPr>
        <w:pStyle w:val="FootnoteText"/>
        <w:jc w:val="both"/>
      </w:pPr>
      <w:r w:rsidRPr="00A415AF">
        <w:rPr>
          <w:rStyle w:val="FootnoteReference"/>
          <w:vertAlign w:val="baseline"/>
        </w:rPr>
        <w:footnoteRef/>
      </w:r>
      <w:r w:rsidRPr="00A415AF">
        <w:rPr>
          <w:rFonts w:hint="cs"/>
          <w:rtl/>
        </w:rPr>
        <w:t>. حاکم رافع تنافی بدوی است نه دافع آن ، یعنی حکومت باعث نمی شود تنافی حاصل نشود بلکه تنافی بدوی را به ملاک « نظارت » بر طرف می کند .</w:t>
      </w:r>
    </w:p>
  </w:footnote>
  <w:footnote w:id="4">
    <w:p w:rsidR="000C629C" w:rsidRPr="00A415AF" w:rsidRDefault="000C629C" w:rsidP="000C629C">
      <w:pPr>
        <w:pStyle w:val="FootnoteText"/>
        <w:rPr>
          <w:rtl/>
        </w:rPr>
      </w:pPr>
      <w:r w:rsidRPr="00A415AF">
        <w:t>.</w:t>
      </w:r>
      <w:r w:rsidRPr="00A415AF">
        <w:footnoteRef/>
      </w:r>
      <w:r w:rsidRPr="00A415AF">
        <w:rPr>
          <w:rtl/>
        </w:rPr>
        <w:t xml:space="preserve"> </w:t>
      </w:r>
      <w:hyperlink r:id="rId2" w:history="1">
        <w:r w:rsidRPr="00A415AF">
          <w:rPr>
            <w:rStyle w:val="Hyperlink"/>
            <w:rtl/>
          </w:rPr>
          <w:t>بحوث ف</w:t>
        </w:r>
        <w:r w:rsidRPr="00A415AF">
          <w:rPr>
            <w:rStyle w:val="Hyperlink"/>
            <w:rFonts w:hint="cs"/>
            <w:rtl/>
          </w:rPr>
          <w:t>ی</w:t>
        </w:r>
        <w:r w:rsidRPr="00A415AF">
          <w:rPr>
            <w:rStyle w:val="Hyperlink"/>
            <w:rtl/>
          </w:rPr>
          <w:t xml:space="preserve"> علم الأصول، الس</w:t>
        </w:r>
        <w:r w:rsidRPr="00A415AF">
          <w:rPr>
            <w:rStyle w:val="Hyperlink"/>
            <w:rFonts w:hint="cs"/>
            <w:rtl/>
          </w:rPr>
          <w:t>ی</w:t>
        </w:r>
        <w:r w:rsidRPr="00A415AF">
          <w:rPr>
            <w:rStyle w:val="Hyperlink"/>
            <w:rFonts w:hint="eastAsia"/>
            <w:rtl/>
          </w:rPr>
          <w:t>د</w:t>
        </w:r>
        <w:r w:rsidRPr="00A415AF">
          <w:rPr>
            <w:rStyle w:val="Hyperlink"/>
            <w:rtl/>
          </w:rPr>
          <w:t xml:space="preserve"> محمد باقر الصدر، ج7، ص167.</w:t>
        </w:r>
      </w:hyperlink>
    </w:p>
  </w:footnote>
  <w:footnote w:id="5">
    <w:p w:rsidR="000C629C" w:rsidRPr="00A415AF" w:rsidRDefault="000C629C" w:rsidP="000C629C">
      <w:pPr>
        <w:pStyle w:val="FootnoteText"/>
      </w:pPr>
      <w:r w:rsidRPr="00A415AF">
        <w:footnoteRef/>
      </w:r>
      <w:r w:rsidRPr="00A415AF">
        <w:rPr>
          <w:rFonts w:hint="cs"/>
          <w:rtl/>
        </w:rPr>
        <w:t>.</w:t>
      </w:r>
      <w:r w:rsidRPr="00A415AF">
        <w:rPr>
          <w:rtl/>
        </w:rPr>
        <w:t xml:space="preserve"> </w:t>
      </w:r>
      <w:hyperlink r:id="rId3" w:history="1">
        <w:r w:rsidRPr="00A415AF">
          <w:rPr>
            <w:rStyle w:val="Hyperlink"/>
            <w:rtl/>
          </w:rPr>
          <w:t>مصباح الاصول، الس</w:t>
        </w:r>
        <w:r w:rsidRPr="00A415AF">
          <w:rPr>
            <w:rStyle w:val="Hyperlink"/>
            <w:rFonts w:hint="cs"/>
            <w:rtl/>
          </w:rPr>
          <w:t>ی</w:t>
        </w:r>
        <w:r w:rsidRPr="00A415AF">
          <w:rPr>
            <w:rStyle w:val="Hyperlink"/>
            <w:rFonts w:hint="eastAsia"/>
            <w:rtl/>
          </w:rPr>
          <w:t>د</w:t>
        </w:r>
        <w:r w:rsidRPr="00A415AF">
          <w:rPr>
            <w:rStyle w:val="Hyperlink"/>
            <w:rtl/>
          </w:rPr>
          <w:t xml:space="preserve"> أبوالقاسم الخوئ</w:t>
        </w:r>
        <w:r w:rsidRPr="00A415AF">
          <w:rPr>
            <w:rStyle w:val="Hyperlink"/>
            <w:rFonts w:hint="cs"/>
            <w:rtl/>
          </w:rPr>
          <w:t>ی</w:t>
        </w:r>
        <w:r w:rsidRPr="00A415AF">
          <w:rPr>
            <w:rStyle w:val="Hyperlink"/>
            <w:rFonts w:hint="eastAsia"/>
            <w:rtl/>
          </w:rPr>
          <w:t>،</w:t>
        </w:r>
        <w:r w:rsidRPr="00A415AF">
          <w:rPr>
            <w:rStyle w:val="Hyperlink"/>
            <w:rtl/>
          </w:rPr>
          <w:t xml:space="preserve"> ج3، ص349</w:t>
        </w:r>
        <w:r w:rsidRPr="00A415AF">
          <w:rPr>
            <w:rStyle w:val="Hyperlink"/>
          </w:rPr>
          <w:t>.</w:t>
        </w:r>
      </w:hyperlink>
    </w:p>
  </w:footnote>
  <w:footnote w:id="6">
    <w:p w:rsidR="000C629C" w:rsidRPr="00A415AF" w:rsidRDefault="000C629C" w:rsidP="000C629C">
      <w:pPr>
        <w:pStyle w:val="FootnoteText"/>
      </w:pPr>
      <w:r w:rsidRPr="00A415AF">
        <w:rPr>
          <w:rStyle w:val="FootnoteReference"/>
          <w:vertAlign w:val="baseline"/>
        </w:rPr>
        <w:footnoteRef/>
      </w:r>
      <w:r w:rsidRPr="00A415AF">
        <w:rPr>
          <w:rFonts w:hint="cs"/>
          <w:rtl/>
        </w:rPr>
        <w:t>. به نظر ما این وجه بازگشت به همان مطلب مرحوم خویی در مورد تفکیک ساحات دارد .</w:t>
      </w:r>
    </w:p>
  </w:footnote>
  <w:footnote w:id="7">
    <w:p w:rsidR="000C629C" w:rsidRPr="003C680F" w:rsidRDefault="000C629C" w:rsidP="000C629C">
      <w:pPr>
        <w:pStyle w:val="FootnoteText"/>
      </w:pPr>
      <w:r w:rsidRPr="003C680F">
        <w:rPr>
          <w:rStyle w:val="FootnoteReference"/>
          <w:vertAlign w:val="baseline"/>
        </w:rPr>
        <w:footnoteRef/>
      </w:r>
      <w:r>
        <w:rPr>
          <w:rFonts w:hint="cs"/>
          <w:rtl/>
        </w:rPr>
        <w:t>. چنانچه</w:t>
      </w:r>
      <w:r w:rsidRPr="003C680F">
        <w:rPr>
          <w:rFonts w:hint="cs"/>
          <w:rtl/>
        </w:rPr>
        <w:t xml:space="preserve"> به مرحوم شیخ نسبت داده شده است .</w:t>
      </w:r>
    </w:p>
  </w:footnote>
  <w:footnote w:id="8">
    <w:p w:rsidR="000C629C" w:rsidRPr="00A415AF" w:rsidRDefault="000C629C" w:rsidP="000C629C">
      <w:pPr>
        <w:pStyle w:val="FootnoteText"/>
        <w:rPr>
          <w:rtl/>
        </w:rPr>
      </w:pPr>
      <w:r w:rsidRPr="00A415AF">
        <w:rPr>
          <w:rStyle w:val="FootnoteReference"/>
          <w:vertAlign w:val="baseline"/>
        </w:rPr>
        <w:footnoteRef/>
      </w:r>
      <w:r w:rsidRPr="00A415AF">
        <w:rPr>
          <w:rFonts w:hint="cs"/>
          <w:rtl/>
        </w:rPr>
        <w:t>. محکوم می تواند اجمالا یا تفصیلا از نفس دلیل حاکم استفاده شود و همین برای دفع لغویت کافی است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8" w:name="BokNum"/>
    <w:bookmarkEnd w:id="58"/>
    <w:r w:rsidR="00DF49BB">
      <w:rPr>
        <w:b/>
        <w:bCs/>
        <w:sz w:val="20"/>
        <w:szCs w:val="24"/>
        <w:rtl/>
      </w:rPr>
      <w:t>015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9" w:name="Bokdars"/>
    <w:bookmarkEnd w:id="59"/>
    <w:r w:rsidR="00DF49B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0" w:name="Bokostad"/>
    <w:bookmarkEnd w:id="60"/>
    <w:r w:rsidR="00DF49BB">
      <w:rPr>
        <w:b/>
        <w:bCs/>
        <w:color w:val="632423" w:themeColor="accent2" w:themeShade="80"/>
        <w:sz w:val="20"/>
        <w:szCs w:val="24"/>
        <w:rtl/>
      </w:rPr>
      <w:t>قائ</w:t>
    </w:r>
    <w:r w:rsidR="00DF49BB">
      <w:rPr>
        <w:rFonts w:hint="cs"/>
        <w:b/>
        <w:bCs/>
        <w:color w:val="632423" w:themeColor="accent2" w:themeShade="80"/>
        <w:sz w:val="20"/>
        <w:szCs w:val="24"/>
        <w:rtl/>
      </w:rPr>
      <w:t>ی</w:t>
    </w:r>
    <w:r w:rsidR="00DF49BB">
      <w:rPr>
        <w:rFonts w:hint="eastAsia"/>
        <w:b/>
        <w:bCs/>
        <w:color w:val="632423" w:themeColor="accent2" w:themeShade="80"/>
        <w:sz w:val="20"/>
        <w:szCs w:val="24"/>
        <w:rtl/>
      </w:rPr>
      <w:t>ن</w:t>
    </w:r>
    <w:r w:rsidR="00DF49B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61" w:name="BokTarikh"/>
    <w:bookmarkEnd w:id="61"/>
    <w:r w:rsidR="00DF49BB">
      <w:rPr>
        <w:sz w:val="24"/>
        <w:szCs w:val="24"/>
        <w:rtl/>
      </w:rPr>
      <w:t>23 /7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62" w:name="BokSabj"/>
    <w:bookmarkEnd w:id="62"/>
    <w:r w:rsidR="00DF49BB">
      <w:rPr>
        <w:color w:val="000000" w:themeColor="text1"/>
        <w:sz w:val="24"/>
        <w:szCs w:val="24"/>
        <w:rtl/>
      </w:rPr>
      <w:t>تعارض غ</w:t>
    </w:r>
    <w:r w:rsidR="00DF49BB">
      <w:rPr>
        <w:rFonts w:hint="cs"/>
        <w:color w:val="000000" w:themeColor="text1"/>
        <w:sz w:val="24"/>
        <w:szCs w:val="24"/>
        <w:rtl/>
      </w:rPr>
      <w:t>ی</w:t>
    </w:r>
    <w:r w:rsidR="00DF49BB">
      <w:rPr>
        <w:rFonts w:hint="eastAsia"/>
        <w:color w:val="000000" w:themeColor="text1"/>
        <w:sz w:val="24"/>
        <w:szCs w:val="24"/>
        <w:rtl/>
      </w:rPr>
      <w:t>ر</w:t>
    </w:r>
    <w:r w:rsidR="00DF49BB">
      <w:rPr>
        <w:color w:val="000000" w:themeColor="text1"/>
        <w:sz w:val="24"/>
        <w:szCs w:val="24"/>
        <w:rtl/>
      </w:rPr>
      <w:t xml:space="preserve"> مستقر</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63" w:name="Bokmoqarer"/>
    <w:bookmarkEnd w:id="63"/>
    <w:r w:rsidR="00DF49BB">
      <w:rPr>
        <w:sz w:val="24"/>
        <w:szCs w:val="24"/>
        <w:rtl/>
      </w:rPr>
      <w:t>عل</w:t>
    </w:r>
    <w:r w:rsidR="00DF49BB">
      <w:rPr>
        <w:rFonts w:hint="cs"/>
        <w:sz w:val="24"/>
        <w:szCs w:val="24"/>
        <w:rtl/>
      </w:rPr>
      <w:t>ی</w:t>
    </w:r>
    <w:r w:rsidR="00DF49BB">
      <w:rPr>
        <w:sz w:val="24"/>
        <w:szCs w:val="24"/>
        <w:rtl/>
      </w:rPr>
      <w:t xml:space="preserve"> بهادرزا</w:t>
    </w:r>
    <w:r w:rsidR="00DF49BB">
      <w:rPr>
        <w:rFonts w:hint="cs"/>
        <w:sz w:val="24"/>
        <w:szCs w:val="24"/>
        <w:rtl/>
      </w:rPr>
      <w:t>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64" w:name="BokSabj2"/>
    <w:bookmarkEnd w:id="64"/>
    <w:r w:rsidR="00DF49BB">
      <w:rPr>
        <w:sz w:val="24"/>
        <w:szCs w:val="24"/>
        <w:rtl/>
      </w:rPr>
      <w:t>حکومت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45AC"/>
    <w:rsid w:val="00080A41"/>
    <w:rsid w:val="0008299B"/>
    <w:rsid w:val="000913AA"/>
    <w:rsid w:val="00094847"/>
    <w:rsid w:val="00096C63"/>
    <w:rsid w:val="000B5DB5"/>
    <w:rsid w:val="000C3947"/>
    <w:rsid w:val="000C629C"/>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1828"/>
    <w:rsid w:val="00462B07"/>
    <w:rsid w:val="00465BD2"/>
    <w:rsid w:val="004715C8"/>
    <w:rsid w:val="00481C31"/>
    <w:rsid w:val="00482FC1"/>
    <w:rsid w:val="00483027"/>
    <w:rsid w:val="004871AA"/>
    <w:rsid w:val="004918D7"/>
    <w:rsid w:val="004926E1"/>
    <w:rsid w:val="004A2FEA"/>
    <w:rsid w:val="004B2047"/>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7F2F"/>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4A31"/>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49BB"/>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3DD8"/>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3/349/" TargetMode="External"/><Relationship Id="rId2" Type="http://schemas.openxmlformats.org/officeDocument/2006/relationships/hyperlink" Target="http://lib.eshia.ir/13064/7/167/" TargetMode="External"/><Relationship Id="rId1" Type="http://schemas.openxmlformats.org/officeDocument/2006/relationships/hyperlink" Target="http://lib.eshia.ir/13046/3/34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0749E-ABB0-4D55-8ECF-74C0704E6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TotalTime>
  <Pages>3</Pages>
  <Words>752</Words>
  <Characters>4290</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bahadorzaei</cp:lastModifiedBy>
  <cp:revision>7</cp:revision>
  <dcterms:created xsi:type="dcterms:W3CDTF">2018-10-19T08:35:00Z</dcterms:created>
  <dcterms:modified xsi:type="dcterms:W3CDTF">2018-11-03T15:16:00Z</dcterms:modified>
  <cp:contentStatus>ویرایش 2.5</cp:contentStatus>
  <cp:version>2.7</cp:version>
</cp:coreProperties>
</file>