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67E5E" w:rsidRDefault="00B67E5E" w:rsidP="00025B70">
      <w:pPr>
        <w:rPr>
          <w:rStyle w:val="Emphasis"/>
          <w:b/>
          <w:bCs w:val="0"/>
          <w:rtl/>
        </w:rPr>
      </w:pP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D7ABF">
        <w:rPr>
          <w:rtl/>
        </w:rPr>
        <w:t>تعارض امارات</w:t>
      </w:r>
      <w:r w:rsidR="00025B70">
        <w:rPr>
          <w:rFonts w:hint="cs"/>
          <w:rtl/>
        </w:rPr>
        <w:t xml:space="preserve"> </w:t>
      </w:r>
      <w:r w:rsidR="00386C11" w:rsidRPr="00A6366F">
        <w:rPr>
          <w:rFonts w:hint="cs"/>
          <w:rtl/>
        </w:rPr>
        <w:t>/</w:t>
      </w:r>
      <w:bookmarkStart w:id="1" w:name="BokSabj_d"/>
      <w:bookmarkEnd w:id="1"/>
      <w:r w:rsidR="004D7ABF">
        <w:rPr>
          <w:rtl/>
        </w:rPr>
        <w:t>تعارض</w:t>
      </w:r>
      <w:r w:rsidR="00386C11" w:rsidRPr="00A6366F">
        <w:rPr>
          <w:rFonts w:hint="cs"/>
          <w:rtl/>
        </w:rPr>
        <w:t xml:space="preserve"> /</w:t>
      </w:r>
      <w:bookmarkStart w:id="2" w:name="Bokkolli"/>
      <w:bookmarkEnd w:id="2"/>
      <w:r w:rsidR="004D7ABF">
        <w:rPr>
          <w:rtl/>
        </w:rPr>
        <w:t>تعادل و تراج</w:t>
      </w:r>
      <w:r w:rsidR="004D7ABF">
        <w:rPr>
          <w:rFonts w:hint="cs"/>
          <w:rtl/>
        </w:rPr>
        <w:t>ی</w:t>
      </w:r>
      <w:r w:rsidR="004D7ABF">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0F7CF1" w:rsidP="002E2436">
      <w:pPr>
        <w:pBdr>
          <w:bottom w:val="double" w:sz="6" w:space="1" w:color="auto"/>
        </w:pBdr>
        <w:rPr>
          <w:rtl/>
        </w:rPr>
      </w:pPr>
      <w:r>
        <w:rPr>
          <w:rFonts w:hint="cs"/>
          <w:rtl/>
        </w:rPr>
        <w:t xml:space="preserve">بحث در کلام شهید صدر در </w:t>
      </w:r>
      <w:r w:rsidR="002E2436">
        <w:rPr>
          <w:rFonts w:hint="cs"/>
          <w:rtl/>
        </w:rPr>
        <w:t xml:space="preserve">تعارض به تضاد بالعرض در مثل تعارض وجوب ظهر و جمعه بود که ایشان قائل به عدم تساقط شده بودند و بیاناتی برای توجیه آن فرمودند که بحث به </w:t>
      </w:r>
      <w:r>
        <w:rPr>
          <w:rFonts w:hint="cs"/>
          <w:rtl/>
        </w:rPr>
        <w:t xml:space="preserve">محاوله ششم </w:t>
      </w:r>
      <w:r w:rsidR="002E2436">
        <w:rPr>
          <w:rFonts w:hint="cs"/>
          <w:rtl/>
        </w:rPr>
        <w:t>رسید</w:t>
      </w:r>
      <w:r>
        <w:rPr>
          <w:rFonts w:hint="cs"/>
          <w:rtl/>
        </w:rPr>
        <w:t xml:space="preserve"> که کلام مقرر ایشان در ادعای انحلال علم اجمالی به کذب دو مدلول</w:t>
      </w:r>
      <w:r w:rsidR="002E2436">
        <w:rPr>
          <w:rFonts w:hint="cs"/>
          <w:rtl/>
        </w:rPr>
        <w:t xml:space="preserve"> </w:t>
      </w:r>
      <w:r>
        <w:rPr>
          <w:rFonts w:hint="cs"/>
          <w:rtl/>
        </w:rPr>
        <w:t>از چهار مدلول، به سبب عدم حجیت دو مدلول التزامی بود</w:t>
      </w:r>
      <w:r w:rsidR="002E2436">
        <w:rPr>
          <w:rFonts w:hint="cs"/>
          <w:rtl/>
        </w:rPr>
        <w:t>، مطلب موهونی است که نسبت به آن به شهید صدر صحیح نیست</w:t>
      </w:r>
      <w:r>
        <w:rPr>
          <w:rFonts w:hint="cs"/>
          <w:rtl/>
        </w:rPr>
        <w:t xml:space="preserve"> و بعید است مراد شهید صدر چنین مطلب واضح البطلانی باشد؛ زیرا علم اجمالی به کذب یکی از مدالیل مطابقی و یکی از مدالیل التزامی وجود داشته پس با عدم حجیت دو مدلول التزامی، علم اجمالی مذکور منحل نمی شود </w:t>
      </w:r>
      <w:r w:rsidR="002E2436">
        <w:rPr>
          <w:rFonts w:hint="cs"/>
          <w:rtl/>
        </w:rPr>
        <w:t>و</w:t>
      </w:r>
      <w:r>
        <w:rPr>
          <w:rFonts w:hint="cs"/>
          <w:rtl/>
        </w:rPr>
        <w:t xml:space="preserve"> علم به کذب یکی </w:t>
      </w:r>
      <w:r w:rsidR="002E2436">
        <w:rPr>
          <w:rFonts w:hint="cs"/>
          <w:rtl/>
        </w:rPr>
        <w:t>از دو مدلول مطابقی باقی می ماند بنابر این انحلال به هیچ صورتی قابل تصور نیست.</w:t>
      </w:r>
    </w:p>
    <w:p w:rsidR="002E2436" w:rsidRDefault="002E2436" w:rsidP="002E2436">
      <w:pPr>
        <w:pBdr>
          <w:bottom w:val="double" w:sz="6" w:space="1" w:color="auto"/>
        </w:pBdr>
        <w:rPr>
          <w:rtl/>
        </w:rPr>
      </w:pPr>
      <w:r>
        <w:rPr>
          <w:rFonts w:hint="cs"/>
          <w:rtl/>
        </w:rPr>
        <w:t>همانطور که گذشت اگر علم به نجاست دو ظرف از چهار ظرف باشد و بینه بر نجاست یکی از دو ظرف سمت راست اقامه شود علم اجمالی مذکور منحل به این دو ظرف سمت راست است؛ زیرا علم اجمالی قابل انطباق بر دو ظرف سمت راست است، اما در این مساله، علم اجمالی به کذب یکی مدلول مطابقی و یک مدلول التزامی قابل انطباق بر دو مدلول التزامی که از حجیت ساقط شده اند نیست پس انحلال در این مساله قابل تصور نیست.</w:t>
      </w:r>
    </w:p>
    <w:p w:rsidR="00C7204C" w:rsidRDefault="000F7CF1" w:rsidP="00C7204C">
      <w:pPr>
        <w:pBdr>
          <w:bottom w:val="double" w:sz="6" w:space="1" w:color="auto"/>
        </w:pBdr>
        <w:rPr>
          <w:rtl/>
        </w:rPr>
      </w:pPr>
      <w:r>
        <w:rPr>
          <w:rFonts w:hint="cs"/>
          <w:rtl/>
        </w:rPr>
        <w:t xml:space="preserve">اما ممکن است مراد شهید صدر از محاوله ششم این باشد که در موارد تعارض بالعرض، </w:t>
      </w:r>
      <w:r w:rsidR="00C7204C">
        <w:rPr>
          <w:rFonts w:hint="cs"/>
          <w:rtl/>
        </w:rPr>
        <w:t xml:space="preserve">مانند تعارض وجوب ظهر و جمعه، </w:t>
      </w:r>
      <w:r>
        <w:rPr>
          <w:rFonts w:hint="cs"/>
          <w:rtl/>
        </w:rPr>
        <w:t>تعارض بین مفاد دو خبر به جهت مدالیل التزامی آنها است و بدون ملاحظه مدلول التزامی، تعارضی به وجود نمی آمد؛ زیرا هر چند که علم به کذب مفاد</w:t>
      </w:r>
      <w:r w:rsidR="00C7204C">
        <w:rPr>
          <w:rFonts w:hint="cs"/>
          <w:rtl/>
        </w:rPr>
        <w:t xml:space="preserve"> مطابقی یکی از دو خبر وجود دارد؛ زیرا وجوب ظهر و وجوب جمعه با هم ممکن نیست </w:t>
      </w:r>
      <w:r>
        <w:rPr>
          <w:rFonts w:hint="cs"/>
          <w:rtl/>
        </w:rPr>
        <w:t xml:space="preserve">ولی </w:t>
      </w:r>
      <w:r w:rsidR="00C7204C">
        <w:rPr>
          <w:rFonts w:hint="cs"/>
          <w:rtl/>
        </w:rPr>
        <w:t xml:space="preserve">تعارض ناشی از مفاد این دو خبر نیست بلکه ناشی از حجیت آن است و از آنجا که </w:t>
      </w:r>
      <w:r>
        <w:rPr>
          <w:rFonts w:hint="cs"/>
          <w:rtl/>
        </w:rPr>
        <w:t>معنای حجیت، ثبوت واقعی مفاد خبر نیست تا اینکه علم به کذب احدهما، مانع از حجیت آنها باشد</w:t>
      </w:r>
      <w:r w:rsidR="00C7204C">
        <w:rPr>
          <w:rFonts w:hint="cs"/>
          <w:rtl/>
        </w:rPr>
        <w:t>،</w:t>
      </w:r>
      <w:r>
        <w:rPr>
          <w:rFonts w:hint="cs"/>
          <w:rtl/>
        </w:rPr>
        <w:t xml:space="preserve"> بلکه معنای حجیت، تعذیر و تنجیز </w:t>
      </w:r>
      <w:r w:rsidR="00C7204C">
        <w:rPr>
          <w:rFonts w:hint="cs"/>
          <w:rtl/>
        </w:rPr>
        <w:t>در صورت مطابقت با واقع است</w:t>
      </w:r>
      <w:r w:rsidR="00B67E5E">
        <w:rPr>
          <w:rFonts w:hint="cs"/>
          <w:rtl/>
        </w:rPr>
        <w:t>،</w:t>
      </w:r>
      <w:r>
        <w:rPr>
          <w:rFonts w:hint="cs"/>
          <w:rtl/>
        </w:rPr>
        <w:t xml:space="preserve"> </w:t>
      </w:r>
      <w:r w:rsidR="00CA55A0">
        <w:rPr>
          <w:rFonts w:hint="cs"/>
          <w:rtl/>
        </w:rPr>
        <w:t>با</w:t>
      </w:r>
      <w:bookmarkStart w:id="3" w:name="_GoBack"/>
      <w:bookmarkEnd w:id="3"/>
      <w:r w:rsidR="00CA55A0">
        <w:rPr>
          <w:rFonts w:hint="cs"/>
          <w:rtl/>
        </w:rPr>
        <w:t xml:space="preserve"> علم اجمالی به کذب منافات ندارد</w:t>
      </w:r>
      <w:r w:rsidR="00B67E5E">
        <w:rPr>
          <w:rFonts w:hint="cs"/>
          <w:rtl/>
        </w:rPr>
        <w:t xml:space="preserve"> </w:t>
      </w:r>
      <w:r w:rsidR="00B67E5E" w:rsidRPr="00B67E5E">
        <w:rPr>
          <w:rtl/>
        </w:rPr>
        <w:t>و انچه مانع حج</w:t>
      </w:r>
      <w:r w:rsidR="00B67E5E" w:rsidRPr="00B67E5E">
        <w:rPr>
          <w:rFonts w:hint="cs"/>
          <w:rtl/>
        </w:rPr>
        <w:t>ی</w:t>
      </w:r>
      <w:r w:rsidR="00B67E5E" w:rsidRPr="00B67E5E">
        <w:rPr>
          <w:rFonts w:hint="eastAsia"/>
          <w:rtl/>
        </w:rPr>
        <w:t>ت</w:t>
      </w:r>
      <w:r w:rsidR="00B67E5E" w:rsidRPr="00B67E5E">
        <w:rPr>
          <w:rtl/>
        </w:rPr>
        <w:t xml:space="preserve"> است علم تفص</w:t>
      </w:r>
      <w:r w:rsidR="00B67E5E" w:rsidRPr="00B67E5E">
        <w:rPr>
          <w:rFonts w:hint="cs"/>
          <w:rtl/>
        </w:rPr>
        <w:t>ی</w:t>
      </w:r>
      <w:r w:rsidR="00B67E5E" w:rsidRPr="00B67E5E">
        <w:rPr>
          <w:rFonts w:hint="eastAsia"/>
          <w:rtl/>
        </w:rPr>
        <w:t>ل</w:t>
      </w:r>
      <w:r w:rsidR="00B67E5E" w:rsidRPr="00B67E5E">
        <w:rPr>
          <w:rFonts w:hint="cs"/>
          <w:rtl/>
        </w:rPr>
        <w:t>ی</w:t>
      </w:r>
      <w:r w:rsidR="00B67E5E" w:rsidRPr="00B67E5E">
        <w:rPr>
          <w:rtl/>
        </w:rPr>
        <w:t xml:space="preserve"> به کذب است ز</w:t>
      </w:r>
      <w:r w:rsidR="00B67E5E" w:rsidRPr="00B67E5E">
        <w:rPr>
          <w:rFonts w:hint="cs"/>
          <w:rtl/>
        </w:rPr>
        <w:t>ی</w:t>
      </w:r>
      <w:r w:rsidR="00B67E5E" w:rsidRPr="00B67E5E">
        <w:rPr>
          <w:rFonts w:hint="eastAsia"/>
          <w:rtl/>
        </w:rPr>
        <w:t>را</w:t>
      </w:r>
      <w:r w:rsidR="00B67E5E" w:rsidRPr="00B67E5E">
        <w:rPr>
          <w:rtl/>
        </w:rPr>
        <w:t xml:space="preserve"> در ا</w:t>
      </w:r>
      <w:r w:rsidR="00B67E5E" w:rsidRPr="00B67E5E">
        <w:rPr>
          <w:rFonts w:hint="cs"/>
          <w:rtl/>
        </w:rPr>
        <w:t>ی</w:t>
      </w:r>
      <w:r w:rsidR="00B67E5E" w:rsidRPr="00B67E5E">
        <w:rPr>
          <w:rFonts w:hint="eastAsia"/>
          <w:rtl/>
        </w:rPr>
        <w:t>نصورت</w:t>
      </w:r>
      <w:r w:rsidR="00B67E5E" w:rsidRPr="00B67E5E">
        <w:rPr>
          <w:rtl/>
        </w:rPr>
        <w:t xml:space="preserve"> احتمال اصابت به واقع وجود ندارد بر خلاف موارد  علم اجمال</w:t>
      </w:r>
      <w:r w:rsidR="00B67E5E" w:rsidRPr="00B67E5E">
        <w:rPr>
          <w:rFonts w:hint="cs"/>
          <w:rtl/>
        </w:rPr>
        <w:t>ی</w:t>
      </w:r>
      <w:r w:rsidR="00B67E5E" w:rsidRPr="00B67E5E">
        <w:rPr>
          <w:rtl/>
        </w:rPr>
        <w:t xml:space="preserve"> که احتمال اصابت به واقع وجود دارد و برا</w:t>
      </w:r>
      <w:r w:rsidR="00B67E5E" w:rsidRPr="00B67E5E">
        <w:rPr>
          <w:rFonts w:hint="cs"/>
          <w:rtl/>
        </w:rPr>
        <w:t>ی</w:t>
      </w:r>
      <w:r w:rsidR="00B67E5E" w:rsidRPr="00B67E5E">
        <w:rPr>
          <w:rtl/>
        </w:rPr>
        <w:t xml:space="preserve"> حج</w:t>
      </w:r>
      <w:r w:rsidR="00B67E5E" w:rsidRPr="00B67E5E">
        <w:rPr>
          <w:rFonts w:hint="cs"/>
          <w:rtl/>
        </w:rPr>
        <w:t>ی</w:t>
      </w:r>
      <w:r w:rsidR="00B67E5E" w:rsidRPr="00B67E5E">
        <w:rPr>
          <w:rFonts w:hint="eastAsia"/>
          <w:rtl/>
        </w:rPr>
        <w:t>ت،</w:t>
      </w:r>
      <w:r w:rsidR="00B67E5E" w:rsidRPr="00B67E5E">
        <w:rPr>
          <w:rtl/>
        </w:rPr>
        <w:t xml:space="preserve"> احتمال اصابت به واقع کاف</w:t>
      </w:r>
      <w:r w:rsidR="00B67E5E" w:rsidRPr="00B67E5E">
        <w:rPr>
          <w:rFonts w:hint="cs"/>
          <w:rtl/>
        </w:rPr>
        <w:t>ی</w:t>
      </w:r>
      <w:r w:rsidR="00B67E5E" w:rsidRPr="00B67E5E">
        <w:rPr>
          <w:rtl/>
        </w:rPr>
        <w:t xml:space="preserve"> است.</w:t>
      </w:r>
    </w:p>
    <w:p w:rsidR="00247D2F" w:rsidRDefault="00CA55A0" w:rsidP="00C7204C">
      <w:pPr>
        <w:pBdr>
          <w:bottom w:val="double" w:sz="6" w:space="1" w:color="auto"/>
        </w:pBdr>
      </w:pPr>
      <w:r>
        <w:rPr>
          <w:rFonts w:hint="cs"/>
          <w:rtl/>
        </w:rPr>
        <w:lastRenderedPageBreak/>
        <w:t xml:space="preserve"> همانطور که در موارد علم اجمالی به نجاست یک ظرف و طهارت ظرف دیگر، حکم به نجاست ظاهری هر دو ظرف می شود هر چند که علم</w:t>
      </w:r>
      <w:r w:rsidR="00C7204C">
        <w:rPr>
          <w:rFonts w:hint="cs"/>
          <w:rtl/>
        </w:rPr>
        <w:t xml:space="preserve"> به طهارت یکی از آنها وجود دارد ولذا </w:t>
      </w:r>
      <w:r w:rsidR="009E3253">
        <w:rPr>
          <w:rFonts w:hint="cs"/>
          <w:rtl/>
        </w:rPr>
        <w:t xml:space="preserve">علم به </w:t>
      </w:r>
      <w:r w:rsidR="00C7204C">
        <w:rPr>
          <w:rFonts w:hint="cs"/>
          <w:rtl/>
        </w:rPr>
        <w:t>کذب حکم ظاهری به نجاست یکی از دو ظرف وجود دارد.</w:t>
      </w:r>
    </w:p>
    <w:p w:rsidR="00914D40" w:rsidRPr="003E4BB1" w:rsidRDefault="00914D40" w:rsidP="000F7CF1">
      <w:pPr>
        <w:pBdr>
          <w:bottom w:val="double" w:sz="6" w:space="1" w:color="auto"/>
        </w:pBdr>
        <w:rPr>
          <w:rtl/>
        </w:rPr>
      </w:pPr>
      <w:r>
        <w:rPr>
          <w:rFonts w:hint="cs"/>
          <w:rtl/>
        </w:rPr>
        <w:t>بنابر این اگر مدلول التزامی از حجیت ساقط شود معارضی برای حجیت مدلول مطابقی نبوده و لذا مدالیل مطابقی</w:t>
      </w:r>
      <w:r w:rsidR="009E3253">
        <w:rPr>
          <w:rFonts w:hint="cs"/>
          <w:rtl/>
        </w:rPr>
        <w:t xml:space="preserve"> هر دو دلیل شامل اطلاق دلیل حجیت میشود و هر دو خبر حجت خواهد شد. البته اگر کاشفیت اماره لحاظ شود، </w:t>
      </w:r>
      <w:r w:rsidR="009E3253" w:rsidRPr="003E4BB1">
        <w:rPr>
          <w:rFonts w:hint="cs"/>
          <w:rtl/>
        </w:rPr>
        <w:t>حجیت اماره در موارد تعارض صحیح نمی باشد.</w:t>
      </w:r>
    </w:p>
    <w:p w:rsidR="00914D40" w:rsidRPr="003E4BB1" w:rsidRDefault="00CA55A0" w:rsidP="00B67E5E">
      <w:pPr>
        <w:pBdr>
          <w:bottom w:val="double" w:sz="6" w:space="1" w:color="auto"/>
        </w:pBdr>
        <w:rPr>
          <w:rtl/>
        </w:rPr>
      </w:pPr>
      <w:r w:rsidRPr="003E4BB1">
        <w:rPr>
          <w:rFonts w:hint="cs"/>
          <w:rtl/>
        </w:rPr>
        <w:t xml:space="preserve">طبق این بیان، </w:t>
      </w:r>
      <w:r w:rsidR="00914D40" w:rsidRPr="003E4BB1">
        <w:rPr>
          <w:rFonts w:hint="cs"/>
          <w:rtl/>
        </w:rPr>
        <w:t>مدلول التزامی از حجیت ساقط است ولی نه به جهت معارضه داخلیه که در محاوله چهارم بیان شد، بلکه به جهت اینکه یکی از دو مدلول التزامی موجب ترخیص در مخالفت با تکلیف بوده و حجت نیست و مدلول التزامی دیگر</w:t>
      </w:r>
      <w:r w:rsidR="003E4BB1" w:rsidRPr="003E4BB1">
        <w:rPr>
          <w:rFonts w:hint="cs"/>
          <w:rtl/>
        </w:rPr>
        <w:t xml:space="preserve"> که عدم وجوب احدهما است</w:t>
      </w:r>
      <w:r w:rsidR="00914D40" w:rsidRPr="003E4BB1">
        <w:rPr>
          <w:rFonts w:hint="cs"/>
          <w:rtl/>
        </w:rPr>
        <w:t xml:space="preserve"> نیز</w:t>
      </w:r>
      <w:r w:rsidR="009E3253" w:rsidRPr="003E4BB1">
        <w:rPr>
          <w:rFonts w:hint="cs"/>
          <w:rtl/>
        </w:rPr>
        <w:t xml:space="preserve"> نه به جهت معارضه بلکه به جهت اینکه</w:t>
      </w:r>
      <w:r w:rsidR="00914D40" w:rsidRPr="003E4BB1">
        <w:rPr>
          <w:rFonts w:hint="cs"/>
          <w:rtl/>
        </w:rPr>
        <w:t xml:space="preserve"> از خارج معلوم است و </w:t>
      </w:r>
      <w:r w:rsidR="003E4BB1" w:rsidRPr="003E4BB1">
        <w:rPr>
          <w:rFonts w:hint="cs"/>
          <w:rtl/>
        </w:rPr>
        <w:t>جعل حجیت برای آن _ به جهت یقین به واقع_ لغو است</w:t>
      </w:r>
      <w:r w:rsidR="009E3253" w:rsidRPr="003E4BB1">
        <w:rPr>
          <w:rFonts w:hint="cs"/>
          <w:rtl/>
        </w:rPr>
        <w:t xml:space="preserve"> </w:t>
      </w:r>
      <w:r w:rsidR="003E4BB1" w:rsidRPr="003E4BB1">
        <w:rPr>
          <w:rFonts w:hint="cs"/>
          <w:rtl/>
        </w:rPr>
        <w:t>پس حجت نمی باشد. بنابر این ه</w:t>
      </w:r>
      <w:r w:rsidR="009E3253" w:rsidRPr="003E4BB1">
        <w:rPr>
          <w:rFonts w:hint="cs"/>
          <w:rtl/>
        </w:rPr>
        <w:t xml:space="preserve">ر دو مدلول التزامی خارج از اطلاق دلیل حجیت </w:t>
      </w:r>
      <w:r w:rsidR="003E4BB1" w:rsidRPr="003E4BB1">
        <w:rPr>
          <w:rFonts w:hint="cs"/>
          <w:rtl/>
        </w:rPr>
        <w:t>است ( اگر حتی یکی از دو مدلول التزامی هم حجت باشد معارض مدلول مطاب</w:t>
      </w:r>
      <w:r w:rsidR="00B67E5E">
        <w:rPr>
          <w:rFonts w:hint="cs"/>
          <w:rtl/>
        </w:rPr>
        <w:t xml:space="preserve">قی و موجب عدم حجیت آن می شود) </w:t>
      </w:r>
      <w:r w:rsidR="003E4BB1" w:rsidRPr="003E4BB1">
        <w:rPr>
          <w:rFonts w:hint="cs"/>
          <w:rtl/>
        </w:rPr>
        <w:t xml:space="preserve"> مراد از انحلال در کلام شهید نیز همین معنا خواهد بود.</w:t>
      </w:r>
    </w:p>
    <w:p w:rsidR="007B339F" w:rsidRPr="003E4BB1" w:rsidRDefault="00914D40" w:rsidP="000F7CF1">
      <w:pPr>
        <w:pBdr>
          <w:bottom w:val="double" w:sz="6" w:space="1" w:color="auto"/>
        </w:pBdr>
        <w:rPr>
          <w:rtl/>
        </w:rPr>
      </w:pPr>
      <w:r w:rsidRPr="003E4BB1">
        <w:rPr>
          <w:rFonts w:hint="cs"/>
          <w:rtl/>
        </w:rPr>
        <w:t xml:space="preserve">بنابر </w:t>
      </w:r>
      <w:r w:rsidR="009E3253" w:rsidRPr="003E4BB1">
        <w:rPr>
          <w:rFonts w:hint="cs"/>
          <w:rtl/>
        </w:rPr>
        <w:t>ا</w:t>
      </w:r>
      <w:r w:rsidRPr="003E4BB1">
        <w:rPr>
          <w:rFonts w:hint="cs"/>
          <w:rtl/>
        </w:rPr>
        <w:t>ین بیان اشکالی که آقای حائری و مرحوم هاشمی به ایشان وارد نموده اند صحیح نیست.</w:t>
      </w:r>
    </w:p>
    <w:p w:rsidR="00CA55A0" w:rsidRPr="003E4BB1" w:rsidRDefault="00CA55A0" w:rsidP="000F7CF1">
      <w:pPr>
        <w:pBdr>
          <w:bottom w:val="double" w:sz="6" w:space="1" w:color="auto"/>
        </w:pBdr>
      </w:pPr>
      <w:r w:rsidRPr="003E4BB1">
        <w:rPr>
          <w:rFonts w:hint="cs"/>
          <w:rtl/>
        </w:rPr>
        <w:t xml:space="preserve"> </w:t>
      </w:r>
    </w:p>
    <w:p w:rsidR="008F5B4D" w:rsidRPr="003E4BB1" w:rsidRDefault="008F5B4D" w:rsidP="003A6148"/>
    <w:p w:rsidR="003E6650" w:rsidRPr="003E4BB1" w:rsidRDefault="007B339F" w:rsidP="00824B22">
      <w:r w:rsidRPr="00B67E5E">
        <w:rPr>
          <w:rFonts w:ascii="Cambria" w:eastAsia="Times New Roman" w:hAnsi="Cambria" w:cs="B Titr" w:hint="cs"/>
          <w:b/>
          <w:bCs/>
          <w:color w:val="0100FF"/>
          <w:kern w:val="32"/>
          <w:sz w:val="32"/>
          <w:szCs w:val="32"/>
          <w:rtl/>
        </w:rPr>
        <w:t>اشکال آقای حائری به محاوله ششم</w:t>
      </w:r>
      <w:r w:rsidR="00E52D07" w:rsidRPr="003E4BB1">
        <w:rPr>
          <w:rFonts w:hint="cs"/>
          <w:rtl/>
        </w:rPr>
        <w:t xml:space="preserve"> </w:t>
      </w:r>
      <w:r w:rsidR="009426B0">
        <w:rPr>
          <w:rStyle w:val="FootnoteReference"/>
          <w:rtl/>
        </w:rPr>
        <w:footnoteReference w:id="1"/>
      </w:r>
    </w:p>
    <w:p w:rsidR="001A1EA5" w:rsidRDefault="008420D9" w:rsidP="005F5DC1">
      <w:pPr>
        <w:rPr>
          <w:rtl/>
        </w:rPr>
      </w:pPr>
      <w:r w:rsidRPr="003E4BB1">
        <w:rPr>
          <w:rFonts w:hint="cs"/>
          <w:rtl/>
        </w:rPr>
        <w:t xml:space="preserve">آنچه در محاوله ششم ذکر شده در صورتی صحیح است که علم اجمالی </w:t>
      </w:r>
      <w:r w:rsidR="005F5DC1">
        <w:rPr>
          <w:rFonts w:hint="cs"/>
          <w:rtl/>
        </w:rPr>
        <w:t xml:space="preserve">به کذب </w:t>
      </w:r>
      <w:r w:rsidRPr="003E4BB1">
        <w:rPr>
          <w:rFonts w:hint="cs"/>
          <w:rtl/>
        </w:rPr>
        <w:t xml:space="preserve">علت تامه برای تنجز حکم باشد اما اگر </w:t>
      </w:r>
      <w:r w:rsidR="003E4BB1">
        <w:rPr>
          <w:rFonts w:hint="cs"/>
          <w:rtl/>
        </w:rPr>
        <w:t xml:space="preserve">تاثیر </w:t>
      </w:r>
      <w:r w:rsidRPr="003E4BB1">
        <w:rPr>
          <w:rFonts w:hint="cs"/>
          <w:rtl/>
        </w:rPr>
        <w:t xml:space="preserve">علم اجمالی اقتضایی باشد، این محاوله صحیح نیست؛ زیرا </w:t>
      </w:r>
      <w:r w:rsidR="005F5DC1">
        <w:rPr>
          <w:rFonts w:hint="cs"/>
          <w:rtl/>
        </w:rPr>
        <w:t xml:space="preserve">بنابر اینکه علم اجمالی به کذب، و ترخیص در مخالفت، علت سقوط از حجیت نباشد، منشا تساقط در مدلول التزامی فقط </w:t>
      </w:r>
      <w:r w:rsidRPr="003E4BB1">
        <w:rPr>
          <w:rFonts w:hint="cs"/>
          <w:rtl/>
        </w:rPr>
        <w:t xml:space="preserve">تعارض </w:t>
      </w:r>
      <w:r w:rsidR="005F5DC1">
        <w:rPr>
          <w:rFonts w:hint="cs"/>
          <w:rtl/>
        </w:rPr>
        <w:t xml:space="preserve">آن </w:t>
      </w:r>
      <w:r w:rsidR="003E4BB1">
        <w:rPr>
          <w:rFonts w:hint="cs"/>
          <w:rtl/>
        </w:rPr>
        <w:t xml:space="preserve">است که این تعارض </w:t>
      </w:r>
      <w:r w:rsidRPr="003E4BB1">
        <w:rPr>
          <w:rFonts w:hint="cs"/>
          <w:rtl/>
        </w:rPr>
        <w:t xml:space="preserve">بین مدلول التزامی و مطابقی </w:t>
      </w:r>
      <w:r w:rsidR="005F5DC1">
        <w:rPr>
          <w:rFonts w:hint="cs"/>
          <w:rtl/>
        </w:rPr>
        <w:t xml:space="preserve">نیز </w:t>
      </w:r>
      <w:r w:rsidRPr="003E4BB1">
        <w:rPr>
          <w:rFonts w:hint="cs"/>
          <w:rtl/>
        </w:rPr>
        <w:t xml:space="preserve">در عرض تعارض بین دو </w:t>
      </w:r>
      <w:r>
        <w:rPr>
          <w:rFonts w:hint="cs"/>
          <w:rtl/>
        </w:rPr>
        <w:t xml:space="preserve">مدلول التزامی </w:t>
      </w:r>
      <w:r w:rsidR="005F5DC1">
        <w:rPr>
          <w:rFonts w:hint="cs"/>
          <w:rtl/>
        </w:rPr>
        <w:t>وجود دارد و لذا تقدیم تعارض در مدلول التزامی بر تعارض مدلول التزامی با مطابقی وجهی ندارد.</w:t>
      </w:r>
    </w:p>
    <w:p w:rsidR="003158BF" w:rsidRDefault="003158BF" w:rsidP="005F5DC1">
      <w:r>
        <w:rPr>
          <w:rFonts w:hint="cs"/>
          <w:rtl/>
        </w:rPr>
        <w:t>در این بیان تعارض دو مدلول التزامی علت سقوط مدالیل التزامی دانسته شده در حالیکه در بیان ما دلیل تساقط در مدلول التزامی، تعارض نمی باشد</w:t>
      </w:r>
    </w:p>
    <w:p w:rsidR="00B67E5E" w:rsidRDefault="00B67E5E" w:rsidP="00B67E5E">
      <w:pPr>
        <w:pStyle w:val="Heading2"/>
        <w:rPr>
          <w:rFonts w:hint="cs"/>
          <w:rtl/>
        </w:rPr>
      </w:pPr>
      <w:r>
        <w:rPr>
          <w:rFonts w:hint="cs"/>
          <w:rtl/>
        </w:rPr>
        <w:lastRenderedPageBreak/>
        <w:t>مناقشه استاد در این اشکال</w:t>
      </w:r>
    </w:p>
    <w:p w:rsidR="008420D9" w:rsidRDefault="008420D9" w:rsidP="003158BF">
      <w:pPr>
        <w:rPr>
          <w:rtl/>
        </w:rPr>
      </w:pPr>
      <w:r>
        <w:rPr>
          <w:rFonts w:hint="cs"/>
          <w:rtl/>
        </w:rPr>
        <w:t xml:space="preserve">این اشکال را مرحوم شاهرودی هم </w:t>
      </w:r>
      <w:r w:rsidR="003158BF">
        <w:rPr>
          <w:rFonts w:hint="cs"/>
          <w:rtl/>
        </w:rPr>
        <w:t xml:space="preserve">در اضواء </w:t>
      </w:r>
      <w:r w:rsidR="009426B0">
        <w:rPr>
          <w:rFonts w:hint="cs"/>
          <w:rtl/>
        </w:rPr>
        <w:t xml:space="preserve">نیز </w:t>
      </w:r>
      <w:r w:rsidR="009426B0">
        <w:rPr>
          <w:rStyle w:val="FootnoteReference"/>
          <w:rtl/>
        </w:rPr>
        <w:footnoteReference w:id="2"/>
      </w:r>
      <w:r>
        <w:rPr>
          <w:rFonts w:hint="cs"/>
          <w:rtl/>
        </w:rPr>
        <w:t xml:space="preserve">فرموده اند ولی </w:t>
      </w:r>
      <w:r w:rsidR="003158BF">
        <w:rPr>
          <w:rFonts w:hint="cs"/>
          <w:rtl/>
        </w:rPr>
        <w:t xml:space="preserve">این اشکال </w:t>
      </w:r>
      <w:r>
        <w:rPr>
          <w:rFonts w:hint="cs"/>
          <w:rtl/>
        </w:rPr>
        <w:t>صحیح نیست</w:t>
      </w:r>
      <w:r w:rsidR="003158BF">
        <w:rPr>
          <w:rFonts w:hint="cs"/>
          <w:rtl/>
        </w:rPr>
        <w:t>؛</w:t>
      </w:r>
      <w:r>
        <w:rPr>
          <w:rFonts w:hint="cs"/>
          <w:rtl/>
        </w:rPr>
        <w:t xml:space="preserve"> زیرا سقوط حجیت دو مدلول التزامی به جهت تعارض نبوده تا اینکه ادعا شود تعارض هر مدلول التزامی با مدلول مطابقی دیگر به نحو تناقض، در عرض این تعارض است بلکه دلیل سقوط حجیت دو مدلول التزامی این است که یکی از آنها مخالف علم به تکلیف و موجب ترخیص در مخالفت با تکل</w:t>
      </w:r>
      <w:r w:rsidR="003158BF">
        <w:rPr>
          <w:rFonts w:hint="cs"/>
          <w:rtl/>
        </w:rPr>
        <w:t xml:space="preserve">یف معلوم است و </w:t>
      </w:r>
      <w:r w:rsidR="003812BF">
        <w:rPr>
          <w:rFonts w:hint="cs"/>
          <w:rtl/>
        </w:rPr>
        <w:t xml:space="preserve">نسبت به </w:t>
      </w:r>
      <w:r w:rsidR="003158BF">
        <w:rPr>
          <w:rFonts w:hint="cs"/>
          <w:rtl/>
        </w:rPr>
        <w:t>دیگری نیز به موجب علم خارجی،</w:t>
      </w:r>
      <w:r>
        <w:rPr>
          <w:rFonts w:hint="cs"/>
          <w:rtl/>
        </w:rPr>
        <w:t xml:space="preserve"> قطع و علم داریم بنابراین هیچ یک از مدالیل التزامی حجت نخواهند بود.</w:t>
      </w:r>
    </w:p>
    <w:p w:rsidR="003812BF" w:rsidRDefault="003812BF" w:rsidP="003158BF">
      <w:pPr>
        <w:rPr>
          <w:rtl/>
        </w:rPr>
      </w:pPr>
      <w:r>
        <w:rPr>
          <w:rFonts w:hint="cs"/>
          <w:rtl/>
        </w:rPr>
        <w:t>این بیان از سقوط مدلول التزامی در تقریرات مرحوم هاشمی ذکر شده و اینکه ایشان دلیل سقوط مدلول التزامی را تعارض دانسته اند با آنچه در تقریراتشان از مرحوم صدر ذکر نموده اند منافات دارد.</w:t>
      </w:r>
    </w:p>
    <w:p w:rsidR="008420D9" w:rsidRPr="006162A2" w:rsidRDefault="008420D9" w:rsidP="008420D9">
      <w:pPr>
        <w:rPr>
          <w:rtl/>
        </w:rPr>
      </w:pPr>
    </w:p>
    <w:sectPr w:rsidR="008420D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746" w:rsidRDefault="00FB4746" w:rsidP="008B750B">
      <w:pPr>
        <w:spacing w:line="240" w:lineRule="auto"/>
      </w:pPr>
      <w:r>
        <w:separator/>
      </w:r>
    </w:p>
  </w:endnote>
  <w:endnote w:type="continuationSeparator" w:id="0">
    <w:p w:rsidR="00FB4746" w:rsidRDefault="00FB474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5E" w:rsidRDefault="00B67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B67E5E" w:rsidRPr="006D44C1" w:rsidTr="0020241A">
      <w:tc>
        <w:tcPr>
          <w:tcW w:w="3382" w:type="dxa"/>
          <w:tcBorders>
            <w:top w:val="nil"/>
            <w:left w:val="nil"/>
            <w:bottom w:val="nil"/>
            <w:right w:val="nil"/>
          </w:tcBorders>
        </w:tcPr>
        <w:p w:rsidR="00B67E5E" w:rsidRDefault="00B67E5E"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B67E5E" w:rsidRDefault="00B67E5E" w:rsidP="006D44C1">
          <w:pPr>
            <w:pStyle w:val="Footer"/>
            <w:jc w:val="right"/>
            <w:rPr>
              <w:rtl/>
            </w:rPr>
          </w:pPr>
          <w:r>
            <w:rPr>
              <w:rFonts w:hint="cs"/>
              <w:rtl/>
            </w:rPr>
            <w:t xml:space="preserve">صفحه </w:t>
          </w:r>
          <w:r>
            <w:fldChar w:fldCharType="begin"/>
          </w:r>
          <w:r>
            <w:instrText>PAGE   \* MERGEFORMAT</w:instrText>
          </w:r>
          <w:r>
            <w:fldChar w:fldCharType="separate"/>
          </w:r>
          <w:r w:rsidR="00F20BF6" w:rsidRPr="00F20BF6">
            <w:rPr>
              <w:noProof/>
              <w:rtl/>
              <w:lang w:val="fa-IR"/>
            </w:rPr>
            <w:t>2</w:t>
          </w:r>
          <w:r>
            <w:rPr>
              <w:noProof/>
            </w:rPr>
            <w:fldChar w:fldCharType="end"/>
          </w:r>
        </w:p>
      </w:tc>
      <w:tc>
        <w:tcPr>
          <w:tcW w:w="4786" w:type="dxa"/>
          <w:tcBorders>
            <w:top w:val="nil"/>
            <w:left w:val="nil"/>
            <w:bottom w:val="nil"/>
            <w:right w:val="nil"/>
          </w:tcBorders>
          <w:vAlign w:val="center"/>
        </w:tcPr>
        <w:p w:rsidR="00B67E5E" w:rsidRPr="006D44C1" w:rsidRDefault="00B67E5E" w:rsidP="001B6799">
          <w:pPr>
            <w:pStyle w:val="Footer"/>
            <w:bidi w:val="0"/>
            <w:rPr>
              <w:color w:val="808080" w:themeColor="background1" w:themeShade="80"/>
              <w:rtl/>
            </w:rPr>
          </w:pPr>
          <w:bookmarkStart w:id="11" w:name="BokAdres"/>
          <w:bookmarkEnd w:id="11"/>
          <w:r>
            <w:rPr>
              <w:color w:val="808080" w:themeColor="background1" w:themeShade="80"/>
            </w:rPr>
            <w:t>U1mq1_13971124-079_hs2_mfeb.ir</w:t>
          </w:r>
        </w:p>
      </w:tc>
    </w:tr>
  </w:tbl>
  <w:p w:rsidR="00B67E5E" w:rsidRDefault="00B67E5E"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5E" w:rsidRDefault="00B67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746" w:rsidRDefault="00FB4746" w:rsidP="008B750B">
      <w:pPr>
        <w:spacing w:line="240" w:lineRule="auto"/>
      </w:pPr>
      <w:r>
        <w:separator/>
      </w:r>
    </w:p>
  </w:footnote>
  <w:footnote w:type="continuationSeparator" w:id="0">
    <w:p w:rsidR="00FB4746" w:rsidRDefault="00FB4746" w:rsidP="008B750B">
      <w:pPr>
        <w:spacing w:line="240" w:lineRule="auto"/>
      </w:pPr>
      <w:r>
        <w:continuationSeparator/>
      </w:r>
    </w:p>
  </w:footnote>
  <w:footnote w:id="1">
    <w:p w:rsidR="00B67E5E" w:rsidRDefault="00B67E5E">
      <w:pPr>
        <w:pStyle w:val="FootnoteText"/>
      </w:pPr>
      <w:r>
        <w:rPr>
          <w:rStyle w:val="FootnoteReference"/>
        </w:rPr>
        <w:footnoteRef/>
      </w:r>
      <w:r>
        <w:rPr>
          <w:rtl/>
        </w:rPr>
        <w:t xml:space="preserve"> </w:t>
      </w:r>
      <w:r>
        <w:rPr>
          <w:rFonts w:hint="cs"/>
          <w:rtl/>
        </w:rPr>
        <w:t>مباحث الاصول ج 5 ص 618</w:t>
      </w:r>
    </w:p>
  </w:footnote>
  <w:footnote w:id="2">
    <w:p w:rsidR="00B67E5E" w:rsidRPr="009426B0" w:rsidRDefault="00B67E5E" w:rsidP="009426B0">
      <w:pPr>
        <w:pStyle w:val="FootnoteText"/>
      </w:pPr>
      <w:r w:rsidRPr="009426B0">
        <w:footnoteRef/>
      </w:r>
      <w:r w:rsidRPr="009426B0">
        <w:rPr>
          <w:rtl/>
        </w:rPr>
        <w:t xml:space="preserve"> </w:t>
      </w:r>
      <w:hyperlink r:id="rId1" w:history="1">
        <w:r w:rsidRPr="009426B0">
          <w:rPr>
            <w:rStyle w:val="Hyperlink"/>
            <w:rFonts w:hint="eastAsia"/>
            <w:rtl/>
          </w:rPr>
          <w:t>أضواء</w:t>
        </w:r>
        <w:r w:rsidRPr="009426B0">
          <w:rPr>
            <w:rStyle w:val="Hyperlink"/>
            <w:rtl/>
          </w:rPr>
          <w:t xml:space="preserve"> وآراء، الس</w:t>
        </w:r>
        <w:r w:rsidRPr="009426B0">
          <w:rPr>
            <w:rStyle w:val="Hyperlink"/>
            <w:rFonts w:hint="cs"/>
            <w:rtl/>
          </w:rPr>
          <w:t>ی</w:t>
        </w:r>
        <w:r w:rsidRPr="009426B0">
          <w:rPr>
            <w:rStyle w:val="Hyperlink"/>
            <w:rFonts w:hint="eastAsia"/>
            <w:rtl/>
          </w:rPr>
          <w:t>د</w:t>
        </w:r>
        <w:r w:rsidRPr="009426B0">
          <w:rPr>
            <w:rStyle w:val="Hyperlink"/>
            <w:rtl/>
          </w:rPr>
          <w:t xml:space="preserve"> محمود الهاشم</w:t>
        </w:r>
        <w:r w:rsidRPr="009426B0">
          <w:rPr>
            <w:rStyle w:val="Hyperlink"/>
            <w:rFonts w:hint="cs"/>
            <w:rtl/>
          </w:rPr>
          <w:t>ی</w:t>
        </w:r>
        <w:r w:rsidRPr="009426B0">
          <w:rPr>
            <w:rStyle w:val="Hyperlink"/>
            <w:rtl/>
          </w:rPr>
          <w:t xml:space="preserve"> الشاهرود</w:t>
        </w:r>
        <w:r w:rsidRPr="009426B0">
          <w:rPr>
            <w:rStyle w:val="Hyperlink"/>
            <w:rFonts w:hint="cs"/>
            <w:rtl/>
          </w:rPr>
          <w:t>ی</w:t>
        </w:r>
        <w:r w:rsidRPr="009426B0">
          <w:rPr>
            <w:rStyle w:val="Hyperlink"/>
            <w:rFonts w:hint="eastAsia"/>
            <w:rtl/>
          </w:rPr>
          <w:t>،</w:t>
        </w:r>
        <w:r w:rsidRPr="009426B0">
          <w:rPr>
            <w:rStyle w:val="Hyperlink"/>
            <w:rtl/>
          </w:rPr>
          <w:t xml:space="preserve"> ج3، ص442.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5E" w:rsidRDefault="00B67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5E" w:rsidRPr="001D2E9A" w:rsidRDefault="00B67E5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4" w:name="BokNum"/>
    <w:bookmarkEnd w:id="4"/>
    <w:r>
      <w:rPr>
        <w:b/>
        <w:bCs/>
        <w:sz w:val="20"/>
        <w:szCs w:val="24"/>
        <w:rtl/>
      </w:rPr>
      <w:t>079</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7" w:name="BokTarikh"/>
    <w:bookmarkEnd w:id="7"/>
    <w:r>
      <w:rPr>
        <w:sz w:val="24"/>
        <w:szCs w:val="24"/>
        <w:rtl/>
      </w:rPr>
      <w:t>24 /11 /1397</w:t>
    </w:r>
  </w:p>
  <w:p w:rsidR="00B67E5E" w:rsidRPr="00F16B53" w:rsidRDefault="00B67E5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8" w:name="BokSabj"/>
    <w:bookmarkEnd w:id="8"/>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9" w:name="Bokmoqarer"/>
    <w:bookmarkEnd w:id="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5E" w:rsidRDefault="00B67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7CF1"/>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2436"/>
    <w:rsid w:val="00307311"/>
    <w:rsid w:val="003158BF"/>
    <w:rsid w:val="0032100F"/>
    <w:rsid w:val="0033402C"/>
    <w:rsid w:val="00340521"/>
    <w:rsid w:val="00345C73"/>
    <w:rsid w:val="00354A99"/>
    <w:rsid w:val="00360311"/>
    <w:rsid w:val="00361922"/>
    <w:rsid w:val="0037339B"/>
    <w:rsid w:val="003812BF"/>
    <w:rsid w:val="00386C11"/>
    <w:rsid w:val="00397466"/>
    <w:rsid w:val="003A6148"/>
    <w:rsid w:val="003C33F6"/>
    <w:rsid w:val="003C3D2E"/>
    <w:rsid w:val="003C43A5"/>
    <w:rsid w:val="003E1C5C"/>
    <w:rsid w:val="003E4BB1"/>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D7ABF"/>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5DC1"/>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339F"/>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20D9"/>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D40"/>
    <w:rsid w:val="00923C34"/>
    <w:rsid w:val="00924152"/>
    <w:rsid w:val="0092513D"/>
    <w:rsid w:val="00927A9F"/>
    <w:rsid w:val="009335CC"/>
    <w:rsid w:val="00935A55"/>
    <w:rsid w:val="00941CEB"/>
    <w:rsid w:val="009426B0"/>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3253"/>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7E5E"/>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204C"/>
    <w:rsid w:val="00C91EB6"/>
    <w:rsid w:val="00CA10B0"/>
    <w:rsid w:val="00CA2916"/>
    <w:rsid w:val="00CA2F8E"/>
    <w:rsid w:val="00CA3EE2"/>
    <w:rsid w:val="00CA55A0"/>
    <w:rsid w:val="00CA7FD5"/>
    <w:rsid w:val="00CB3287"/>
    <w:rsid w:val="00CB33E2"/>
    <w:rsid w:val="00CB4E68"/>
    <w:rsid w:val="00CC2733"/>
    <w:rsid w:val="00CC683B"/>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BF6"/>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4746"/>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8A197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716/3/442/&#1575;&#1604;&#1591;&#1608;&#1604;&#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A22DE-BFED-4453-989C-ED2FD79D5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210</TotalTime>
  <Pages>3</Pages>
  <Words>630</Words>
  <Characters>3592</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12</cp:revision>
  <dcterms:created xsi:type="dcterms:W3CDTF">2019-02-13T06:55:00Z</dcterms:created>
  <dcterms:modified xsi:type="dcterms:W3CDTF">2019-02-13T19:12:00Z</dcterms:modified>
  <cp:contentStatus>ویرایش 2.5</cp:contentStatus>
  <cp:version>2.7</cp:version>
</cp:coreProperties>
</file>