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D9C" w:rsidRDefault="00483D9C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713258" w:history="1">
        <w:r w:rsidRPr="00494FF7">
          <w:rPr>
            <w:rStyle w:val="Hyperlink"/>
            <w:noProof/>
            <w:rtl/>
          </w:rPr>
          <w:t>مرحوم اصفهان</w:t>
        </w:r>
        <w:r w:rsidRPr="00494FF7">
          <w:rPr>
            <w:rStyle w:val="Hyperlink"/>
            <w:rFonts w:hint="cs"/>
            <w:noProof/>
            <w:rtl/>
          </w:rPr>
          <w:t>ی</w:t>
        </w:r>
        <w:r w:rsidRPr="00494FF7">
          <w:rPr>
            <w:rStyle w:val="Hyperlink"/>
            <w:noProof/>
            <w:rtl/>
          </w:rPr>
          <w:t xml:space="preserve"> : مناقشه در مفاد ادله اعتبار اماره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Toc527713258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483D9C" w:rsidRDefault="00FD1D47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259" w:history="1">
        <w:r w:rsidR="00483D9C" w:rsidRPr="00494FF7">
          <w:rPr>
            <w:rStyle w:val="Hyperlink"/>
            <w:noProof/>
            <w:rtl/>
          </w:rPr>
          <w:t>نقد : نبود شارح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rFonts w:hint="eastAsia"/>
            <w:noProof/>
            <w:rtl/>
          </w:rPr>
          <w:t>ت</w:t>
        </w:r>
        <w:r w:rsidR="00483D9C" w:rsidRPr="00494FF7">
          <w:rPr>
            <w:rStyle w:val="Hyperlink"/>
            <w:noProof/>
            <w:rtl/>
          </w:rPr>
          <w:t xml:space="preserve"> حت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noProof/>
            <w:rtl/>
          </w:rPr>
          <w:t xml:space="preserve"> در مبنا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noProof/>
            <w:rtl/>
          </w:rPr>
          <w:t xml:space="preserve"> تتم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rFonts w:hint="eastAsia"/>
            <w:noProof/>
            <w:rtl/>
          </w:rPr>
          <w:t>م</w:t>
        </w:r>
        <w:r w:rsidR="00483D9C" w:rsidRPr="00494FF7">
          <w:rPr>
            <w:rStyle w:val="Hyperlink"/>
            <w:noProof/>
            <w:rtl/>
          </w:rPr>
          <w:t xml:space="preserve"> کشف</w:t>
        </w:r>
        <w:r w:rsidR="00483D9C">
          <w:rPr>
            <w:noProof/>
            <w:webHidden/>
            <w:rtl/>
          </w:rPr>
          <w:tab/>
        </w:r>
        <w:r w:rsidR="00483D9C">
          <w:rPr>
            <w:rStyle w:val="Hyperlink"/>
            <w:noProof/>
            <w:rtl/>
          </w:rPr>
          <w:fldChar w:fldCharType="begin"/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noProof/>
            <w:webHidden/>
          </w:rPr>
          <w:instrText>PAGEREF</w:instrText>
        </w:r>
        <w:r w:rsidR="00483D9C">
          <w:rPr>
            <w:noProof/>
            <w:webHidden/>
            <w:rtl/>
          </w:rPr>
          <w:instrText xml:space="preserve"> _</w:instrText>
        </w:r>
        <w:r w:rsidR="00483D9C">
          <w:rPr>
            <w:noProof/>
            <w:webHidden/>
          </w:rPr>
          <w:instrText>Toc527713259 \h</w:instrText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rStyle w:val="Hyperlink"/>
            <w:noProof/>
            <w:rtl/>
          </w:rPr>
        </w:r>
        <w:r w:rsidR="00483D9C">
          <w:rPr>
            <w:rStyle w:val="Hyperlink"/>
            <w:noProof/>
            <w:rtl/>
          </w:rPr>
          <w:fldChar w:fldCharType="separate"/>
        </w:r>
        <w:r w:rsidR="00483D9C">
          <w:rPr>
            <w:noProof/>
            <w:webHidden/>
            <w:rtl/>
          </w:rPr>
          <w:t>2</w:t>
        </w:r>
        <w:r w:rsidR="00483D9C">
          <w:rPr>
            <w:rStyle w:val="Hyperlink"/>
            <w:noProof/>
            <w:rtl/>
          </w:rPr>
          <w:fldChar w:fldCharType="end"/>
        </w:r>
      </w:hyperlink>
    </w:p>
    <w:p w:rsidR="00483D9C" w:rsidRDefault="00FD1D47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260" w:history="1">
        <w:r w:rsidR="00483D9C" w:rsidRPr="00494FF7">
          <w:rPr>
            <w:rStyle w:val="Hyperlink"/>
            <w:noProof/>
            <w:rtl/>
          </w:rPr>
          <w:t>کنا</w:t>
        </w:r>
        <w:r w:rsidR="00483D9C" w:rsidRPr="00494FF7">
          <w:rPr>
            <w:rStyle w:val="Hyperlink"/>
            <w:rFonts w:hint="cs"/>
            <w:noProof/>
            <w:rtl/>
          </w:rPr>
          <w:t>یی</w:t>
        </w:r>
        <w:r w:rsidR="00483D9C" w:rsidRPr="00494FF7">
          <w:rPr>
            <w:rStyle w:val="Hyperlink"/>
            <w:noProof/>
            <w:rtl/>
          </w:rPr>
          <w:t xml:space="preserve"> بودن تتم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rFonts w:hint="eastAsia"/>
            <w:noProof/>
            <w:rtl/>
          </w:rPr>
          <w:t>م</w:t>
        </w:r>
        <w:r w:rsidR="00483D9C" w:rsidRPr="00494FF7">
          <w:rPr>
            <w:rStyle w:val="Hyperlink"/>
            <w:noProof/>
            <w:rtl/>
          </w:rPr>
          <w:t xml:space="preserve"> کشف از وجوب عمل</w:t>
        </w:r>
        <w:r w:rsidR="00483D9C">
          <w:rPr>
            <w:noProof/>
            <w:webHidden/>
            <w:rtl/>
          </w:rPr>
          <w:tab/>
        </w:r>
        <w:r w:rsidR="00483D9C">
          <w:rPr>
            <w:rStyle w:val="Hyperlink"/>
            <w:noProof/>
            <w:rtl/>
          </w:rPr>
          <w:fldChar w:fldCharType="begin"/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noProof/>
            <w:webHidden/>
          </w:rPr>
          <w:instrText>PAGEREF</w:instrText>
        </w:r>
        <w:r w:rsidR="00483D9C">
          <w:rPr>
            <w:noProof/>
            <w:webHidden/>
            <w:rtl/>
          </w:rPr>
          <w:instrText xml:space="preserve"> _</w:instrText>
        </w:r>
        <w:r w:rsidR="00483D9C">
          <w:rPr>
            <w:noProof/>
            <w:webHidden/>
          </w:rPr>
          <w:instrText>Toc527713260 \h</w:instrText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rStyle w:val="Hyperlink"/>
            <w:noProof/>
            <w:rtl/>
          </w:rPr>
        </w:r>
        <w:r w:rsidR="00483D9C">
          <w:rPr>
            <w:rStyle w:val="Hyperlink"/>
            <w:noProof/>
            <w:rtl/>
          </w:rPr>
          <w:fldChar w:fldCharType="separate"/>
        </w:r>
        <w:r w:rsidR="00483D9C">
          <w:rPr>
            <w:noProof/>
            <w:webHidden/>
            <w:rtl/>
          </w:rPr>
          <w:t>2</w:t>
        </w:r>
        <w:r w:rsidR="00483D9C">
          <w:rPr>
            <w:rStyle w:val="Hyperlink"/>
            <w:noProof/>
            <w:rtl/>
          </w:rPr>
          <w:fldChar w:fldCharType="end"/>
        </w:r>
      </w:hyperlink>
    </w:p>
    <w:p w:rsidR="00483D9C" w:rsidRDefault="00FD1D47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261" w:history="1">
        <w:r w:rsidR="00483D9C" w:rsidRPr="00494FF7">
          <w:rPr>
            <w:rStyle w:val="Hyperlink"/>
            <w:noProof/>
            <w:rtl/>
          </w:rPr>
          <w:t>تفاوت خطاب « أنت عالم » با خطاب « لا شکّ لمن کثر شکّه »</w:t>
        </w:r>
        <w:r w:rsidR="00483D9C">
          <w:rPr>
            <w:noProof/>
            <w:webHidden/>
            <w:rtl/>
          </w:rPr>
          <w:tab/>
        </w:r>
        <w:r w:rsidR="00483D9C">
          <w:rPr>
            <w:rStyle w:val="Hyperlink"/>
            <w:noProof/>
            <w:rtl/>
          </w:rPr>
          <w:fldChar w:fldCharType="begin"/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noProof/>
            <w:webHidden/>
          </w:rPr>
          <w:instrText>PAGEREF</w:instrText>
        </w:r>
        <w:r w:rsidR="00483D9C">
          <w:rPr>
            <w:noProof/>
            <w:webHidden/>
            <w:rtl/>
          </w:rPr>
          <w:instrText xml:space="preserve"> _</w:instrText>
        </w:r>
        <w:r w:rsidR="00483D9C">
          <w:rPr>
            <w:noProof/>
            <w:webHidden/>
          </w:rPr>
          <w:instrText>Toc527713261 \h</w:instrText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rStyle w:val="Hyperlink"/>
            <w:noProof/>
            <w:rtl/>
          </w:rPr>
        </w:r>
        <w:r w:rsidR="00483D9C">
          <w:rPr>
            <w:rStyle w:val="Hyperlink"/>
            <w:noProof/>
            <w:rtl/>
          </w:rPr>
          <w:fldChar w:fldCharType="separate"/>
        </w:r>
        <w:r w:rsidR="00483D9C">
          <w:rPr>
            <w:noProof/>
            <w:webHidden/>
            <w:rtl/>
          </w:rPr>
          <w:t>2</w:t>
        </w:r>
        <w:r w:rsidR="00483D9C">
          <w:rPr>
            <w:rStyle w:val="Hyperlink"/>
            <w:noProof/>
            <w:rtl/>
          </w:rPr>
          <w:fldChar w:fldCharType="end"/>
        </w:r>
      </w:hyperlink>
    </w:p>
    <w:p w:rsidR="00483D9C" w:rsidRDefault="00FD1D47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262" w:history="1">
        <w:r w:rsidR="00483D9C" w:rsidRPr="00494FF7">
          <w:rPr>
            <w:rStyle w:val="Hyperlink"/>
            <w:noProof/>
            <w:rtl/>
          </w:rPr>
          <w:t>مبنا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noProof/>
            <w:rtl/>
          </w:rPr>
          <w:t xml:space="preserve"> مختار : شارح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rFonts w:hint="eastAsia"/>
            <w:noProof/>
            <w:rtl/>
          </w:rPr>
          <w:t>ت</w:t>
        </w:r>
        <w:r w:rsidR="00483D9C" w:rsidRPr="00494FF7">
          <w:rPr>
            <w:rStyle w:val="Hyperlink"/>
            <w:noProof/>
            <w:rtl/>
          </w:rPr>
          <w:t xml:space="preserve"> حکومت نسبت به مراد جد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>
          <w:rPr>
            <w:noProof/>
            <w:webHidden/>
            <w:rtl/>
          </w:rPr>
          <w:tab/>
        </w:r>
        <w:r w:rsidR="00483D9C">
          <w:rPr>
            <w:rStyle w:val="Hyperlink"/>
            <w:noProof/>
            <w:rtl/>
          </w:rPr>
          <w:fldChar w:fldCharType="begin"/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noProof/>
            <w:webHidden/>
          </w:rPr>
          <w:instrText>PAGEREF</w:instrText>
        </w:r>
        <w:r w:rsidR="00483D9C">
          <w:rPr>
            <w:noProof/>
            <w:webHidden/>
            <w:rtl/>
          </w:rPr>
          <w:instrText xml:space="preserve"> _</w:instrText>
        </w:r>
        <w:r w:rsidR="00483D9C">
          <w:rPr>
            <w:noProof/>
            <w:webHidden/>
          </w:rPr>
          <w:instrText>Toc527713262 \h</w:instrText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rStyle w:val="Hyperlink"/>
            <w:noProof/>
            <w:rtl/>
          </w:rPr>
        </w:r>
        <w:r w:rsidR="00483D9C">
          <w:rPr>
            <w:rStyle w:val="Hyperlink"/>
            <w:noProof/>
            <w:rtl/>
          </w:rPr>
          <w:fldChar w:fldCharType="separate"/>
        </w:r>
        <w:r w:rsidR="00483D9C">
          <w:rPr>
            <w:noProof/>
            <w:webHidden/>
            <w:rtl/>
          </w:rPr>
          <w:t>3</w:t>
        </w:r>
        <w:r w:rsidR="00483D9C">
          <w:rPr>
            <w:rStyle w:val="Hyperlink"/>
            <w:noProof/>
            <w:rtl/>
          </w:rPr>
          <w:fldChar w:fldCharType="end"/>
        </w:r>
      </w:hyperlink>
    </w:p>
    <w:p w:rsidR="00483D9C" w:rsidRDefault="00FD1D47" w:rsidP="00483D9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263" w:history="1">
        <w:r w:rsidR="00483D9C" w:rsidRPr="00494FF7">
          <w:rPr>
            <w:rStyle w:val="Hyperlink"/>
            <w:noProof/>
            <w:rtl/>
          </w:rPr>
          <w:t>تفاوت حاکم و خاصّ مطابق مبنا</w:t>
        </w:r>
        <w:r w:rsidR="00483D9C" w:rsidRPr="00494FF7">
          <w:rPr>
            <w:rStyle w:val="Hyperlink"/>
            <w:rFonts w:hint="cs"/>
            <w:noProof/>
            <w:rtl/>
          </w:rPr>
          <w:t>ی</w:t>
        </w:r>
        <w:r w:rsidR="00483D9C" w:rsidRPr="00494FF7">
          <w:rPr>
            <w:rStyle w:val="Hyperlink"/>
            <w:noProof/>
            <w:rtl/>
          </w:rPr>
          <w:t xml:space="preserve"> مختار</w:t>
        </w:r>
        <w:r w:rsidR="00483D9C">
          <w:rPr>
            <w:noProof/>
            <w:webHidden/>
            <w:rtl/>
          </w:rPr>
          <w:tab/>
        </w:r>
        <w:r w:rsidR="00483D9C">
          <w:rPr>
            <w:rStyle w:val="Hyperlink"/>
            <w:noProof/>
            <w:rtl/>
          </w:rPr>
          <w:fldChar w:fldCharType="begin"/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noProof/>
            <w:webHidden/>
          </w:rPr>
          <w:instrText>PAGEREF</w:instrText>
        </w:r>
        <w:r w:rsidR="00483D9C">
          <w:rPr>
            <w:noProof/>
            <w:webHidden/>
            <w:rtl/>
          </w:rPr>
          <w:instrText xml:space="preserve"> _</w:instrText>
        </w:r>
        <w:r w:rsidR="00483D9C">
          <w:rPr>
            <w:noProof/>
            <w:webHidden/>
          </w:rPr>
          <w:instrText>Toc527713263 \h</w:instrText>
        </w:r>
        <w:r w:rsidR="00483D9C">
          <w:rPr>
            <w:noProof/>
            <w:webHidden/>
            <w:rtl/>
          </w:rPr>
          <w:instrText xml:space="preserve"> </w:instrText>
        </w:r>
        <w:r w:rsidR="00483D9C">
          <w:rPr>
            <w:rStyle w:val="Hyperlink"/>
            <w:noProof/>
            <w:rtl/>
          </w:rPr>
        </w:r>
        <w:r w:rsidR="00483D9C">
          <w:rPr>
            <w:rStyle w:val="Hyperlink"/>
            <w:noProof/>
            <w:rtl/>
          </w:rPr>
          <w:fldChar w:fldCharType="separate"/>
        </w:r>
        <w:r w:rsidR="00483D9C">
          <w:rPr>
            <w:noProof/>
            <w:webHidden/>
            <w:rtl/>
          </w:rPr>
          <w:t>3</w:t>
        </w:r>
        <w:r w:rsidR="00483D9C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483D9C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50CA1">
        <w:rPr>
          <w:rtl/>
        </w:rPr>
        <w:t>حکومت امارات بر اصول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E50CA1">
        <w:rPr>
          <w:rtl/>
        </w:rPr>
        <w:t>تعارض غ</w:t>
      </w:r>
      <w:r w:rsidR="00E50CA1">
        <w:rPr>
          <w:rFonts w:hint="cs"/>
          <w:rtl/>
        </w:rPr>
        <w:t>ی</w:t>
      </w:r>
      <w:r w:rsidR="00E50CA1">
        <w:rPr>
          <w:rFonts w:hint="eastAsia"/>
          <w:rtl/>
        </w:rPr>
        <w:t>ر</w:t>
      </w:r>
      <w:r w:rsidR="00E50CA1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E50CA1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C2D30" w:rsidP="008C2D30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</w:t>
      </w:r>
      <w:r w:rsidRPr="00AF7088">
        <w:rPr>
          <w:rFonts w:hint="cs"/>
          <w:rtl/>
        </w:rPr>
        <w:t>برآیند عبارات کفایه ، نفی تعارض مستقرّ در موارد حکومت ، توفیق و جمع عرفی شد . مرحوم آخوند البته در ضمن این کلمات متعرّض وجه تقدیم امارات بر اصول عملیه نقلی شدند و فرمودن</w:t>
      </w:r>
      <w:r>
        <w:rPr>
          <w:rFonts w:hint="cs"/>
          <w:rtl/>
        </w:rPr>
        <w:t>د</w:t>
      </w:r>
      <w:r w:rsidRPr="00AF7088">
        <w:rPr>
          <w:rFonts w:hint="cs"/>
          <w:rtl/>
        </w:rPr>
        <w:t xml:space="preserve"> که دلیل آن ، توفیق عرفی است و نه حکومت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483D9C" w:rsidRPr="009835D5" w:rsidRDefault="00483D9C" w:rsidP="00483D9C">
      <w:pPr>
        <w:pStyle w:val="Heading1"/>
        <w:rPr>
          <w:rtl/>
        </w:rPr>
      </w:pPr>
      <w:bookmarkStart w:id="3" w:name="_Toc527153513"/>
      <w:bookmarkStart w:id="4" w:name="_Toc527713258"/>
      <w:r w:rsidRPr="009835D5">
        <w:rPr>
          <w:rFonts w:hint="cs"/>
          <w:rtl/>
        </w:rPr>
        <w:t>مرحوم اصفهانی : مناقشه در مفاد ادله اعتبار اماره</w:t>
      </w:r>
      <w:bookmarkEnd w:id="3"/>
      <w:bookmarkEnd w:id="4"/>
    </w:p>
    <w:p w:rsidR="00483D9C" w:rsidRPr="009835D5" w:rsidRDefault="00483D9C" w:rsidP="00483D9C">
      <w:pPr>
        <w:jc w:val="both"/>
        <w:rPr>
          <w:rFonts w:ascii="Traditional Arabic" w:hAnsi="Traditional Arabic"/>
          <w:rtl/>
        </w:rPr>
      </w:pPr>
      <w:r w:rsidRPr="009835D5">
        <w:rPr>
          <w:rFonts w:hint="cs"/>
          <w:rtl/>
        </w:rPr>
        <w:t xml:space="preserve">   مرحوم اصفهانی بعد از نقل کلام ایشان در تثبیت حکومت ادله اعتبار اماره بر اصول مطابق مبنای تتمیم کشف ، </w:t>
      </w:r>
      <w:r w:rsidRPr="009835D5">
        <w:rPr>
          <w:rFonts w:ascii="Traditional Arabic" w:hAnsi="Traditional Arabic" w:hint="cs"/>
          <w:rtl/>
        </w:rPr>
        <w:t xml:space="preserve">چند اشکال طرح و متصدّی تقریر حکومت به وجهی دیگر ، یعنی حکومت با نفی موضوع شده اند که همان حکومت مذکور در کلام مرحوم نایینی و خویی است . مطابق تقریر ایشان از کفایه مفاد دلیل اعتبار اماره ، جعل علمیت است که معنای آن الغاء احتمال خلاف به عنوان موضوع اصل می باشد و دلیل اصل هم مانند هر قضیه حقیقیه دیگر که متکفّل بیان احکام است ، نسبت به تحقّق یا عدم </w:t>
      </w:r>
      <w:r w:rsidR="00460007">
        <w:rPr>
          <w:rFonts w:ascii="Traditional Arabic" w:hAnsi="Traditional Arabic" w:hint="cs"/>
          <w:rtl/>
        </w:rPr>
        <w:t xml:space="preserve">تحقّق </w:t>
      </w:r>
      <w:r w:rsidRPr="009835D5">
        <w:rPr>
          <w:rFonts w:ascii="Traditional Arabic" w:hAnsi="Traditional Arabic" w:hint="cs"/>
          <w:rtl/>
        </w:rPr>
        <w:t>موضوع خود ساکت است ، بنابراین تنافی میان ایندو وجود ندارد . ایشان تصریح کرده اند تحقّق حکومت منحصر به شارحیت نیست .</w:t>
      </w:r>
    </w:p>
    <w:p w:rsidR="00483D9C" w:rsidRPr="009835D5" w:rsidRDefault="00483D9C" w:rsidP="00483D9C">
      <w:pPr>
        <w:jc w:val="both"/>
      </w:pPr>
      <w:r w:rsidRPr="009835D5">
        <w:rPr>
          <w:rFonts w:ascii="Traditional Arabic" w:hAnsi="Traditional Arabic" w:hint="cs"/>
          <w:rtl/>
        </w:rPr>
        <w:t xml:space="preserve">   اما نسبت به این تقریر عمده اشکال مرحوم اصفهانی آن است که در ادله اعتبار اماره ، دلیلی که لسان آن جعل علمیت باشد ، وجود ندارد . آن مواردی هم که توهم می شود چنین دلالتی دارند ، مانند « لا عذر لأحد من موالينا في‏ التشكيك‏ فيما يرويه عنا ثقاتنا</w:t>
      </w:r>
      <w:r w:rsidRPr="009835D5">
        <w:rPr>
          <w:rFonts w:hint="cs"/>
          <w:rtl/>
        </w:rPr>
        <w:t xml:space="preserve"> » ، محل مناقشه اند . به هر حال ایشان معضل اصیل را صغروی می دانند و پذیرفته اند که اگر اثباتا دلیلی وجود داشته باشد که مفاد آن جع</w:t>
      </w:r>
      <w:r w:rsidR="0066147B">
        <w:rPr>
          <w:rFonts w:hint="cs"/>
          <w:rtl/>
        </w:rPr>
        <w:t>ل علمیت برای اماره باشد ، امارات بر</w:t>
      </w:r>
      <w:r w:rsidRPr="009835D5">
        <w:rPr>
          <w:rFonts w:hint="cs"/>
          <w:rtl/>
        </w:rPr>
        <w:t xml:space="preserve"> اصول </w:t>
      </w:r>
      <w:r w:rsidR="0066147B">
        <w:rPr>
          <w:rFonts w:hint="cs"/>
          <w:rtl/>
        </w:rPr>
        <w:t>شرعی حاکمند</w:t>
      </w:r>
      <w:r w:rsidRPr="009835D5">
        <w:rPr>
          <w:rFonts w:hint="cs"/>
          <w:rtl/>
        </w:rPr>
        <w:t xml:space="preserve"> .</w:t>
      </w:r>
    </w:p>
    <w:p w:rsidR="00483D9C" w:rsidRPr="009835D5" w:rsidRDefault="00483D9C" w:rsidP="00483D9C">
      <w:pPr>
        <w:pStyle w:val="Heading1"/>
      </w:pPr>
      <w:bookmarkStart w:id="5" w:name="_Toc527153514"/>
      <w:bookmarkStart w:id="6" w:name="_Toc527713259"/>
      <w:r w:rsidRPr="009835D5">
        <w:rPr>
          <w:rFonts w:hint="cs"/>
          <w:rtl/>
        </w:rPr>
        <w:lastRenderedPageBreak/>
        <w:t>نقد : نبود شارحیت حتی در مبنای تتمیم کشف</w:t>
      </w:r>
      <w:bookmarkEnd w:id="5"/>
      <w:bookmarkEnd w:id="6"/>
    </w:p>
    <w:p w:rsidR="00483D9C" w:rsidRPr="009835D5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نسبت به قسمت دوم و تقریر خود ایشان که فرد دومی برای حکومت تصویر کردند ، بحث سابقا گذشت و بیان کردیم اگر این موارد ارجاع به شارحیت نداشته باشند ، که به نظر مرحوم اصفهانی ندارند ، ضابطه ی</w:t>
      </w:r>
      <w:r>
        <w:rPr>
          <w:rFonts w:eastAsia="Times New Roman" w:hint="cs"/>
          <w:rtl/>
        </w:rPr>
        <w:t xml:space="preserve"> </w:t>
      </w:r>
      <w:r w:rsidRPr="009835D5">
        <w:rPr>
          <w:rFonts w:eastAsia="Times New Roman" w:hint="cs"/>
          <w:rtl/>
        </w:rPr>
        <w:t>حکومت بر آن ها صدق نمی کند و نمی توان آن ها را مصداقی برای تحقّق این رابطه دانست .</w:t>
      </w:r>
    </w:p>
    <w:p w:rsidR="00483D9C" w:rsidRPr="009835D5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اما نسبت به قسمت ابتدایی کلام ایشان ، که تقریر بیان کفایه و پذیرش آن به نحو شرطیه بود</w:t>
      </w:r>
      <w:r w:rsidRPr="009835D5">
        <w:rPr>
          <w:rStyle w:val="FootnoteReference"/>
          <w:rFonts w:ascii="Tahoma" w:hAnsi="Tahoma" w:cs="B Lotus"/>
          <w:color w:val="000000"/>
          <w:sz w:val="28"/>
          <w:rtl/>
        </w:rPr>
        <w:footnoteReference w:id="1"/>
      </w:r>
      <w:r w:rsidRPr="009835D5">
        <w:rPr>
          <w:rFonts w:eastAsia="Times New Roman" w:hint="cs"/>
          <w:rtl/>
        </w:rPr>
        <w:t xml:space="preserve"> ما مناقشه داریم و معتقدیم مطابق مبنای مرحوم آخوند در مورد حکومت ، امارات نمی توانند حاکم بر اصول نقلی باشند حتی بنا بر پذیرش تتمیم کشف .</w:t>
      </w:r>
    </w:p>
    <w:p w:rsidR="00483D9C" w:rsidRPr="009835D5" w:rsidRDefault="00483D9C" w:rsidP="002A2609">
      <w:pPr>
        <w:jc w:val="both"/>
        <w:rPr>
          <w:rFonts w:eastAsia="Times New Roman"/>
        </w:rPr>
      </w:pPr>
      <w:r w:rsidRPr="009835D5">
        <w:rPr>
          <w:rFonts w:eastAsia="Times New Roman" w:hint="cs"/>
          <w:rtl/>
        </w:rPr>
        <w:t xml:space="preserve">   توضیح آن که اگر قوام حکومت به شارحیت باشد ، حتما مراد شارحیت بالفعل است یعنی شارح باید بالفعل ناظر به مشروحی باشد و لو اینکه آن مشروح در آینده صادر شود و یا حت</w:t>
      </w:r>
      <w:r w:rsidR="002A2609">
        <w:rPr>
          <w:rFonts w:eastAsia="Times New Roman" w:hint="cs"/>
          <w:rtl/>
        </w:rPr>
        <w:t>ی مستفاد از نفس دلیل شارح باشد ؛</w:t>
      </w:r>
      <w:r w:rsidRPr="009835D5">
        <w:rPr>
          <w:rFonts w:eastAsia="Times New Roman" w:hint="cs"/>
          <w:rtl/>
        </w:rPr>
        <w:t xml:space="preserve"> نه شارح اقتضایی و علی تقدیر وجود محکوم که مرحوم خویی و نایینی هم فرموده اند . و این ملاک بر مواردی که دلیل حاکم مستدعی وجود محکومی نیست ، صادق نمی باشد . محلّ بحث هم از دسته ی همین موارد است زیرا مفاد دلیل اعتبار در بهترین حالت آن است که خطاب شرعی بگوید « ألغِ احتمالَ الخلاف » و این لسان مستدعی وجود اصل عملی نیست و متقوّم به وجود آن نمی باشد ، همانگونه که خود مرحوم آخوند در حاشیه رسائل فرمودند که اگر تا روز قیامت خطاب « رفع ما لا یعلمون » صادر نشود ، حجیت اماره معقول است و فایده ی تامّ خود را مستقلّا می رساند .</w:t>
      </w:r>
      <w:r w:rsidR="002A2609">
        <w:rPr>
          <w:rStyle w:val="FootnoteReference"/>
          <w:rFonts w:eastAsia="Times New Roman"/>
          <w:rtl/>
        </w:rPr>
        <w:footnoteReference w:id="2"/>
      </w:r>
      <w:r w:rsidRPr="009835D5">
        <w:rPr>
          <w:rFonts w:eastAsia="Times New Roman" w:hint="cs"/>
          <w:rtl/>
        </w:rPr>
        <w:t xml:space="preserve"> لغویتی هم از صدور آن لازم نمی آید .</w:t>
      </w:r>
    </w:p>
    <w:p w:rsidR="00483D9C" w:rsidRPr="009835D5" w:rsidRDefault="00483D9C" w:rsidP="00483D9C">
      <w:pPr>
        <w:pStyle w:val="Heading1"/>
        <w:rPr>
          <w:rtl/>
        </w:rPr>
      </w:pPr>
      <w:bookmarkStart w:id="7" w:name="_Toc527153515"/>
      <w:bookmarkStart w:id="8" w:name="_Toc527713260"/>
      <w:r w:rsidRPr="009835D5">
        <w:rPr>
          <w:rFonts w:hint="cs"/>
          <w:rtl/>
        </w:rPr>
        <w:t>کنایی بودن تتمیم کشف از وجوب عمل</w:t>
      </w:r>
      <w:bookmarkEnd w:id="7"/>
      <w:bookmarkEnd w:id="8"/>
    </w:p>
    <w:p w:rsidR="00483D9C" w:rsidRPr="009835D5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سرّ مطلب هم آن است که خطاب « أنت عالمٌ » در فرض ثبوت ، کنایه از « وجوب عمل » است و این مفاد زمینه ساز تحقّق حکومت نیست زیرا اصلا نظارت یا شارحیتی نسبت به « « رفع ما لا یعلمون » ندارد ، چنانچه مرحوم آخوند ذیل بررسی مفاد ادله اعتبار اماره طبق مبنای مشهور بیان کردند . « وجوب عمل » همانگونه که اگر مفاد مطابقی دلیل بود نمی توانست صالح و مصحّح حکومت باشد ، الان هم که مفاد کنایی است چنین می باشد .</w:t>
      </w:r>
    </w:p>
    <w:p w:rsidR="00483D9C" w:rsidRPr="009835D5" w:rsidRDefault="00483D9C" w:rsidP="00483D9C">
      <w:pPr>
        <w:pStyle w:val="Heading1"/>
        <w:rPr>
          <w:rtl/>
        </w:rPr>
      </w:pPr>
      <w:bookmarkStart w:id="9" w:name="_Toc527153516"/>
      <w:bookmarkStart w:id="10" w:name="_Toc527713261"/>
      <w:r w:rsidRPr="009835D5">
        <w:rPr>
          <w:rFonts w:hint="cs"/>
          <w:rtl/>
        </w:rPr>
        <w:t>تفاوت خطاب « أنت عالم » با خطاب « لا شکّ لمن کثر شکّه »</w:t>
      </w:r>
      <w:bookmarkEnd w:id="9"/>
      <w:bookmarkEnd w:id="10"/>
    </w:p>
    <w:p w:rsidR="00483D9C" w:rsidRPr="009835D5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نمی توان هم گفت عدم استلزام لغویت به دلیل ثبوت یک حکم از احکام علم است ، مانند « العلم حجه » ، همانگونه که لغویت خطاب « لا شکّ لمن کثر شکّه » با ثبوت یکی از احکام شک مندفع می شود ؛ زیرا نفس خطاب « لا شکّ » حاکی از </w:t>
      </w:r>
      <w:r w:rsidRPr="009835D5">
        <w:rPr>
          <w:rFonts w:eastAsia="Times New Roman" w:hint="cs"/>
          <w:rtl/>
        </w:rPr>
        <w:lastRenderedPageBreak/>
        <w:t>وجود محکومی است و این خطاب به دلیل اطلاقش بر هر موردی</w:t>
      </w:r>
      <w:r w:rsidR="002A2609">
        <w:rPr>
          <w:rFonts w:eastAsia="Times New Roman" w:hint="cs"/>
          <w:rtl/>
        </w:rPr>
        <w:t xml:space="preserve"> که حکم شکّ باشد ، مقدّم می شود .</w:t>
      </w:r>
      <w:r w:rsidRPr="009835D5">
        <w:rPr>
          <w:rStyle w:val="FootnoteReference"/>
          <w:rFonts w:ascii="Tahoma" w:hAnsi="Tahoma" w:cs="B Lotus"/>
          <w:color w:val="000000"/>
          <w:sz w:val="28"/>
          <w:rtl/>
        </w:rPr>
        <w:footnoteReference w:id="3"/>
      </w:r>
      <w:r w:rsidRPr="009835D5">
        <w:rPr>
          <w:rFonts w:eastAsia="Times New Roman" w:hint="cs"/>
          <w:rtl/>
        </w:rPr>
        <w:t xml:space="preserve"> اما دفع لغویت « أنت عالم » با حکم عقلی « العلم حجه » حاصل می شود که این خطاب بر آن وارد است ، و اصلا دیگر استدعایی نسبت به احکام شرعی ندارد الی یوم القیامه !</w:t>
      </w:r>
    </w:p>
    <w:p w:rsidR="00483D9C" w:rsidRPr="009835D5" w:rsidRDefault="00483D9C" w:rsidP="00483D9C">
      <w:pPr>
        <w:jc w:val="both"/>
        <w:rPr>
          <w:rFonts w:eastAsia="Times New Roman"/>
        </w:rPr>
      </w:pPr>
      <w:r w:rsidRPr="009835D5">
        <w:rPr>
          <w:rFonts w:eastAsia="Times New Roman" w:hint="cs"/>
          <w:rtl/>
        </w:rPr>
        <w:t xml:space="preserve">   به هر حال نقد ما به مرحوم آخوند تمام است و نمی توان از ایشان دفاع کرد که فرض شارحیت کرده اند ؛ زیرا مصرّح در عبارت درر الفوائد آن است که دلیل اماره الی یوم القیامه استدعایی نسبت به اصول ندارد .</w:t>
      </w:r>
    </w:p>
    <w:p w:rsidR="00483D9C" w:rsidRPr="009835D5" w:rsidRDefault="00483D9C" w:rsidP="00483D9C">
      <w:pPr>
        <w:pStyle w:val="Heading1"/>
      </w:pPr>
      <w:bookmarkStart w:id="11" w:name="_Toc527153517"/>
      <w:bookmarkStart w:id="12" w:name="_Toc527713262"/>
      <w:r w:rsidRPr="009835D5">
        <w:rPr>
          <w:rFonts w:hint="cs"/>
          <w:rtl/>
        </w:rPr>
        <w:t>مبنای مختار : شارحیت حکومت نسبت به مراد جدی</w:t>
      </w:r>
      <w:bookmarkEnd w:id="11"/>
      <w:bookmarkEnd w:id="12"/>
    </w:p>
    <w:p w:rsidR="00483D9C" w:rsidRPr="009835D5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یک مطلب به عنوان تتمّه باید بررسی شود و آن تعیین مصبّ شرحی است که توسط حاکم در دلیل محکوم صورت می گیرد . ظهور ولو بدوی کلام مرحوم آخوند آن بود که حاکم شارح مراد استعمالی از محکوم است : « ناظرا إلی بیان کمیه ما أرید من الآخر » . اما به نظر ، رأی صحیح آن است که شرحِ حاصل از حکومت در ناحیه مراد جدّی حاصل می شود و حاکم حکم لوحی را تحدید می کند ، مانند خاص نسبت به عامّ . </w:t>
      </w:r>
    </w:p>
    <w:p w:rsidR="00483D9C" w:rsidRPr="009835D5" w:rsidRDefault="00483D9C" w:rsidP="00483D9C">
      <w:pPr>
        <w:pStyle w:val="Heading1"/>
        <w:rPr>
          <w:rtl/>
        </w:rPr>
      </w:pPr>
      <w:bookmarkStart w:id="13" w:name="_Toc527153518"/>
      <w:bookmarkStart w:id="14" w:name="_Toc527713263"/>
      <w:r w:rsidRPr="009835D5">
        <w:rPr>
          <w:rFonts w:hint="cs"/>
          <w:rtl/>
        </w:rPr>
        <w:t>تفاوت حاکم و خاصّ مطابق مبنای مختار</w:t>
      </w:r>
      <w:bookmarkEnd w:id="13"/>
      <w:bookmarkEnd w:id="14"/>
      <w:r w:rsidRPr="009835D5">
        <w:rPr>
          <w:rFonts w:hint="cs"/>
          <w:rtl/>
        </w:rPr>
        <w:t xml:space="preserve"> </w:t>
      </w:r>
    </w:p>
    <w:p w:rsidR="00483D9C" w:rsidRPr="00A577DE" w:rsidRDefault="00483D9C" w:rsidP="00483D9C">
      <w:pPr>
        <w:jc w:val="both"/>
        <w:rPr>
          <w:rFonts w:eastAsia="Times New Roman"/>
          <w:rtl/>
        </w:rPr>
      </w:pPr>
      <w:r w:rsidRPr="009835D5">
        <w:rPr>
          <w:rFonts w:eastAsia="Times New Roman" w:hint="cs"/>
          <w:rtl/>
        </w:rPr>
        <w:t xml:space="preserve">   تفاوت این دو اما اولا در آن است که حاکم مستدعی وجود محکوم است ولی خاص چنین نیست ؛ یعنی «لا ربا بین الوالد و الولد» و «لا بأس بالربا بین الوالد و الولد» واقعیت واحدی را ایجاد می کنند غیر از این که یکی استدعا ثبوت احکامی برای «ربا» را دارد اما دیگری خیر . </w:t>
      </w:r>
      <w:r w:rsidRPr="009835D5">
        <w:rPr>
          <w:rFonts w:hint="cs"/>
          <w:shd w:val="clear" w:color="auto" w:fill="FFFFFF"/>
          <w:rtl/>
        </w:rPr>
        <w:t xml:space="preserve">و دوما در آن که تقدیم خاص بر عام به ملاک أقوی بودن در دلالت است اما تقدیم حاکم بر محکوم به مناط شارحیت می باشد </w:t>
      </w:r>
      <w:bookmarkStart w:id="15" w:name="_GoBack"/>
      <w:bookmarkEnd w:id="15"/>
      <w:r w:rsidRPr="009835D5">
        <w:rPr>
          <w:rFonts w:hint="cs"/>
          <w:shd w:val="clear" w:color="auto" w:fill="FFFFFF"/>
          <w:rtl/>
        </w:rPr>
        <w:t>حتی با ضعف دلالت .</w:t>
      </w:r>
    </w:p>
    <w:p w:rsidR="003E6650" w:rsidRPr="001A27D7" w:rsidRDefault="003E6650" w:rsidP="00824B22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D47" w:rsidRDefault="00FD1D47" w:rsidP="008B750B">
      <w:pPr>
        <w:spacing w:line="240" w:lineRule="auto"/>
      </w:pPr>
      <w:r>
        <w:separator/>
      </w:r>
    </w:p>
  </w:endnote>
  <w:endnote w:type="continuationSeparator" w:id="0">
    <w:p w:rsidR="00FD1D47" w:rsidRDefault="00FD1D4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A05B5" w:rsidRPr="00BA05B5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50CA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U1mq1_13970714-008_ab1_mfeb.ir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D47" w:rsidRDefault="00FD1D47" w:rsidP="008B750B">
      <w:pPr>
        <w:spacing w:line="240" w:lineRule="auto"/>
      </w:pPr>
      <w:r>
        <w:separator/>
      </w:r>
    </w:p>
  </w:footnote>
  <w:footnote w:type="continuationSeparator" w:id="0">
    <w:p w:rsidR="00FD1D47" w:rsidRDefault="00FD1D47" w:rsidP="008B750B">
      <w:pPr>
        <w:spacing w:line="240" w:lineRule="auto"/>
      </w:pPr>
      <w:r>
        <w:continuationSeparator/>
      </w:r>
    </w:p>
  </w:footnote>
  <w:footnote w:id="1">
    <w:p w:rsidR="00483D9C" w:rsidRPr="00BA05B5" w:rsidRDefault="00483D9C" w:rsidP="00483D9C">
      <w:pPr>
        <w:pStyle w:val="FootnoteText"/>
        <w:rPr>
          <w:rtl/>
        </w:rPr>
      </w:pPr>
      <w:r w:rsidRPr="00BA05B5">
        <w:rPr>
          <w:rStyle w:val="FootnoteReference"/>
          <w:vertAlign w:val="baseline"/>
        </w:rPr>
        <w:footnoteRef/>
      </w:r>
      <w:r w:rsidRPr="00BA05B5">
        <w:rPr>
          <w:rFonts w:hint="cs"/>
          <w:rtl/>
        </w:rPr>
        <w:t>. نهایه الدرایه : 320 / 3</w:t>
      </w:r>
    </w:p>
  </w:footnote>
  <w:footnote w:id="2">
    <w:p w:rsidR="002A2609" w:rsidRPr="00BA05B5" w:rsidRDefault="002A2609" w:rsidP="002A2609">
      <w:pPr>
        <w:pStyle w:val="FootnoteText"/>
        <w:rPr>
          <w:rFonts w:hint="cs"/>
        </w:rPr>
      </w:pPr>
      <w:r w:rsidRPr="00BA05B5">
        <w:t>.</w:t>
      </w:r>
      <w:r w:rsidRPr="00BA05B5">
        <w:footnoteRef/>
      </w:r>
      <w:r w:rsidRPr="00BA05B5">
        <w:rPr>
          <w:rtl/>
        </w:rPr>
        <w:t xml:space="preserve"> </w:t>
      </w:r>
      <w:hyperlink r:id="rId1" w:history="1">
        <w:r w:rsidRPr="00BA05B5">
          <w:rPr>
            <w:rStyle w:val="Hyperlink"/>
            <w:rtl/>
          </w:rPr>
          <w:t>درالفوائد ف</w:t>
        </w:r>
        <w:r w:rsidRPr="00BA05B5">
          <w:rPr>
            <w:rStyle w:val="Hyperlink"/>
            <w:rFonts w:hint="cs"/>
            <w:rtl/>
          </w:rPr>
          <w:t>ی</w:t>
        </w:r>
        <w:r w:rsidRPr="00BA05B5">
          <w:rPr>
            <w:rStyle w:val="Hyperlink"/>
            <w:rtl/>
          </w:rPr>
          <w:t xml:space="preserve"> الحاش</w:t>
        </w:r>
        <w:r w:rsidRPr="00BA05B5">
          <w:rPr>
            <w:rStyle w:val="Hyperlink"/>
            <w:rFonts w:hint="cs"/>
            <w:rtl/>
          </w:rPr>
          <w:t>ی</w:t>
        </w:r>
        <w:r w:rsidRPr="00BA05B5">
          <w:rPr>
            <w:rStyle w:val="Hyperlink"/>
            <w:rFonts w:hint="eastAsia"/>
            <w:rtl/>
          </w:rPr>
          <w:t>ه</w:t>
        </w:r>
        <w:r w:rsidRPr="00BA05B5">
          <w:rPr>
            <w:rStyle w:val="Hyperlink"/>
            <w:rtl/>
          </w:rPr>
          <w:t xml:space="preserve"> عل</w:t>
        </w:r>
        <w:r w:rsidRPr="00BA05B5">
          <w:rPr>
            <w:rStyle w:val="Hyperlink"/>
            <w:rFonts w:hint="cs"/>
            <w:rtl/>
          </w:rPr>
          <w:t>ی</w:t>
        </w:r>
        <w:r w:rsidRPr="00BA05B5">
          <w:rPr>
            <w:rStyle w:val="Hyperlink"/>
            <w:rtl/>
          </w:rPr>
          <w:t xml:space="preserve"> الفرائد، آخوند خراسان</w:t>
        </w:r>
        <w:r w:rsidRPr="00BA05B5">
          <w:rPr>
            <w:rStyle w:val="Hyperlink"/>
            <w:rFonts w:hint="cs"/>
            <w:rtl/>
          </w:rPr>
          <w:t>ی</w:t>
        </w:r>
        <w:r w:rsidRPr="00BA05B5">
          <w:rPr>
            <w:rStyle w:val="Hyperlink"/>
            <w:rFonts w:hint="eastAsia"/>
            <w:rtl/>
          </w:rPr>
          <w:t>،</w:t>
        </w:r>
        <w:r w:rsidRPr="00BA05B5">
          <w:rPr>
            <w:rStyle w:val="Hyperlink"/>
            <w:rtl/>
          </w:rPr>
          <w:t xml:space="preserve"> ج1، ص428</w:t>
        </w:r>
        <w:r w:rsidRPr="00BA05B5">
          <w:rPr>
            <w:rStyle w:val="Hyperlink"/>
          </w:rPr>
          <w:t>.</w:t>
        </w:r>
      </w:hyperlink>
    </w:p>
  </w:footnote>
  <w:footnote w:id="3">
    <w:p w:rsidR="00483D9C" w:rsidRPr="00BA05B5" w:rsidRDefault="00483D9C" w:rsidP="00483D9C">
      <w:pPr>
        <w:pStyle w:val="FootnoteText"/>
        <w:jc w:val="both"/>
      </w:pPr>
      <w:r w:rsidRPr="00BA05B5">
        <w:rPr>
          <w:rStyle w:val="FootnoteReference"/>
          <w:vertAlign w:val="baseline"/>
        </w:rPr>
        <w:footnoteRef/>
      </w:r>
      <w:r w:rsidRPr="00BA05B5">
        <w:rPr>
          <w:rFonts w:hint="cs"/>
          <w:rtl/>
        </w:rPr>
        <w:t>. اطلاق حاکم بر اطلاق محکوم مقدّم است ، به مانند اطلاق خاصّ که بر اطلاق عامّ مقدّم می شود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E50CA1">
      <w:rPr>
        <w:b/>
        <w:bCs/>
        <w:sz w:val="20"/>
        <w:szCs w:val="24"/>
        <w:rtl/>
      </w:rPr>
      <w:t>008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E50CA1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E50CA1">
      <w:rPr>
        <w:b/>
        <w:bCs/>
        <w:color w:val="632423" w:themeColor="accent2" w:themeShade="80"/>
        <w:sz w:val="20"/>
        <w:szCs w:val="24"/>
        <w:rtl/>
      </w:rPr>
      <w:t>قائ</w:t>
    </w:r>
    <w:r w:rsidR="00E50CA1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E50CA1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E50CA1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E50CA1">
      <w:rPr>
        <w:sz w:val="24"/>
        <w:szCs w:val="24"/>
        <w:rtl/>
      </w:rPr>
      <w:t>14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E50CA1">
      <w:rPr>
        <w:color w:val="000000" w:themeColor="text1"/>
        <w:sz w:val="24"/>
        <w:szCs w:val="24"/>
        <w:rtl/>
      </w:rPr>
      <w:t>تعارض غ</w:t>
    </w:r>
    <w:r w:rsidR="00E50CA1">
      <w:rPr>
        <w:rFonts w:hint="cs"/>
        <w:color w:val="000000" w:themeColor="text1"/>
        <w:sz w:val="24"/>
        <w:szCs w:val="24"/>
        <w:rtl/>
      </w:rPr>
      <w:t>ی</w:t>
    </w:r>
    <w:r w:rsidR="00E50CA1">
      <w:rPr>
        <w:rFonts w:hint="eastAsia"/>
        <w:color w:val="000000" w:themeColor="text1"/>
        <w:sz w:val="24"/>
        <w:szCs w:val="24"/>
        <w:rtl/>
      </w:rPr>
      <w:t>ر</w:t>
    </w:r>
    <w:r w:rsidR="00E50CA1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E50CA1">
      <w:rPr>
        <w:sz w:val="24"/>
        <w:szCs w:val="24"/>
        <w:rtl/>
      </w:rPr>
      <w:t>عل</w:t>
    </w:r>
    <w:r w:rsidR="00E50CA1">
      <w:rPr>
        <w:rFonts w:hint="cs"/>
        <w:sz w:val="24"/>
        <w:szCs w:val="24"/>
        <w:rtl/>
      </w:rPr>
      <w:t>ی</w:t>
    </w:r>
    <w:r w:rsidR="00E50CA1">
      <w:rPr>
        <w:sz w:val="24"/>
        <w:szCs w:val="24"/>
        <w:rtl/>
      </w:rPr>
      <w:t xml:space="preserve"> بهادرزا</w:t>
    </w:r>
    <w:r w:rsidR="00E50CA1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E50CA1">
      <w:rPr>
        <w:sz w:val="24"/>
        <w:szCs w:val="24"/>
        <w:rtl/>
      </w:rPr>
      <w:t>حکومت امارات بر اصول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A2609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0007"/>
    <w:rsid w:val="00462B07"/>
    <w:rsid w:val="00465BD2"/>
    <w:rsid w:val="004715C8"/>
    <w:rsid w:val="00481C31"/>
    <w:rsid w:val="00482FC1"/>
    <w:rsid w:val="00483027"/>
    <w:rsid w:val="00483D9C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19D4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147B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2D30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A05B5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0CA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1D47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97/1/42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54885-F9CF-4EF0-9460-E887E081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5289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8</cp:revision>
  <dcterms:created xsi:type="dcterms:W3CDTF">2018-10-19T08:20:00Z</dcterms:created>
  <dcterms:modified xsi:type="dcterms:W3CDTF">2018-11-03T10:57:00Z</dcterms:modified>
  <cp:contentStatus>ویرایش 2.5</cp:contentStatus>
  <cp:version>2.7</cp:version>
</cp:coreProperties>
</file>