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1F2" w:rsidRDefault="00AC61F2" w:rsidP="00AC61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0257222" w:history="1">
        <w:r w:rsidRPr="00B54CF9">
          <w:rPr>
            <w:rStyle w:val="Hyperlink"/>
            <w:noProof/>
            <w:rtl/>
          </w:rPr>
          <w:t>وجه مختار ش</w:t>
        </w:r>
        <w:r w:rsidRPr="00B54CF9">
          <w:rPr>
            <w:rStyle w:val="Hyperlink"/>
            <w:rFonts w:hint="cs"/>
            <w:noProof/>
            <w:rtl/>
          </w:rPr>
          <w:t>ی</w:t>
        </w:r>
        <w:r w:rsidRPr="00B54CF9">
          <w:rPr>
            <w:rStyle w:val="Hyperlink"/>
            <w:rFonts w:hint="eastAsia"/>
            <w:noProof/>
            <w:rtl/>
          </w:rPr>
          <w:t>خ</w:t>
        </w:r>
        <w:r w:rsidRPr="00B54CF9">
          <w:rPr>
            <w:rStyle w:val="Hyperlink"/>
            <w:noProof/>
            <w:rtl/>
          </w:rPr>
          <w:t xml:space="preserve"> انصار</w:t>
        </w:r>
        <w:r w:rsidRPr="00B54CF9">
          <w:rPr>
            <w:rStyle w:val="Hyperlink"/>
            <w:rFonts w:hint="cs"/>
            <w:noProof/>
            <w:rtl/>
          </w:rPr>
          <w:t>ی</w:t>
        </w:r>
        <w:r w:rsidRPr="00B54CF9">
          <w:rPr>
            <w:rStyle w:val="Hyperlink"/>
            <w:noProof/>
            <w:rtl/>
          </w:rPr>
          <w:t xml:space="preserve"> برا</w:t>
        </w:r>
        <w:r w:rsidRPr="00B54CF9">
          <w:rPr>
            <w:rStyle w:val="Hyperlink"/>
            <w:rFonts w:hint="cs"/>
            <w:noProof/>
            <w:rtl/>
          </w:rPr>
          <w:t>ی</w:t>
        </w:r>
        <w:r w:rsidRPr="00B54CF9">
          <w:rPr>
            <w:rStyle w:val="Hyperlink"/>
            <w:noProof/>
            <w:rtl/>
          </w:rPr>
          <w:t xml:space="preserve"> تقد</w:t>
        </w:r>
        <w:r w:rsidRPr="00B54CF9">
          <w:rPr>
            <w:rStyle w:val="Hyperlink"/>
            <w:rFonts w:hint="cs"/>
            <w:noProof/>
            <w:rtl/>
          </w:rPr>
          <w:t>ی</w:t>
        </w:r>
        <w:r w:rsidRPr="00B54CF9">
          <w:rPr>
            <w:rStyle w:val="Hyperlink"/>
            <w:rFonts w:hint="eastAsia"/>
            <w:noProof/>
            <w:rtl/>
          </w:rPr>
          <w:t>م</w:t>
        </w:r>
        <w:r w:rsidRPr="00B54CF9">
          <w:rPr>
            <w:rStyle w:val="Hyperlink"/>
            <w:noProof/>
            <w:rtl/>
          </w:rPr>
          <w:t xml:space="preserve"> استصحاب : حکومت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Toc530257222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257223" w:history="1">
        <w:r w:rsidR="00AC61F2" w:rsidRPr="00B54CF9">
          <w:rPr>
            <w:rStyle w:val="Hyperlink"/>
            <w:noProof/>
            <w:rtl/>
          </w:rPr>
          <w:t>وجه اوّل خروج : تخصّص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Toc530257223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2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257224" w:history="1">
        <w:r w:rsidR="00AC61F2" w:rsidRPr="00B54CF9">
          <w:rPr>
            <w:rStyle w:val="Hyperlink"/>
            <w:noProof/>
            <w:rtl/>
          </w:rPr>
          <w:t>نقد : ظهور روا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rFonts w:hint="eastAsia"/>
            <w:noProof/>
            <w:rtl/>
          </w:rPr>
          <w:t>ت</w:t>
        </w:r>
        <w:r w:rsidR="00AC61F2" w:rsidRPr="00B54CF9">
          <w:rPr>
            <w:rStyle w:val="Hyperlink"/>
            <w:noProof/>
            <w:rtl/>
          </w:rPr>
          <w:t xml:space="preserve"> در نه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noProof/>
            <w:rtl/>
          </w:rPr>
          <w:t xml:space="preserve"> فعل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Toc530257224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2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257225" w:history="1">
        <w:r w:rsidR="00AC61F2" w:rsidRPr="00B54CF9">
          <w:rPr>
            <w:rStyle w:val="Hyperlink"/>
            <w:noProof/>
            <w:rtl/>
          </w:rPr>
          <w:t>ب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rFonts w:hint="eastAsia"/>
            <w:noProof/>
            <w:rtl/>
          </w:rPr>
          <w:t>ان</w:t>
        </w:r>
        <w:r w:rsidR="00AC61F2" w:rsidRPr="00B54CF9">
          <w:rPr>
            <w:rStyle w:val="Hyperlink"/>
            <w:noProof/>
            <w:rtl/>
          </w:rPr>
          <w:t xml:space="preserve"> مرحوم روحان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noProof/>
            <w:rtl/>
          </w:rPr>
          <w:t xml:space="preserve"> : تناف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noProof/>
            <w:rtl/>
          </w:rPr>
          <w:t xml:space="preserve"> مناقشه مرحوم ش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rFonts w:hint="eastAsia"/>
            <w:noProof/>
            <w:rtl/>
          </w:rPr>
          <w:t>خ</w:t>
        </w:r>
        <w:r w:rsidR="00AC61F2" w:rsidRPr="00B54CF9">
          <w:rPr>
            <w:rStyle w:val="Hyperlink"/>
            <w:noProof/>
            <w:rtl/>
          </w:rPr>
          <w:t xml:space="preserve"> با اشتراط بقاء موضوع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Toc530257225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2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257226" w:history="1">
        <w:r w:rsidR="00AC61F2" w:rsidRPr="00B54CF9">
          <w:rPr>
            <w:rStyle w:val="Hyperlink"/>
            <w:noProof/>
            <w:rtl/>
          </w:rPr>
          <w:t xml:space="preserve">وجه دوّم خروج : ورود 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Toc530257226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3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257227" w:history="1">
        <w:r w:rsidR="00AC61F2" w:rsidRPr="00B54CF9">
          <w:rPr>
            <w:rStyle w:val="Hyperlink"/>
            <w:noProof/>
            <w:rtl/>
          </w:rPr>
          <w:t>مناقشه : اختصاص متعلّق نه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noProof/>
            <w:rtl/>
          </w:rPr>
          <w:t xml:space="preserve"> به حکم واقع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Toc530257227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3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257228" w:history="1">
        <w:r w:rsidR="00AC61F2" w:rsidRPr="00B54CF9">
          <w:rPr>
            <w:rStyle w:val="Hyperlink"/>
            <w:noProof/>
            <w:rtl/>
          </w:rPr>
          <w:t>وجه سوّم خروج : حکومت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Toc530257228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3</w:t>
        </w:r>
        <w:r w:rsidR="00AC61F2">
          <w:rPr>
            <w:noProof/>
            <w:webHidden/>
            <w:rtl/>
          </w:rPr>
          <w:fldChar w:fldCharType="end"/>
        </w:r>
      </w:hyperlink>
    </w:p>
    <w:p w:rsidR="00AC61F2" w:rsidRDefault="00473488" w:rsidP="00AC61F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257229" w:history="1">
        <w:r w:rsidR="00AC61F2" w:rsidRPr="00B54CF9">
          <w:rPr>
            <w:rStyle w:val="Hyperlink"/>
            <w:noProof/>
            <w:rtl/>
          </w:rPr>
          <w:t>مناقشه : عدم نظارت و عدم استلزام لغو</w:t>
        </w:r>
        <w:r w:rsidR="00AC61F2" w:rsidRPr="00B54CF9">
          <w:rPr>
            <w:rStyle w:val="Hyperlink"/>
            <w:rFonts w:hint="cs"/>
            <w:noProof/>
            <w:rtl/>
          </w:rPr>
          <w:t>ی</w:t>
        </w:r>
        <w:r w:rsidR="00AC61F2" w:rsidRPr="00B54CF9">
          <w:rPr>
            <w:rStyle w:val="Hyperlink"/>
            <w:rFonts w:hint="eastAsia"/>
            <w:noProof/>
            <w:rtl/>
          </w:rPr>
          <w:t>ت</w:t>
        </w:r>
        <w:r w:rsidR="00AC61F2">
          <w:rPr>
            <w:noProof/>
            <w:webHidden/>
            <w:rtl/>
          </w:rPr>
          <w:tab/>
        </w:r>
        <w:r w:rsidR="00AC61F2">
          <w:rPr>
            <w:noProof/>
            <w:webHidden/>
            <w:rtl/>
          </w:rPr>
          <w:fldChar w:fldCharType="begin"/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</w:rPr>
          <w:instrText>PAGEREF</w:instrText>
        </w:r>
        <w:r w:rsidR="00AC61F2">
          <w:rPr>
            <w:noProof/>
            <w:webHidden/>
            <w:rtl/>
          </w:rPr>
          <w:instrText xml:space="preserve"> _</w:instrText>
        </w:r>
        <w:r w:rsidR="00AC61F2">
          <w:rPr>
            <w:noProof/>
            <w:webHidden/>
          </w:rPr>
          <w:instrText>Toc530257229 \h</w:instrText>
        </w:r>
        <w:r w:rsidR="00AC61F2">
          <w:rPr>
            <w:noProof/>
            <w:webHidden/>
            <w:rtl/>
          </w:rPr>
          <w:instrText xml:space="preserve"> </w:instrText>
        </w:r>
        <w:r w:rsidR="00AC61F2">
          <w:rPr>
            <w:noProof/>
            <w:webHidden/>
            <w:rtl/>
          </w:rPr>
        </w:r>
        <w:r w:rsidR="00AC61F2">
          <w:rPr>
            <w:noProof/>
            <w:webHidden/>
            <w:rtl/>
          </w:rPr>
          <w:fldChar w:fldCharType="separate"/>
        </w:r>
        <w:r w:rsidR="009A1BBC">
          <w:rPr>
            <w:noProof/>
            <w:webHidden/>
            <w:rtl/>
          </w:rPr>
          <w:t>4</w:t>
        </w:r>
        <w:r w:rsidR="00AC61F2">
          <w:rPr>
            <w:noProof/>
            <w:webHidden/>
            <w:rtl/>
          </w:rPr>
          <w:fldChar w:fldCharType="end"/>
        </w:r>
      </w:hyperlink>
    </w:p>
    <w:p w:rsidR="00F343FB" w:rsidRPr="00A6366F" w:rsidRDefault="00AC61F2" w:rsidP="00513D54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87E00">
        <w:rPr>
          <w:rtl/>
        </w:rPr>
        <w:t>رابطه استصحاب و سا</w:t>
      </w:r>
      <w:r w:rsidR="00C87E00">
        <w:rPr>
          <w:rFonts w:hint="cs"/>
          <w:rtl/>
        </w:rPr>
        <w:t>ی</w:t>
      </w:r>
      <w:r w:rsidR="00C87E00">
        <w:rPr>
          <w:rFonts w:hint="eastAsia"/>
          <w:rtl/>
        </w:rPr>
        <w:t>ر</w:t>
      </w:r>
      <w:r w:rsidR="00C87E00">
        <w:rPr>
          <w:rtl/>
        </w:rPr>
        <w:t xml:space="preserve"> اصول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87E00">
        <w:rPr>
          <w:rtl/>
        </w:rPr>
        <w:t>تطب</w:t>
      </w:r>
      <w:r w:rsidR="00C87E00">
        <w:rPr>
          <w:rFonts w:hint="cs"/>
          <w:rtl/>
        </w:rPr>
        <w:t>ی</w:t>
      </w:r>
      <w:r w:rsidR="00C87E00">
        <w:rPr>
          <w:rFonts w:hint="eastAsia"/>
          <w:rtl/>
        </w:rPr>
        <w:t>قات</w:t>
      </w:r>
      <w:r w:rsidR="00C87E00">
        <w:rPr>
          <w:rtl/>
        </w:rPr>
        <w:t xml:space="preserve"> تعارض غ</w:t>
      </w:r>
      <w:r w:rsidR="00C87E00">
        <w:rPr>
          <w:rFonts w:hint="cs"/>
          <w:rtl/>
        </w:rPr>
        <w:t>ی</w:t>
      </w:r>
      <w:r w:rsidR="00C87E00">
        <w:rPr>
          <w:rFonts w:hint="eastAsia"/>
          <w:rtl/>
        </w:rPr>
        <w:t>ر</w:t>
      </w:r>
      <w:r w:rsidR="00C87E00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87E00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B77844" w:rsidP="00106F15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</w:t>
      </w:r>
      <w:r w:rsidR="006B2B2A">
        <w:rPr>
          <w:rFonts w:hint="cs"/>
          <w:rtl/>
        </w:rPr>
        <w:t>در</w:t>
      </w:r>
      <w:r>
        <w:rPr>
          <w:rFonts w:hint="cs"/>
          <w:rtl/>
        </w:rPr>
        <w:t xml:space="preserve"> تعارض استصحاب با</w:t>
      </w:r>
      <w:r w:rsidR="006020FC">
        <w:rPr>
          <w:rFonts w:hint="cs"/>
          <w:rtl/>
        </w:rPr>
        <w:t xml:space="preserve"> سایر</w:t>
      </w:r>
      <w:r w:rsidR="006B2B2A">
        <w:rPr>
          <w:rFonts w:hint="cs"/>
          <w:rtl/>
        </w:rPr>
        <w:t xml:space="preserve">اصول عملیه نقلی </w:t>
      </w:r>
      <w:r>
        <w:rPr>
          <w:rFonts w:hint="cs"/>
          <w:rtl/>
        </w:rPr>
        <w:t>مرحوم آ</w:t>
      </w:r>
      <w:r w:rsidR="006020FC">
        <w:rPr>
          <w:rFonts w:hint="cs"/>
          <w:rtl/>
        </w:rPr>
        <w:t>خوند</w:t>
      </w:r>
      <w:r>
        <w:rPr>
          <w:rFonts w:hint="cs"/>
          <w:rtl/>
        </w:rPr>
        <w:t>مدّعی شدند وزان ر</w:t>
      </w:r>
      <w:r w:rsidR="006020FC">
        <w:rPr>
          <w:rFonts w:hint="cs"/>
          <w:rtl/>
        </w:rPr>
        <w:t xml:space="preserve">ابطه استصحاب با سایر اصول عملیه ، </w:t>
      </w:r>
      <w:r>
        <w:rPr>
          <w:rFonts w:hint="cs"/>
          <w:rtl/>
        </w:rPr>
        <w:t>و</w:t>
      </w:r>
      <w:r w:rsidR="006020FC">
        <w:rPr>
          <w:rFonts w:hint="cs"/>
          <w:rtl/>
        </w:rPr>
        <w:t>زان رابطه امارات با استصحاب است و</w:t>
      </w:r>
      <w:r w:rsidR="00980D6D">
        <w:rPr>
          <w:rFonts w:hint="cs"/>
          <w:rtl/>
        </w:rPr>
        <w:t xml:space="preserve"> همانگونه که امارات وارد بر استصحابند، استصحاب هم </w:t>
      </w:r>
      <w:r w:rsidR="006020FC">
        <w:rPr>
          <w:rFonts w:hint="cs"/>
          <w:rtl/>
        </w:rPr>
        <w:t>وارد بر سایر اصول عملیه می باشد</w:t>
      </w:r>
      <w:r w:rsidR="00980D6D">
        <w:rPr>
          <w:rFonts w:hint="cs"/>
          <w:rtl/>
        </w:rPr>
        <w:t>.</w:t>
      </w:r>
    </w:p>
    <w:p w:rsidR="00015CBE" w:rsidRDefault="00015CBE" w:rsidP="00015CBE">
      <w:pPr>
        <w:pStyle w:val="Heading1"/>
        <w:rPr>
          <w:rtl/>
        </w:rPr>
      </w:pPr>
      <w:bookmarkStart w:id="3" w:name="_Toc530249815"/>
      <w:bookmarkStart w:id="4" w:name="_Toc530249837"/>
      <w:bookmarkStart w:id="5" w:name="_Toc530249860"/>
      <w:bookmarkStart w:id="6" w:name="_Toc530249907"/>
      <w:bookmarkStart w:id="7" w:name="_Toc530251707"/>
      <w:bookmarkStart w:id="8" w:name="_Toc530251741"/>
      <w:bookmarkStart w:id="9" w:name="_Toc530252293"/>
      <w:bookmarkStart w:id="10" w:name="_Toc530256537"/>
      <w:bookmarkStart w:id="11" w:name="_Toc530256646"/>
      <w:bookmarkStart w:id="12" w:name="_Toc530257222"/>
      <w:r>
        <w:rPr>
          <w:rFonts w:hint="cs"/>
          <w:rtl/>
        </w:rPr>
        <w:t>وجه</w:t>
      </w:r>
      <w:r w:rsidR="00394377">
        <w:rPr>
          <w:rFonts w:hint="cs"/>
          <w:rtl/>
        </w:rPr>
        <w:t xml:space="preserve"> مختار شیخ انصاری برای</w:t>
      </w:r>
      <w:r>
        <w:rPr>
          <w:rFonts w:hint="cs"/>
          <w:rtl/>
        </w:rPr>
        <w:t xml:space="preserve"> </w:t>
      </w:r>
      <w:r w:rsidR="00394377">
        <w:rPr>
          <w:rFonts w:hint="cs"/>
          <w:rtl/>
        </w:rPr>
        <w:t>تقدیم استصحاب</w:t>
      </w:r>
      <w:r w:rsidR="00225CC8">
        <w:rPr>
          <w:rFonts w:hint="cs"/>
          <w:rtl/>
        </w:rPr>
        <w:t xml:space="preserve"> </w:t>
      </w:r>
      <w:r>
        <w:rPr>
          <w:rFonts w:hint="cs"/>
          <w:rtl/>
        </w:rPr>
        <w:t>: حکومت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F71733" w:rsidRPr="00B16A3F" w:rsidRDefault="00513D54" w:rsidP="00B16A3F">
      <w:pPr>
        <w:jc w:val="both"/>
        <w:rPr>
          <w:sz w:val="28"/>
          <w:rtl/>
        </w:rPr>
      </w:pPr>
      <w:r>
        <w:rPr>
          <w:rFonts w:hint="cs"/>
          <w:rtl/>
        </w:rPr>
        <w:t xml:space="preserve">   </w:t>
      </w:r>
      <w:r w:rsidR="00D53656">
        <w:rPr>
          <w:rFonts w:hint="cs"/>
          <w:rtl/>
        </w:rPr>
        <w:t>مرحوم شیخ اما ادعاء حکومت استصحاب بر سایر</w:t>
      </w:r>
      <w:r w:rsidR="00F71733">
        <w:rPr>
          <w:rFonts w:hint="cs"/>
          <w:rtl/>
        </w:rPr>
        <w:t xml:space="preserve"> اصول عملیه نقلی</w:t>
      </w:r>
      <w:r w:rsidR="00D53656">
        <w:rPr>
          <w:rFonts w:hint="cs"/>
          <w:rtl/>
        </w:rPr>
        <w:t xml:space="preserve"> را مطرح کرده اند ، به مانند نظرشان در مورد وجه تقدیم امارات ب</w:t>
      </w:r>
      <w:r w:rsidR="00D53656" w:rsidRPr="00243EE7">
        <w:rPr>
          <w:rFonts w:hint="cs"/>
          <w:sz w:val="28"/>
          <w:rtl/>
        </w:rPr>
        <w:t>ر استصحاب .</w:t>
      </w:r>
      <w:r w:rsidR="00F71733" w:rsidRPr="00243EE7">
        <w:rPr>
          <w:rFonts w:hint="cs"/>
          <w:sz w:val="28"/>
          <w:rtl/>
        </w:rPr>
        <w:t xml:space="preserve"> ایشان فرموده اند پر واضح است رابطه استصحاب با اصو</w:t>
      </w:r>
      <w:r w:rsidR="00743003" w:rsidRPr="00243EE7">
        <w:rPr>
          <w:rFonts w:hint="cs"/>
          <w:sz w:val="28"/>
          <w:rtl/>
        </w:rPr>
        <w:t xml:space="preserve">ل عملیه عقلیه </w:t>
      </w:r>
      <w:r w:rsidR="00A83A73" w:rsidRPr="00243EE7">
        <w:rPr>
          <w:rFonts w:hint="cs"/>
          <w:sz w:val="28"/>
          <w:rtl/>
        </w:rPr>
        <w:t>« ورود » می باشد ؛ یعنی با وجود استصحاب موضوعی برای حکم عقل به برائت ، احتیاط یا تخییر باقی نمی ماند .</w:t>
      </w:r>
      <w:r w:rsidR="00A700A5" w:rsidRPr="00243EE7">
        <w:rPr>
          <w:rFonts w:hint="cs"/>
          <w:sz w:val="28"/>
          <w:rtl/>
        </w:rPr>
        <w:t xml:space="preserve"> همچنین رابطه استصحاب با اصل نقلی </w:t>
      </w:r>
      <w:r w:rsidR="00DD1635" w:rsidRPr="00243EE7">
        <w:rPr>
          <w:rFonts w:hint="cs"/>
          <w:sz w:val="28"/>
          <w:rtl/>
        </w:rPr>
        <w:t>که مفادش همان مفاد حکم عقل باشد</w:t>
      </w:r>
      <w:r w:rsidR="001A427C" w:rsidRPr="00243EE7">
        <w:rPr>
          <w:rStyle w:val="FootnoteReference"/>
          <w:sz w:val="28"/>
          <w:rtl/>
        </w:rPr>
        <w:footnoteReference w:id="1"/>
      </w:r>
      <w:r w:rsidR="00A700A5" w:rsidRPr="00243EE7">
        <w:rPr>
          <w:rFonts w:hint="cs"/>
          <w:sz w:val="28"/>
          <w:rtl/>
        </w:rPr>
        <w:t xml:space="preserve">هم « ورود » است </w:t>
      </w:r>
      <w:r w:rsidR="002F56E8">
        <w:rPr>
          <w:rFonts w:hint="cs"/>
          <w:sz w:val="28"/>
          <w:rtl/>
        </w:rPr>
        <w:t xml:space="preserve">؛ مانند </w:t>
      </w:r>
      <w:r w:rsidR="002F56E8" w:rsidRPr="00243EE7">
        <w:rPr>
          <w:rFonts w:hint="cs"/>
          <w:sz w:val="28"/>
          <w:rtl/>
        </w:rPr>
        <w:t xml:space="preserve">آیه معروف </w:t>
      </w:r>
      <w:r w:rsidR="002F56E8">
        <w:rPr>
          <w:rFonts w:ascii="Times New Roman" w:hAnsi="Times New Roman" w:cs="Times New Roman" w:hint="cs"/>
          <w:color w:val="008000"/>
          <w:sz w:val="28"/>
          <w:rtl/>
        </w:rPr>
        <w:t>﴿</w:t>
      </w:r>
      <w:r w:rsidR="002F56E8">
        <w:rPr>
          <w:rFonts w:ascii="Traditional Arabic" w:hAnsi="Traditional Arabic" w:hint="cs"/>
          <w:color w:val="008000"/>
          <w:sz w:val="28"/>
          <w:rtl/>
        </w:rPr>
        <w:t xml:space="preserve"> </w:t>
      </w:r>
      <w:r w:rsidR="002F56E8" w:rsidRPr="00B07D4A">
        <w:rPr>
          <w:rFonts w:ascii="Traditional Arabic" w:hAnsi="Traditional Arabic" w:hint="cs"/>
          <w:color w:val="008000"/>
          <w:sz w:val="28"/>
          <w:rtl/>
        </w:rPr>
        <w:t>وَ ما كُنَّا مُعَذِّبينَ حَتَّى نَبْعَثَ رَسُولا</w:t>
      </w:r>
      <w:r w:rsidR="002F56E8">
        <w:rPr>
          <w:rFonts w:ascii="Traditional Arabic" w:hAnsi="Traditional Arabic" w:hint="cs"/>
          <w:color w:val="008000"/>
          <w:sz w:val="28"/>
          <w:rtl/>
        </w:rPr>
        <w:t xml:space="preserve"> </w:t>
      </w:r>
      <w:r w:rsidR="002F56E8" w:rsidRPr="00B07D4A">
        <w:rPr>
          <w:rFonts w:ascii="Times New Roman" w:hAnsi="Times New Roman" w:cs="Times New Roman" w:hint="cs"/>
          <w:color w:val="008000"/>
          <w:sz w:val="28"/>
          <w:rtl/>
        </w:rPr>
        <w:t>﴾</w:t>
      </w:r>
      <w:r w:rsidR="002F56E8">
        <w:rPr>
          <w:rStyle w:val="FootnoteReference"/>
          <w:rFonts w:ascii="Traditional Arabic" w:hAnsi="Traditional Arabic"/>
          <w:color w:val="000000"/>
          <w:sz w:val="28"/>
          <w:rtl/>
        </w:rPr>
        <w:footnoteReference w:id="2"/>
      </w:r>
      <w:r w:rsidR="002F56E8">
        <w:rPr>
          <w:rFonts w:hint="cs"/>
          <w:color w:val="008000"/>
          <w:sz w:val="28"/>
          <w:rtl/>
        </w:rPr>
        <w:t xml:space="preserve"> </w:t>
      </w:r>
      <w:r w:rsidR="002F56E8" w:rsidRPr="006005E4">
        <w:rPr>
          <w:rFonts w:hint="cs"/>
          <w:color w:val="000000" w:themeColor="text1"/>
          <w:sz w:val="28"/>
          <w:rtl/>
        </w:rPr>
        <w:t xml:space="preserve">که </w:t>
      </w:r>
      <w:r w:rsidR="0022270B">
        <w:rPr>
          <w:rFonts w:ascii="Traditional Arabic" w:hAnsi="Traditional Arabic" w:hint="cs"/>
          <w:color w:val="000000"/>
          <w:sz w:val="28"/>
          <w:rtl/>
        </w:rPr>
        <w:t xml:space="preserve">مفادش </w:t>
      </w:r>
      <w:r w:rsidR="002F56E8">
        <w:rPr>
          <w:rFonts w:ascii="Traditional Arabic" w:hAnsi="Traditional Arabic" w:hint="cs"/>
          <w:color w:val="000000"/>
          <w:sz w:val="28"/>
          <w:rtl/>
        </w:rPr>
        <w:t>همان مفاد قاعده قبح عقاب بلابیان است</w:t>
      </w:r>
      <w:r w:rsidR="002245D4" w:rsidRPr="00243EE7">
        <w:rPr>
          <w:rFonts w:hint="cs"/>
          <w:sz w:val="28"/>
          <w:rtl/>
        </w:rPr>
        <w:t xml:space="preserve"> </w:t>
      </w:r>
      <w:r w:rsidR="0022270B">
        <w:rPr>
          <w:rFonts w:ascii="Traditional Arabic" w:hAnsi="Traditional Arabic" w:hint="cs"/>
          <w:color w:val="000000"/>
          <w:sz w:val="28"/>
          <w:rtl/>
        </w:rPr>
        <w:t>.</w:t>
      </w:r>
      <w:r w:rsidR="00DE3006">
        <w:rPr>
          <w:rFonts w:ascii="Traditional Arabic" w:hAnsi="Traditional Arabic" w:hint="cs"/>
          <w:color w:val="000000"/>
          <w:sz w:val="28"/>
          <w:rtl/>
        </w:rPr>
        <w:t xml:space="preserve"> </w:t>
      </w:r>
      <w:r w:rsidR="00DE3006">
        <w:rPr>
          <w:rStyle w:val="FootnoteReference"/>
          <w:rFonts w:ascii="Traditional Arabic" w:hAnsi="Traditional Arabic"/>
          <w:color w:val="000000"/>
          <w:sz w:val="28"/>
          <w:rtl/>
        </w:rPr>
        <w:footnoteReference w:id="3"/>
      </w:r>
    </w:p>
    <w:p w:rsidR="00B9565E" w:rsidRDefault="00C365C0" w:rsidP="002F56E8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  اما </w:t>
      </w:r>
      <w:r w:rsidR="000201A3">
        <w:rPr>
          <w:rFonts w:ascii="Traditional Arabic" w:hAnsi="Traditional Arabic" w:cs="B Badr" w:hint="cs"/>
          <w:color w:val="000000"/>
          <w:sz w:val="28"/>
          <w:szCs w:val="28"/>
          <w:rtl/>
        </w:rPr>
        <w:t>نسبت به برائت شرع</w:t>
      </w:r>
      <w:r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ی که موضوع آن </w:t>
      </w:r>
      <w:r w:rsidR="00FA2F38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نه </w:t>
      </w:r>
      <w:r>
        <w:rPr>
          <w:rFonts w:ascii="Traditional Arabic" w:hAnsi="Traditional Arabic" w:cs="B Badr" w:hint="cs"/>
          <w:color w:val="000000"/>
          <w:sz w:val="28"/>
          <w:szCs w:val="28"/>
          <w:rtl/>
        </w:rPr>
        <w:t>« عدم الب</w:t>
      </w:r>
      <w:r w:rsidR="00FA2F38">
        <w:rPr>
          <w:rFonts w:ascii="Traditional Arabic" w:hAnsi="Traditional Arabic" w:cs="B Badr" w:hint="cs"/>
          <w:color w:val="000000"/>
          <w:sz w:val="28"/>
          <w:szCs w:val="28"/>
          <w:rtl/>
        </w:rPr>
        <w:t>یان »</w:t>
      </w:r>
      <w:r w:rsidR="003A0D57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بلکه</w:t>
      </w:r>
      <w:r w:rsidR="00B9565E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«</w:t>
      </w:r>
      <w:r w:rsidR="003A0D57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 عدم العلم </w:t>
      </w:r>
      <w:r w:rsidR="00B9565E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» </w:t>
      </w:r>
      <w:r w:rsidR="003A0D57">
        <w:rPr>
          <w:rFonts w:ascii="Traditional Arabic" w:hAnsi="Traditional Arabic" w:cs="B Badr" w:hint="cs"/>
          <w:color w:val="000000"/>
          <w:sz w:val="28"/>
          <w:szCs w:val="28"/>
          <w:rtl/>
        </w:rPr>
        <w:t xml:space="preserve">است </w:t>
      </w:r>
      <w:r w:rsidR="00B9565E">
        <w:rPr>
          <w:rFonts w:ascii="Traditional Arabic" w:hAnsi="Traditional Arabic" w:cs="B Badr" w:hint="cs"/>
          <w:color w:val="000000"/>
          <w:sz w:val="28"/>
          <w:szCs w:val="28"/>
          <w:rtl/>
        </w:rPr>
        <w:t>،مانند «</w:t>
      </w:r>
      <w:r w:rsidR="003A0D57" w:rsidRPr="003A0D57">
        <w:rPr>
          <w:rFonts w:ascii="Traditional Arabic" w:hAnsi="Traditional Arabic" w:cs="B Badr" w:hint="cs"/>
          <w:color w:val="008000"/>
          <w:sz w:val="28"/>
          <w:szCs w:val="28"/>
          <w:rtl/>
        </w:rPr>
        <w:t>کل مطلق حتّی یرد فیه نهی</w:t>
      </w:r>
      <w:r w:rsidR="003A0D57">
        <w:rPr>
          <w:rFonts w:ascii="Traditional Arabic" w:hAnsi="Traditional Arabic" w:cs="B Badr" w:hint="cs"/>
          <w:color w:val="000000"/>
          <w:sz w:val="28"/>
          <w:szCs w:val="28"/>
          <w:rtl/>
        </w:rPr>
        <w:t>»</w:t>
      </w:r>
      <w:r w:rsidR="00233947">
        <w:rPr>
          <w:rStyle w:val="FootnoteReference"/>
          <w:rFonts w:ascii="Traditional Arabic" w:hAnsi="Traditional Arabic" w:cs="B Badr"/>
          <w:color w:val="000000"/>
          <w:sz w:val="28"/>
          <w:szCs w:val="28"/>
          <w:rtl/>
        </w:rPr>
        <w:footnoteReference w:id="4"/>
      </w:r>
      <w:r w:rsidR="00B9565E">
        <w:rPr>
          <w:rFonts w:ascii="Traditional Arabic" w:hAnsi="Traditional Arabic" w:cs="B Badr" w:hint="cs"/>
          <w:color w:val="000000"/>
          <w:sz w:val="28"/>
          <w:szCs w:val="28"/>
          <w:rtl/>
        </w:rPr>
        <w:t>، سه احتمال متصوّر است :</w:t>
      </w:r>
    </w:p>
    <w:p w:rsidR="00B9565E" w:rsidRDefault="00360A49" w:rsidP="00360A49">
      <w:pPr>
        <w:pStyle w:val="Heading1"/>
        <w:rPr>
          <w:rtl/>
        </w:rPr>
      </w:pPr>
      <w:bookmarkStart w:id="13" w:name="_Toc530249706"/>
      <w:bookmarkStart w:id="14" w:name="_Toc530249816"/>
      <w:bookmarkStart w:id="15" w:name="_Toc530249838"/>
      <w:bookmarkStart w:id="16" w:name="_Toc530249861"/>
      <w:bookmarkStart w:id="17" w:name="_Toc530249908"/>
      <w:bookmarkStart w:id="18" w:name="_Toc530251708"/>
      <w:bookmarkStart w:id="19" w:name="_Toc530251742"/>
      <w:bookmarkStart w:id="20" w:name="_Toc530252294"/>
      <w:bookmarkStart w:id="21" w:name="_Toc530256538"/>
      <w:bookmarkStart w:id="22" w:name="_Toc530256647"/>
      <w:bookmarkStart w:id="23" w:name="_Toc530257223"/>
      <w:r>
        <w:rPr>
          <w:rFonts w:hint="cs"/>
          <w:rtl/>
        </w:rPr>
        <w:lastRenderedPageBreak/>
        <w:t xml:space="preserve">وجه </w:t>
      </w:r>
      <w:r w:rsidR="009C76F2">
        <w:rPr>
          <w:rFonts w:hint="cs"/>
          <w:rtl/>
        </w:rPr>
        <w:t xml:space="preserve">اوّل خروج </w:t>
      </w:r>
      <w:r>
        <w:rPr>
          <w:rFonts w:hint="cs"/>
          <w:rtl/>
        </w:rPr>
        <w:t>: تخصّص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B9565E">
        <w:rPr>
          <w:rFonts w:hint="cs"/>
          <w:rtl/>
        </w:rPr>
        <w:t xml:space="preserve"> </w:t>
      </w:r>
    </w:p>
    <w:p w:rsidR="00A339D5" w:rsidRDefault="00B9565E" w:rsidP="00182EBF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5A25B2">
        <w:rPr>
          <w:rFonts w:hint="cs"/>
          <w:rtl/>
        </w:rPr>
        <w:t xml:space="preserve">تقریب </w:t>
      </w:r>
      <w:r w:rsidR="00E45E57">
        <w:rPr>
          <w:rFonts w:hint="cs"/>
          <w:rtl/>
        </w:rPr>
        <w:t>اول چنین</w:t>
      </w:r>
      <w:r w:rsidR="005A25B2">
        <w:rPr>
          <w:rFonts w:hint="cs"/>
          <w:rtl/>
        </w:rPr>
        <w:t xml:space="preserve"> ا</w:t>
      </w:r>
      <w:r w:rsidR="00E45E57">
        <w:rPr>
          <w:rFonts w:hint="cs"/>
          <w:rtl/>
        </w:rPr>
        <w:t>س</w:t>
      </w:r>
      <w:r w:rsidR="005A25B2">
        <w:rPr>
          <w:rFonts w:hint="cs"/>
          <w:rtl/>
        </w:rPr>
        <w:t xml:space="preserve">ت که از جانبی </w:t>
      </w:r>
      <w:r>
        <w:rPr>
          <w:rFonts w:hint="cs"/>
          <w:rtl/>
        </w:rPr>
        <w:t>مفروض آن است که</w:t>
      </w:r>
      <w:r w:rsidR="000864AA">
        <w:rPr>
          <w:rFonts w:hint="cs"/>
          <w:rtl/>
        </w:rPr>
        <w:t xml:space="preserve"> موضوع استصحاب ولو</w:t>
      </w:r>
      <w:r>
        <w:rPr>
          <w:rFonts w:hint="cs"/>
          <w:rtl/>
        </w:rPr>
        <w:t xml:space="preserve"> به </w:t>
      </w:r>
      <w:r w:rsidR="000864AA">
        <w:rPr>
          <w:rFonts w:hint="cs"/>
          <w:rtl/>
        </w:rPr>
        <w:t xml:space="preserve">لحاظ </w:t>
      </w:r>
      <w:r>
        <w:rPr>
          <w:rFonts w:hint="cs"/>
          <w:rtl/>
        </w:rPr>
        <w:t xml:space="preserve">زمان یقین منهی عنه بوده ، پس مصداق « یرد فیه نهی » می باشد </w:t>
      </w:r>
      <w:r w:rsidR="000864AA">
        <w:rPr>
          <w:rFonts w:hint="cs"/>
          <w:rtl/>
        </w:rPr>
        <w:t xml:space="preserve">و </w:t>
      </w:r>
      <w:r w:rsidR="00462995">
        <w:rPr>
          <w:rFonts w:hint="cs"/>
          <w:rtl/>
        </w:rPr>
        <w:t xml:space="preserve">از جانب دیگر « عدم ورود نهی » موضوع دلیل برائت است ؛ </w:t>
      </w:r>
      <w:r w:rsidR="001D151F">
        <w:rPr>
          <w:rFonts w:hint="cs"/>
          <w:rtl/>
        </w:rPr>
        <w:t>بنابراین با وجود</w:t>
      </w:r>
      <w:r w:rsidR="000864AA">
        <w:rPr>
          <w:rFonts w:hint="cs"/>
          <w:rtl/>
        </w:rPr>
        <w:t xml:space="preserve"> موضوع </w:t>
      </w:r>
      <w:r w:rsidR="001D151F">
        <w:rPr>
          <w:rFonts w:hint="cs"/>
          <w:rtl/>
        </w:rPr>
        <w:t xml:space="preserve">استصحاب دیگر موضوع </w:t>
      </w:r>
      <w:r w:rsidR="000864AA">
        <w:rPr>
          <w:rFonts w:hint="cs"/>
          <w:rtl/>
        </w:rPr>
        <w:t xml:space="preserve">برائت شکل نمی گیرد </w:t>
      </w:r>
      <w:r w:rsidR="00446017">
        <w:rPr>
          <w:rFonts w:hint="cs"/>
          <w:rtl/>
        </w:rPr>
        <w:t xml:space="preserve">و این خروج تخصّصی است </w:t>
      </w:r>
      <w:r w:rsidR="000864AA">
        <w:rPr>
          <w:rFonts w:hint="cs"/>
          <w:rtl/>
        </w:rPr>
        <w:t xml:space="preserve">. </w:t>
      </w:r>
    </w:p>
    <w:p w:rsidR="00E011A4" w:rsidRDefault="00FC0165" w:rsidP="00C7689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C7689B">
        <w:rPr>
          <w:rFonts w:hint="cs"/>
          <w:rtl/>
        </w:rPr>
        <w:t xml:space="preserve">مطابق این کلام </w:t>
      </w:r>
      <w:r w:rsidR="00182EBF">
        <w:rPr>
          <w:rFonts w:hint="cs"/>
          <w:rtl/>
        </w:rPr>
        <w:t xml:space="preserve">برائت نسبت به شمول موارد یقین به حرمت سابقه قاصر است </w:t>
      </w:r>
      <w:r w:rsidR="00C7689B">
        <w:rPr>
          <w:rFonts w:hint="cs"/>
          <w:rtl/>
        </w:rPr>
        <w:t>، فارغ از این که استصحابی حجت باشد و جریا</w:t>
      </w:r>
      <w:r w:rsidR="00D471DF">
        <w:rPr>
          <w:rFonts w:hint="cs"/>
          <w:rtl/>
        </w:rPr>
        <w:t>ن</w:t>
      </w:r>
      <w:r>
        <w:rPr>
          <w:rFonts w:hint="cs"/>
          <w:rtl/>
        </w:rPr>
        <w:t xml:space="preserve"> پیدا </w:t>
      </w:r>
      <w:r w:rsidR="00C7689B">
        <w:rPr>
          <w:rFonts w:hint="cs"/>
          <w:rtl/>
        </w:rPr>
        <w:t xml:space="preserve">کند </w:t>
      </w:r>
      <w:r w:rsidR="00182EBF">
        <w:rPr>
          <w:rFonts w:hint="cs"/>
          <w:rtl/>
        </w:rPr>
        <w:t xml:space="preserve">. به عبارت دیگر </w:t>
      </w:r>
      <w:r w:rsidR="007F77B1">
        <w:rPr>
          <w:rFonts w:hint="cs"/>
          <w:rtl/>
        </w:rPr>
        <w:t>بنابر</w:t>
      </w:r>
      <w:r w:rsidR="00182EBF">
        <w:rPr>
          <w:rFonts w:hint="cs"/>
          <w:rtl/>
        </w:rPr>
        <w:t xml:space="preserve"> تقریب مذکور با وجود موضوع استصحاب ،</w:t>
      </w:r>
      <w:r w:rsidR="00024CA5">
        <w:rPr>
          <w:rFonts w:hint="cs"/>
          <w:rtl/>
        </w:rPr>
        <w:t xml:space="preserve"> اصلا موضوع برائت محقّق نیست </w:t>
      </w:r>
      <w:r w:rsidR="00A6583F">
        <w:rPr>
          <w:rFonts w:hint="cs"/>
          <w:rtl/>
        </w:rPr>
        <w:t xml:space="preserve">و نوبت به بررسی رابطه </w:t>
      </w:r>
      <w:r w:rsidR="00094A34">
        <w:rPr>
          <w:rFonts w:hint="cs"/>
          <w:rtl/>
        </w:rPr>
        <w:t xml:space="preserve">خود </w:t>
      </w:r>
      <w:r w:rsidR="00A6583F">
        <w:rPr>
          <w:rFonts w:hint="cs"/>
          <w:rtl/>
        </w:rPr>
        <w:t xml:space="preserve">استصحاب با دلیل برائت نمی رسد . </w:t>
      </w:r>
      <w:r w:rsidR="00DA0A4C">
        <w:rPr>
          <w:rStyle w:val="FootnoteReference"/>
          <w:rtl/>
        </w:rPr>
        <w:footnoteReference w:id="5"/>
      </w:r>
    </w:p>
    <w:p w:rsidR="00E011A4" w:rsidRDefault="00E011A4" w:rsidP="00E011A4">
      <w:pPr>
        <w:pStyle w:val="Heading6"/>
        <w:rPr>
          <w:rtl/>
        </w:rPr>
      </w:pPr>
      <w:bookmarkStart w:id="24" w:name="_Toc530249707"/>
      <w:bookmarkStart w:id="25" w:name="_Toc530249817"/>
      <w:bookmarkStart w:id="26" w:name="_Toc530249839"/>
      <w:bookmarkStart w:id="27" w:name="_Toc530249862"/>
      <w:bookmarkStart w:id="28" w:name="_Toc530249909"/>
      <w:bookmarkStart w:id="29" w:name="_Toc530251709"/>
      <w:bookmarkStart w:id="30" w:name="_Toc530251743"/>
      <w:bookmarkStart w:id="31" w:name="_Toc530252295"/>
      <w:bookmarkStart w:id="32" w:name="_Toc530256539"/>
      <w:bookmarkStart w:id="33" w:name="_Toc530256648"/>
      <w:bookmarkStart w:id="34" w:name="_Toc530257224"/>
      <w:r>
        <w:rPr>
          <w:rFonts w:hint="cs"/>
          <w:rtl/>
        </w:rPr>
        <w:t>نقد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r w:rsidR="00DF1B9D">
        <w:rPr>
          <w:rFonts w:hint="cs"/>
          <w:rtl/>
        </w:rPr>
        <w:t xml:space="preserve"> : ظهور روایت در نهی فعلی</w:t>
      </w:r>
      <w:bookmarkEnd w:id="33"/>
      <w:bookmarkEnd w:id="34"/>
    </w:p>
    <w:p w:rsidR="006D736D" w:rsidRDefault="00E011A4" w:rsidP="00B32217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D7436">
        <w:rPr>
          <w:rFonts w:hint="cs"/>
          <w:rtl/>
        </w:rPr>
        <w:t xml:space="preserve">مرحوم شیخ فرموده اند </w:t>
      </w:r>
      <w:r>
        <w:rPr>
          <w:rFonts w:hint="cs"/>
          <w:rtl/>
        </w:rPr>
        <w:t xml:space="preserve">این </w:t>
      </w:r>
      <w:r w:rsidR="002D7436">
        <w:rPr>
          <w:rFonts w:hint="cs"/>
          <w:rtl/>
        </w:rPr>
        <w:t>استدلال</w:t>
      </w:r>
      <w:r>
        <w:rPr>
          <w:rFonts w:hint="cs"/>
          <w:rtl/>
        </w:rPr>
        <w:t xml:space="preserve"> صحیح نیست زیرا مراد از « حتی یرد فیه نهی » ثبوت نهی فعلی نسبت به آن شی ء است</w:t>
      </w:r>
      <w:r w:rsidR="00182EBF">
        <w:rPr>
          <w:rFonts w:hint="cs"/>
          <w:rtl/>
        </w:rPr>
        <w:t xml:space="preserve"> </w:t>
      </w:r>
      <w:r w:rsidR="007B683F">
        <w:rPr>
          <w:rFonts w:hint="cs"/>
          <w:rtl/>
        </w:rPr>
        <w:t>نه ثبوت نهی از آن ولو</w:t>
      </w:r>
      <w:r w:rsidR="000F0D9D">
        <w:rPr>
          <w:rFonts w:hint="cs"/>
          <w:rtl/>
        </w:rPr>
        <w:t xml:space="preserve"> به لحاظ زمانی از أزمنه </w:t>
      </w:r>
      <w:r w:rsidR="00415237">
        <w:rPr>
          <w:rFonts w:hint="cs"/>
          <w:rtl/>
        </w:rPr>
        <w:t xml:space="preserve">گذشته </w:t>
      </w:r>
      <w:r w:rsidR="000F0D9D">
        <w:rPr>
          <w:rFonts w:hint="cs"/>
          <w:rtl/>
        </w:rPr>
        <w:t>.</w:t>
      </w:r>
      <w:r w:rsidR="00415237">
        <w:rPr>
          <w:rFonts w:hint="cs"/>
          <w:rtl/>
        </w:rPr>
        <w:t xml:space="preserve"> </w:t>
      </w:r>
      <w:r w:rsidR="008F1CDF">
        <w:rPr>
          <w:rFonts w:hint="cs"/>
          <w:rtl/>
        </w:rPr>
        <w:t xml:space="preserve">بنابراین مفاد دلیل برائت هیچ قصور موضوعی برای شمول موارد استصحاب ندارد </w:t>
      </w:r>
      <w:r w:rsidR="000943B5">
        <w:rPr>
          <w:rFonts w:hint="cs"/>
          <w:rtl/>
        </w:rPr>
        <w:t xml:space="preserve">و </w:t>
      </w:r>
      <w:r w:rsidR="00521169">
        <w:rPr>
          <w:rFonts w:hint="cs"/>
          <w:rtl/>
        </w:rPr>
        <w:t>أعمّ از آن است</w:t>
      </w:r>
      <w:r w:rsidR="00F267DD">
        <w:rPr>
          <w:rStyle w:val="FootnoteReference"/>
          <w:rtl/>
        </w:rPr>
        <w:footnoteReference w:id="6"/>
      </w:r>
      <w:r w:rsidR="00521169">
        <w:rPr>
          <w:rFonts w:hint="cs"/>
          <w:rtl/>
        </w:rPr>
        <w:t xml:space="preserve"> ، نه این که</w:t>
      </w:r>
      <w:r w:rsidR="000943B5">
        <w:rPr>
          <w:rFonts w:hint="cs"/>
          <w:rtl/>
        </w:rPr>
        <w:t xml:space="preserve"> موضوع برائت و استصحاب مباین باشند .</w:t>
      </w:r>
    </w:p>
    <w:p w:rsidR="006D736D" w:rsidRDefault="006D736D" w:rsidP="006D736D">
      <w:pPr>
        <w:pStyle w:val="Heading6"/>
        <w:rPr>
          <w:rtl/>
        </w:rPr>
      </w:pPr>
      <w:bookmarkStart w:id="35" w:name="_Toc530249708"/>
      <w:bookmarkStart w:id="36" w:name="_Toc530249818"/>
      <w:bookmarkStart w:id="37" w:name="_Toc530249840"/>
      <w:bookmarkStart w:id="38" w:name="_Toc530249863"/>
      <w:bookmarkStart w:id="39" w:name="_Toc530249910"/>
      <w:bookmarkStart w:id="40" w:name="_Toc530251710"/>
      <w:bookmarkStart w:id="41" w:name="_Toc530251744"/>
      <w:bookmarkStart w:id="42" w:name="_Toc530252296"/>
      <w:bookmarkStart w:id="43" w:name="_Toc530256540"/>
      <w:bookmarkStart w:id="44" w:name="_Toc530256649"/>
      <w:bookmarkStart w:id="45" w:name="_Toc530257225"/>
      <w:r>
        <w:rPr>
          <w:rFonts w:hint="cs"/>
          <w:rtl/>
        </w:rPr>
        <w:t>بیان مرحوم روحانی</w:t>
      </w:r>
      <w:bookmarkEnd w:id="35"/>
      <w:bookmarkEnd w:id="36"/>
      <w:bookmarkEnd w:id="37"/>
      <w:bookmarkEnd w:id="38"/>
      <w:bookmarkEnd w:id="39"/>
      <w:r w:rsidR="00134E0E">
        <w:rPr>
          <w:rFonts w:hint="cs"/>
          <w:rtl/>
        </w:rPr>
        <w:t xml:space="preserve"> : تنافی مناقشه مرحوم شیخ با اشتراط بقاء موضوع</w:t>
      </w:r>
      <w:bookmarkEnd w:id="40"/>
      <w:bookmarkEnd w:id="41"/>
      <w:bookmarkEnd w:id="42"/>
      <w:bookmarkEnd w:id="43"/>
      <w:bookmarkEnd w:id="44"/>
      <w:bookmarkEnd w:id="45"/>
    </w:p>
    <w:p w:rsidR="006D736D" w:rsidRDefault="006D736D" w:rsidP="006D736D">
      <w:pPr>
        <w:jc w:val="both"/>
        <w:rPr>
          <w:rtl/>
        </w:rPr>
      </w:pPr>
      <w:r>
        <w:rPr>
          <w:rFonts w:hint="cs"/>
          <w:rtl/>
        </w:rPr>
        <w:t xml:space="preserve">   مرحوم روحانی </w:t>
      </w:r>
      <w:r w:rsidR="00BC2418">
        <w:rPr>
          <w:rFonts w:hint="cs"/>
          <w:rtl/>
        </w:rPr>
        <w:t xml:space="preserve">در این جا </w:t>
      </w:r>
      <w:r>
        <w:rPr>
          <w:rFonts w:hint="cs"/>
          <w:rtl/>
        </w:rPr>
        <w:t xml:space="preserve">به کلام مرحوم شیخ اشکال کرده اند که مطلب </w:t>
      </w:r>
      <w:r w:rsidR="00412AD6">
        <w:rPr>
          <w:rFonts w:hint="cs"/>
          <w:rtl/>
        </w:rPr>
        <w:t xml:space="preserve">بیان شده </w:t>
      </w:r>
      <w:r>
        <w:rPr>
          <w:rFonts w:hint="cs"/>
          <w:rtl/>
        </w:rPr>
        <w:t xml:space="preserve">با آن چه در مورد اشتراط </w:t>
      </w:r>
      <w:r w:rsidR="00412AD6">
        <w:rPr>
          <w:rFonts w:hint="cs"/>
          <w:rtl/>
        </w:rPr>
        <w:t>بقاء عرفی موضوع در استصحاب گفته اید</w:t>
      </w:r>
      <w:r>
        <w:rPr>
          <w:rFonts w:hint="cs"/>
          <w:rtl/>
        </w:rPr>
        <w:t xml:space="preserve"> ، سازگار نیست . اگر </w:t>
      </w:r>
      <w:r w:rsidR="004B0066">
        <w:rPr>
          <w:rFonts w:hint="cs"/>
          <w:rtl/>
        </w:rPr>
        <w:t xml:space="preserve">بعد از شک </w:t>
      </w:r>
      <w:r>
        <w:rPr>
          <w:rFonts w:hint="cs"/>
          <w:rtl/>
        </w:rPr>
        <w:t xml:space="preserve">موضوع عرفا ثابت باشد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همانگونه که در استصحاب شرط کرده اید </w:t>
      </w:r>
      <w:r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فراز « ورد فیه نهی » صادق است </w:t>
      </w:r>
      <w:r w:rsidR="003A6D38">
        <w:rPr>
          <w:rFonts w:hint="cs"/>
          <w:rtl/>
        </w:rPr>
        <w:t>؛</w:t>
      </w:r>
      <w:r w:rsidR="00BC63CC">
        <w:rPr>
          <w:rFonts w:hint="cs"/>
          <w:rtl/>
        </w:rPr>
        <w:t xml:space="preserve"> و</w:t>
      </w:r>
      <w:r w:rsidR="008630EB">
        <w:rPr>
          <w:rFonts w:hint="cs"/>
          <w:rtl/>
        </w:rPr>
        <w:t xml:space="preserve"> اگر موضوع مباین با موضوع در حال یقین سابق باشد ، </w:t>
      </w:r>
      <w:r w:rsidR="00BC63CC">
        <w:rPr>
          <w:rFonts w:hint="cs"/>
          <w:rtl/>
        </w:rPr>
        <w:t xml:space="preserve">دیگر این مطلب </w:t>
      </w:r>
      <w:r w:rsidR="008630EB">
        <w:rPr>
          <w:rFonts w:hint="cs"/>
          <w:rtl/>
        </w:rPr>
        <w:t>صدق نمی کند اما</w:t>
      </w:r>
      <w:r w:rsidR="006C02D9">
        <w:rPr>
          <w:rFonts w:hint="cs"/>
          <w:rtl/>
        </w:rPr>
        <w:t xml:space="preserve"> باید دقت کرد</w:t>
      </w:r>
      <w:r w:rsidR="008630EB">
        <w:rPr>
          <w:rFonts w:hint="cs"/>
          <w:rtl/>
        </w:rPr>
        <w:t xml:space="preserve"> خودتان </w:t>
      </w:r>
      <w:r w:rsidR="004A1062">
        <w:rPr>
          <w:rFonts w:hint="cs"/>
          <w:rtl/>
        </w:rPr>
        <w:t xml:space="preserve">هم </w:t>
      </w:r>
      <w:r w:rsidR="008630EB">
        <w:rPr>
          <w:rFonts w:hint="cs"/>
          <w:rtl/>
        </w:rPr>
        <w:t xml:space="preserve">ملتزم شده اید در فرض تباین موضوع </w:t>
      </w:r>
      <w:r w:rsidR="006E2A2B">
        <w:rPr>
          <w:rFonts w:hint="cs"/>
          <w:rtl/>
        </w:rPr>
        <w:t xml:space="preserve">، </w:t>
      </w:r>
      <w:r w:rsidR="008630EB">
        <w:rPr>
          <w:rFonts w:hint="cs"/>
          <w:rtl/>
        </w:rPr>
        <w:t>دیگر استصحاب هم جاری نیست .</w:t>
      </w:r>
      <w:r w:rsidR="0079773B">
        <w:rPr>
          <w:rFonts w:hint="cs"/>
          <w:rtl/>
        </w:rPr>
        <w:t xml:space="preserve"> بعد هم </w:t>
      </w:r>
      <w:r w:rsidR="00703643">
        <w:rPr>
          <w:rFonts w:hint="cs"/>
          <w:rtl/>
        </w:rPr>
        <w:t>خود مرحوم روحانی به این مطلب پ</w:t>
      </w:r>
      <w:r w:rsidR="0079773B">
        <w:rPr>
          <w:rFonts w:hint="cs"/>
          <w:rtl/>
        </w:rPr>
        <w:t>اسخ داده اند و پاسخشان همان مطلبی</w:t>
      </w:r>
      <w:r w:rsidR="00E35B74">
        <w:rPr>
          <w:rStyle w:val="FootnoteReference"/>
          <w:rtl/>
        </w:rPr>
        <w:footnoteReference w:id="7"/>
      </w:r>
      <w:r w:rsidR="0079773B">
        <w:rPr>
          <w:rFonts w:hint="cs"/>
          <w:rtl/>
        </w:rPr>
        <w:t xml:space="preserve"> است که </w:t>
      </w:r>
      <w:r w:rsidR="00703643">
        <w:rPr>
          <w:rFonts w:hint="cs"/>
          <w:rtl/>
        </w:rPr>
        <w:t>ما در تقریر کلام مرحوم شیخ بیان کردیم .</w:t>
      </w:r>
      <w:r w:rsidR="00364DCF">
        <w:rPr>
          <w:rStyle w:val="FootnoteReference"/>
        </w:rPr>
        <w:footnoteReference w:id="8"/>
      </w:r>
    </w:p>
    <w:p w:rsidR="009619A8" w:rsidRDefault="009619A8" w:rsidP="009619A8">
      <w:pPr>
        <w:pStyle w:val="Heading1"/>
        <w:rPr>
          <w:rtl/>
        </w:rPr>
      </w:pPr>
      <w:bookmarkStart w:id="46" w:name="_Toc530251711"/>
      <w:bookmarkStart w:id="47" w:name="_Toc530251745"/>
      <w:bookmarkStart w:id="48" w:name="_Toc530252297"/>
      <w:bookmarkStart w:id="49" w:name="_Toc530256541"/>
      <w:bookmarkStart w:id="50" w:name="_Toc530256650"/>
      <w:bookmarkStart w:id="51" w:name="_Toc530257226"/>
      <w:r>
        <w:rPr>
          <w:rFonts w:hint="cs"/>
          <w:rtl/>
        </w:rPr>
        <w:lastRenderedPageBreak/>
        <w:t xml:space="preserve">وجه </w:t>
      </w:r>
      <w:r w:rsidR="009C76F2">
        <w:rPr>
          <w:rFonts w:hint="cs"/>
          <w:rtl/>
        </w:rPr>
        <w:t>دو</w:t>
      </w:r>
      <w:r w:rsidR="00B16A3F">
        <w:rPr>
          <w:rFonts w:hint="cs"/>
          <w:rtl/>
        </w:rPr>
        <w:t>ّ</w:t>
      </w:r>
      <w:r w:rsidR="009C76F2">
        <w:rPr>
          <w:rFonts w:hint="cs"/>
          <w:rtl/>
        </w:rPr>
        <w:t>م خروج</w:t>
      </w:r>
      <w:r>
        <w:rPr>
          <w:rFonts w:hint="cs"/>
          <w:rtl/>
        </w:rPr>
        <w:t xml:space="preserve"> : </w:t>
      </w:r>
      <w:r w:rsidR="00E01E99">
        <w:rPr>
          <w:rFonts w:hint="cs"/>
          <w:rtl/>
        </w:rPr>
        <w:t xml:space="preserve">ورود </w:t>
      </w:r>
      <w:r w:rsidR="00E01E99">
        <w:rPr>
          <w:rStyle w:val="FootnoteReference"/>
          <w:rtl/>
        </w:rPr>
        <w:footnoteReference w:id="9"/>
      </w:r>
      <w:bookmarkEnd w:id="46"/>
      <w:bookmarkEnd w:id="47"/>
      <w:bookmarkEnd w:id="48"/>
      <w:bookmarkEnd w:id="49"/>
      <w:bookmarkEnd w:id="50"/>
      <w:bookmarkEnd w:id="51"/>
      <w:r>
        <w:rPr>
          <w:rFonts w:hint="cs"/>
          <w:rtl/>
        </w:rPr>
        <w:t xml:space="preserve"> </w:t>
      </w:r>
    </w:p>
    <w:p w:rsidR="009619A8" w:rsidRDefault="00CA22D4" w:rsidP="00515E3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845CB">
        <w:rPr>
          <w:rFonts w:hint="cs"/>
          <w:rtl/>
        </w:rPr>
        <w:t xml:space="preserve">تقریب دوم آن است که </w:t>
      </w:r>
      <w:r w:rsidR="00CF3EE6">
        <w:rPr>
          <w:rFonts w:hint="cs"/>
          <w:rtl/>
        </w:rPr>
        <w:t xml:space="preserve">موضوع استصحابی و لو به لحاظ خطاب « لا تنقض » و عنوان ثانوی مقیّد به شکّ ، </w:t>
      </w:r>
      <w:r w:rsidR="002845CB">
        <w:rPr>
          <w:rFonts w:hint="cs"/>
          <w:rtl/>
        </w:rPr>
        <w:t xml:space="preserve"> </w:t>
      </w:r>
      <w:r w:rsidR="00CF3EE6">
        <w:rPr>
          <w:rFonts w:hint="cs"/>
          <w:rtl/>
        </w:rPr>
        <w:t xml:space="preserve">مورد نهی است و این باعث رفع موضوع برائت می شود زیرا موضوع دلیل برائت « </w:t>
      </w:r>
      <w:r w:rsidR="00515E35">
        <w:rPr>
          <w:rFonts w:hint="cs"/>
          <w:rtl/>
        </w:rPr>
        <w:t>عدم ورود</w:t>
      </w:r>
      <w:r w:rsidR="00CF3EE6">
        <w:rPr>
          <w:rFonts w:hint="cs"/>
          <w:rtl/>
        </w:rPr>
        <w:t xml:space="preserve"> نهی</w:t>
      </w:r>
      <w:r w:rsidR="00A3062D">
        <w:rPr>
          <w:rStyle w:val="FootnoteReference"/>
          <w:rtl/>
        </w:rPr>
        <w:footnoteReference w:id="10"/>
      </w:r>
      <w:r w:rsidR="00CF3EE6">
        <w:rPr>
          <w:rFonts w:hint="cs"/>
          <w:rtl/>
        </w:rPr>
        <w:t xml:space="preserve"> » است .</w:t>
      </w:r>
      <w:r w:rsidR="009604E0">
        <w:rPr>
          <w:rFonts w:hint="cs"/>
          <w:rtl/>
        </w:rPr>
        <w:t xml:space="preserve"> به عبارت دوم ن</w:t>
      </w:r>
      <w:r w:rsidR="00036F00">
        <w:rPr>
          <w:rFonts w:hint="cs"/>
          <w:rtl/>
        </w:rPr>
        <w:t xml:space="preserve">قض مشکوک به عنوان مشکوک البقاء متعلّق </w:t>
      </w:r>
      <w:r w:rsidR="009604E0">
        <w:rPr>
          <w:rFonts w:hint="cs"/>
          <w:rtl/>
        </w:rPr>
        <w:t xml:space="preserve">نهی </w:t>
      </w:r>
      <w:r w:rsidR="00036F00">
        <w:rPr>
          <w:rFonts w:hint="cs"/>
          <w:rtl/>
        </w:rPr>
        <w:t xml:space="preserve">ظاهری </w:t>
      </w:r>
      <w:r w:rsidR="009604E0">
        <w:rPr>
          <w:rFonts w:hint="cs"/>
          <w:rtl/>
        </w:rPr>
        <w:t>است و با وجود این نهی موضوع برائت محقّق</w:t>
      </w:r>
      <w:r w:rsidR="00604003">
        <w:rPr>
          <w:rFonts w:hint="cs"/>
          <w:rtl/>
        </w:rPr>
        <w:t xml:space="preserve"> نمی شود .</w:t>
      </w:r>
      <w:r w:rsidR="009B6839">
        <w:rPr>
          <w:rStyle w:val="FootnoteReference"/>
        </w:rPr>
        <w:footnoteReference w:id="11"/>
      </w:r>
    </w:p>
    <w:p w:rsidR="007D1608" w:rsidRDefault="007D1608" w:rsidP="007D1608">
      <w:pPr>
        <w:pStyle w:val="Heading6"/>
      </w:pPr>
      <w:bookmarkStart w:id="52" w:name="_Toc530256651"/>
      <w:bookmarkStart w:id="53" w:name="_Toc530257227"/>
      <w:r>
        <w:rPr>
          <w:rFonts w:hint="cs"/>
          <w:rtl/>
        </w:rPr>
        <w:t>مناقشه : اختصاص متعلّق نهی به حکم واقعی</w:t>
      </w:r>
      <w:bookmarkEnd w:id="52"/>
      <w:bookmarkEnd w:id="53"/>
    </w:p>
    <w:p w:rsidR="00AF026E" w:rsidRDefault="00604003" w:rsidP="00515E35">
      <w:pPr>
        <w:jc w:val="both"/>
        <w:rPr>
          <w:rtl/>
        </w:rPr>
      </w:pPr>
      <w:r>
        <w:rPr>
          <w:rFonts w:hint="cs"/>
          <w:rtl/>
        </w:rPr>
        <w:t xml:space="preserve">   مرحوم شیخ نسبت به این وجه فرموده اند ظاهر </w:t>
      </w:r>
      <w:r w:rsidR="007B03B7">
        <w:rPr>
          <w:rFonts w:hint="cs"/>
          <w:rtl/>
        </w:rPr>
        <w:t xml:space="preserve">« حتی </w:t>
      </w:r>
      <w:r w:rsidR="00674050">
        <w:rPr>
          <w:rFonts w:hint="cs"/>
          <w:rtl/>
        </w:rPr>
        <w:t>ی</w:t>
      </w:r>
      <w:r w:rsidR="007B03B7">
        <w:rPr>
          <w:rFonts w:hint="cs"/>
          <w:rtl/>
        </w:rPr>
        <w:t>رد فیه نهی »</w:t>
      </w:r>
      <w:r w:rsidR="00674050">
        <w:rPr>
          <w:rFonts w:hint="cs"/>
          <w:rtl/>
        </w:rPr>
        <w:t xml:space="preserve"> نهی به عنوان اولی است که حکم واقعی </w:t>
      </w:r>
      <w:r w:rsidR="00542687">
        <w:rPr>
          <w:rFonts w:hint="cs"/>
          <w:rtl/>
        </w:rPr>
        <w:t xml:space="preserve">می </w:t>
      </w:r>
      <w:r w:rsidR="00674050">
        <w:rPr>
          <w:rFonts w:hint="cs"/>
          <w:rtl/>
        </w:rPr>
        <w:t xml:space="preserve">باشد نه </w:t>
      </w:r>
      <w:r w:rsidR="008B7CC9">
        <w:rPr>
          <w:rFonts w:hint="cs"/>
          <w:rtl/>
        </w:rPr>
        <w:t xml:space="preserve">نهی </w:t>
      </w:r>
      <w:r w:rsidR="00D83382">
        <w:rPr>
          <w:rFonts w:hint="cs"/>
          <w:rtl/>
        </w:rPr>
        <w:t xml:space="preserve">ای </w:t>
      </w:r>
      <w:r w:rsidR="00674050">
        <w:rPr>
          <w:rFonts w:hint="cs"/>
          <w:rtl/>
        </w:rPr>
        <w:t xml:space="preserve">أعمّ از ظاهری </w:t>
      </w:r>
      <w:r w:rsidR="00F20EF7">
        <w:rPr>
          <w:rFonts w:hint="cs"/>
          <w:rtl/>
        </w:rPr>
        <w:t xml:space="preserve">و عنوان ثانوی ؛ </w:t>
      </w:r>
      <w:r w:rsidR="0077075B">
        <w:rPr>
          <w:rFonts w:hint="cs"/>
          <w:rtl/>
        </w:rPr>
        <w:t>چنین</w:t>
      </w:r>
      <w:r w:rsidR="008B6FF6">
        <w:rPr>
          <w:rFonts w:hint="cs"/>
          <w:rtl/>
        </w:rPr>
        <w:t xml:space="preserve"> تعمیمی</w:t>
      </w:r>
      <w:r w:rsidR="0077075B">
        <w:rPr>
          <w:rFonts w:hint="cs"/>
          <w:rtl/>
        </w:rPr>
        <w:t xml:space="preserve"> تکلّف </w:t>
      </w:r>
      <w:r w:rsidR="00F20EF7">
        <w:rPr>
          <w:rFonts w:hint="cs"/>
          <w:rtl/>
        </w:rPr>
        <w:t xml:space="preserve">در ارتکاب </w:t>
      </w:r>
      <w:r w:rsidR="0077075B">
        <w:rPr>
          <w:rFonts w:hint="cs"/>
          <w:rtl/>
        </w:rPr>
        <w:t>خلاف ظ</w:t>
      </w:r>
      <w:r w:rsidR="00F20EF7">
        <w:rPr>
          <w:rFonts w:hint="cs"/>
          <w:rtl/>
        </w:rPr>
        <w:t>اه</w:t>
      </w:r>
      <w:r w:rsidR="0077075B">
        <w:rPr>
          <w:rFonts w:hint="cs"/>
          <w:rtl/>
        </w:rPr>
        <w:t>ر است .</w:t>
      </w:r>
      <w:r w:rsidR="00DD3927">
        <w:rPr>
          <w:rFonts w:hint="cs"/>
          <w:rtl/>
        </w:rPr>
        <w:t xml:space="preserve"> </w:t>
      </w:r>
      <w:r w:rsidR="00DD3927">
        <w:rPr>
          <w:rStyle w:val="FootnoteReference"/>
          <w:rtl/>
        </w:rPr>
        <w:footnoteReference w:id="12"/>
      </w:r>
    </w:p>
    <w:p w:rsidR="00604003" w:rsidRDefault="00AF026E" w:rsidP="00AF026E">
      <w:pPr>
        <w:pStyle w:val="Heading1"/>
        <w:rPr>
          <w:rtl/>
        </w:rPr>
      </w:pPr>
      <w:bookmarkStart w:id="54" w:name="_Toc530251712"/>
      <w:bookmarkStart w:id="55" w:name="_Toc530251746"/>
      <w:bookmarkStart w:id="56" w:name="_Toc530252298"/>
      <w:bookmarkStart w:id="57" w:name="_Toc530256542"/>
      <w:bookmarkStart w:id="58" w:name="_Toc530256652"/>
      <w:bookmarkStart w:id="59" w:name="_Toc530257228"/>
      <w:r>
        <w:rPr>
          <w:rFonts w:hint="cs"/>
          <w:rtl/>
        </w:rPr>
        <w:t>وجه سوّم خروج : حکومت</w:t>
      </w:r>
      <w:bookmarkEnd w:id="54"/>
      <w:bookmarkEnd w:id="55"/>
      <w:bookmarkEnd w:id="56"/>
      <w:bookmarkEnd w:id="57"/>
      <w:bookmarkEnd w:id="58"/>
      <w:bookmarkEnd w:id="59"/>
      <w:r w:rsidR="00674050">
        <w:rPr>
          <w:rFonts w:hint="cs"/>
          <w:rtl/>
        </w:rPr>
        <w:t xml:space="preserve"> </w:t>
      </w:r>
      <w:r w:rsidR="007B03B7">
        <w:rPr>
          <w:rFonts w:hint="cs"/>
          <w:rtl/>
        </w:rPr>
        <w:t xml:space="preserve"> </w:t>
      </w:r>
    </w:p>
    <w:p w:rsidR="008C7085" w:rsidRPr="00291255" w:rsidRDefault="00B92EDA" w:rsidP="00291255">
      <w:pPr>
        <w:jc w:val="both"/>
        <w:rPr>
          <w:color w:val="000000" w:themeColor="text1"/>
          <w:sz w:val="28"/>
          <w:rtl/>
        </w:rPr>
      </w:pPr>
      <w:r>
        <w:rPr>
          <w:rFonts w:hint="cs"/>
          <w:rtl/>
        </w:rPr>
        <w:t xml:space="preserve">   بعد </w:t>
      </w:r>
      <w:r w:rsidR="001D429C">
        <w:rPr>
          <w:rFonts w:hint="cs"/>
          <w:rtl/>
        </w:rPr>
        <w:t>از</w:t>
      </w:r>
      <w:r>
        <w:rPr>
          <w:rFonts w:hint="cs"/>
          <w:rtl/>
        </w:rPr>
        <w:t xml:space="preserve"> این دو وجه ، مرحوم شیخ مختار خودشان را </w:t>
      </w:r>
      <w:r w:rsidR="00702C72">
        <w:rPr>
          <w:rFonts w:hint="cs"/>
          <w:rtl/>
        </w:rPr>
        <w:t>تقریب کرده اند</w:t>
      </w:r>
      <w:r w:rsidR="00087A61">
        <w:rPr>
          <w:rStyle w:val="FootnoteReference"/>
          <w:rtl/>
        </w:rPr>
        <w:footnoteReference w:id="13"/>
      </w:r>
      <w:r w:rsidR="00702C72">
        <w:rPr>
          <w:rFonts w:hint="cs"/>
          <w:rtl/>
        </w:rPr>
        <w:t xml:space="preserve"> . ایشان بیان کرده اند </w:t>
      </w:r>
      <w:r w:rsidR="00BD07C6">
        <w:rPr>
          <w:rFonts w:hint="cs"/>
          <w:rtl/>
        </w:rPr>
        <w:t xml:space="preserve">شارع با دلیل استصحاب توسعه در یقین سابق می دهد و می فرماید « یقین به حدوث ، </w:t>
      </w:r>
      <w:r w:rsidR="00A23A38">
        <w:rPr>
          <w:rFonts w:hint="cs"/>
          <w:rtl/>
        </w:rPr>
        <w:t>تعبّدا یقین به بقاء هم هست</w:t>
      </w:r>
      <w:r w:rsidR="00BD07C6">
        <w:rPr>
          <w:rFonts w:hint="cs"/>
          <w:rtl/>
        </w:rPr>
        <w:t xml:space="preserve"> » .</w:t>
      </w:r>
      <w:r w:rsidR="00514709">
        <w:rPr>
          <w:rStyle w:val="FootnoteReference"/>
          <w:rtl/>
        </w:rPr>
        <w:footnoteReference w:id="14"/>
      </w:r>
      <w:r w:rsidR="00514709">
        <w:rPr>
          <w:rFonts w:hint="cs"/>
          <w:rtl/>
        </w:rPr>
        <w:t xml:space="preserve"> پس </w:t>
      </w:r>
      <w:r w:rsidR="00A7382C">
        <w:rPr>
          <w:rFonts w:hint="cs"/>
          <w:rtl/>
        </w:rPr>
        <w:t>بعد از جریان استصحاب ، مکلّف تعبدا م</w:t>
      </w:r>
      <w:r w:rsidR="002A30C2">
        <w:rPr>
          <w:rFonts w:hint="cs"/>
          <w:rtl/>
        </w:rPr>
        <w:t>ُ</w:t>
      </w:r>
      <w:r w:rsidR="00A7382C">
        <w:rPr>
          <w:rFonts w:hint="cs"/>
          <w:rtl/>
        </w:rPr>
        <w:t>وق</w:t>
      </w:r>
      <w:r w:rsidR="002A30C2">
        <w:rPr>
          <w:rFonts w:hint="cs"/>
          <w:rtl/>
        </w:rPr>
        <w:t>ِ</w:t>
      </w:r>
      <w:r w:rsidR="00A7382C">
        <w:rPr>
          <w:rFonts w:hint="cs"/>
          <w:rtl/>
        </w:rPr>
        <w:t xml:space="preserve">ن </w:t>
      </w:r>
      <w:r w:rsidR="006215CF">
        <w:rPr>
          <w:rFonts w:hint="cs"/>
          <w:rtl/>
        </w:rPr>
        <w:t>(</w:t>
      </w:r>
      <w:r w:rsidR="00741159">
        <w:rPr>
          <w:rFonts w:hint="cs"/>
          <w:rtl/>
        </w:rPr>
        <w:t xml:space="preserve"> </w:t>
      </w:r>
      <w:r w:rsidR="006215CF" w:rsidRPr="00291255">
        <w:rPr>
          <w:rFonts w:hint="cs"/>
          <w:color w:val="000000" w:themeColor="text1"/>
          <w:sz w:val="28"/>
          <w:rtl/>
        </w:rPr>
        <w:t>به حکم واقعی</w:t>
      </w:r>
      <w:r w:rsidR="00741159" w:rsidRPr="00291255">
        <w:rPr>
          <w:rFonts w:hint="cs"/>
          <w:color w:val="000000" w:themeColor="text1"/>
          <w:sz w:val="28"/>
          <w:rtl/>
        </w:rPr>
        <w:t xml:space="preserve"> </w:t>
      </w:r>
      <w:r w:rsidR="00E94B2A" w:rsidRPr="00291255">
        <w:rPr>
          <w:rFonts w:hint="cs"/>
          <w:color w:val="000000" w:themeColor="text1"/>
          <w:sz w:val="28"/>
          <w:rtl/>
        </w:rPr>
        <w:t xml:space="preserve">) </w:t>
      </w:r>
      <w:r w:rsidR="00A7382C" w:rsidRPr="00291255">
        <w:rPr>
          <w:rFonts w:hint="cs"/>
          <w:color w:val="000000" w:themeColor="text1"/>
          <w:sz w:val="28"/>
          <w:rtl/>
        </w:rPr>
        <w:t>است</w:t>
      </w:r>
      <w:r w:rsidR="00425AD3" w:rsidRPr="00291255">
        <w:rPr>
          <w:rStyle w:val="FootnoteReference"/>
          <w:color w:val="000000" w:themeColor="text1"/>
          <w:sz w:val="28"/>
          <w:rtl/>
        </w:rPr>
        <w:footnoteReference w:id="15"/>
      </w:r>
      <w:r w:rsidR="00A7382C" w:rsidRPr="00291255">
        <w:rPr>
          <w:rFonts w:hint="cs"/>
          <w:color w:val="000000" w:themeColor="text1"/>
          <w:sz w:val="28"/>
          <w:rtl/>
        </w:rPr>
        <w:t xml:space="preserve"> </w:t>
      </w:r>
      <w:r w:rsidR="00B52CB1" w:rsidRPr="00291255">
        <w:rPr>
          <w:rFonts w:hint="cs"/>
          <w:color w:val="000000" w:themeColor="text1"/>
          <w:sz w:val="28"/>
          <w:rtl/>
        </w:rPr>
        <w:t xml:space="preserve">و دیگر </w:t>
      </w:r>
      <w:r w:rsidR="00E136FC" w:rsidRPr="00291255">
        <w:rPr>
          <w:rFonts w:hint="cs"/>
          <w:color w:val="000000" w:themeColor="text1"/>
          <w:sz w:val="28"/>
          <w:rtl/>
        </w:rPr>
        <w:t>«</w:t>
      </w:r>
      <w:r w:rsidR="00741159" w:rsidRPr="00291255">
        <w:rPr>
          <w:rFonts w:hint="cs"/>
          <w:color w:val="000000" w:themeColor="text1"/>
          <w:sz w:val="28"/>
          <w:rtl/>
        </w:rPr>
        <w:t xml:space="preserve"> </w:t>
      </w:r>
      <w:r w:rsidR="00E136FC" w:rsidRPr="00291255">
        <w:rPr>
          <w:rFonts w:hint="cs"/>
          <w:color w:val="000000" w:themeColor="text1"/>
          <w:sz w:val="28"/>
          <w:rtl/>
        </w:rPr>
        <w:t>ما لا یعلمون</w:t>
      </w:r>
      <w:r w:rsidR="00741159" w:rsidRPr="00291255">
        <w:rPr>
          <w:rFonts w:hint="cs"/>
          <w:color w:val="000000" w:themeColor="text1"/>
          <w:sz w:val="28"/>
          <w:rtl/>
        </w:rPr>
        <w:t xml:space="preserve"> </w:t>
      </w:r>
      <w:r w:rsidR="00F74D6C" w:rsidRPr="00291255">
        <w:rPr>
          <w:rFonts w:hint="cs"/>
          <w:color w:val="000000" w:themeColor="text1"/>
          <w:sz w:val="28"/>
          <w:rtl/>
        </w:rPr>
        <w:t xml:space="preserve">» </w:t>
      </w:r>
      <w:r w:rsidR="00414613" w:rsidRPr="00291255">
        <w:rPr>
          <w:rFonts w:hint="cs"/>
          <w:color w:val="000000" w:themeColor="text1"/>
          <w:sz w:val="28"/>
          <w:rtl/>
        </w:rPr>
        <w:t>بر آن</w:t>
      </w:r>
      <w:r w:rsidR="00475808" w:rsidRPr="00291255">
        <w:rPr>
          <w:rFonts w:hint="cs"/>
          <w:color w:val="000000" w:themeColor="text1"/>
          <w:sz w:val="28"/>
          <w:rtl/>
        </w:rPr>
        <w:t xml:space="preserve"> مشکوک</w:t>
      </w:r>
      <w:r w:rsidR="007E02E5">
        <w:rPr>
          <w:rFonts w:hint="cs"/>
          <w:color w:val="000000" w:themeColor="text1"/>
          <w:sz w:val="28"/>
          <w:rtl/>
        </w:rPr>
        <w:t>ِ</w:t>
      </w:r>
      <w:r w:rsidR="00475808" w:rsidRPr="00291255">
        <w:rPr>
          <w:rFonts w:hint="cs"/>
          <w:color w:val="000000" w:themeColor="text1"/>
          <w:sz w:val="28"/>
          <w:rtl/>
        </w:rPr>
        <w:t xml:space="preserve"> به شکّ وجدانی ، </w:t>
      </w:r>
      <w:r w:rsidR="00F74D6C" w:rsidRPr="00291255">
        <w:rPr>
          <w:rFonts w:hint="cs"/>
          <w:color w:val="000000" w:themeColor="text1"/>
          <w:sz w:val="28"/>
          <w:rtl/>
        </w:rPr>
        <w:t xml:space="preserve">حکما </w:t>
      </w:r>
      <w:r w:rsidR="00475808" w:rsidRPr="00291255">
        <w:rPr>
          <w:rFonts w:hint="cs"/>
          <w:color w:val="000000" w:themeColor="text1"/>
          <w:sz w:val="28"/>
          <w:rtl/>
        </w:rPr>
        <w:t>صدق نمی کند .</w:t>
      </w:r>
      <w:r w:rsidR="00425AD3" w:rsidRPr="00291255">
        <w:rPr>
          <w:rFonts w:hint="cs"/>
          <w:color w:val="000000" w:themeColor="text1"/>
          <w:sz w:val="28"/>
          <w:rtl/>
        </w:rPr>
        <w:t xml:space="preserve"> </w:t>
      </w:r>
    </w:p>
    <w:p w:rsidR="00EE635D" w:rsidRDefault="008C7085" w:rsidP="00EE635D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color w:val="000000" w:themeColor="text1"/>
          <w:sz w:val="28"/>
          <w:szCs w:val="28"/>
          <w:rtl/>
        </w:rPr>
      </w:pPr>
      <w:r w:rsidRPr="00291255">
        <w:rPr>
          <w:rFonts w:cs="B Badr" w:hint="cs"/>
          <w:color w:val="000000" w:themeColor="text1"/>
          <w:sz w:val="28"/>
          <w:szCs w:val="28"/>
          <w:rtl/>
        </w:rPr>
        <w:t xml:space="preserve">   بعد متعرّض این نکته شده اند که برخی از ادلّه برائت اصلا صلاحیت معارضه با دلیل استصحاب را ندارند زیرا مختصّ به شبهه موضوعیه هستند و تطبیقات </w:t>
      </w:r>
      <w:r w:rsidR="00291255" w:rsidRPr="00291255">
        <w:rPr>
          <w:rFonts w:cs="B Badr" w:hint="cs"/>
          <w:color w:val="000000" w:themeColor="text1"/>
          <w:sz w:val="28"/>
          <w:szCs w:val="28"/>
          <w:rtl/>
        </w:rPr>
        <w:t xml:space="preserve">وارد در </w:t>
      </w:r>
      <w:r w:rsidRPr="00291255">
        <w:rPr>
          <w:rFonts w:cs="B Badr" w:hint="cs"/>
          <w:color w:val="000000" w:themeColor="text1"/>
          <w:sz w:val="28"/>
          <w:szCs w:val="28"/>
          <w:rtl/>
        </w:rPr>
        <w:t>آن ها مجری برائت نیستند ؛ مانند</w:t>
      </w:r>
      <w:r w:rsidR="00291255" w:rsidRPr="00291255">
        <w:rPr>
          <w:rFonts w:cs="B Badr" w:hint="cs"/>
          <w:color w:val="000000" w:themeColor="text1"/>
          <w:sz w:val="28"/>
          <w:szCs w:val="28"/>
          <w:rtl/>
        </w:rPr>
        <w:t xml:space="preserve"> « </w:t>
      </w:r>
      <w:r w:rsidR="00291255" w:rsidRPr="00291255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عَنْ مَسْعَدَةَ بْنِ صَدَقَةَ عَنْ أَبِي عَبْدِ اللَّهِ ع قَالَ سَمِعْتُهُ يَقُولُ‏ كُلُّ شَيْ‏ءٍ هُوَ لَكَ حَلَالٌ حَتَّى تَعْلَمَ أَنَّهُ حَرَامٌ بِعَيْنِهِ فَتَدَعَهُ مِنْ قِبَلِ نَفْسِكَ وَ ذَلِكَ مِثْلُ الثَّوْبِ يَكُونُ قَدِ اشْتَرَيْتَهُ وَ هُوَ سَرِقَةٌ أَوِ الْمَمْلُوكِ عِنْدَكَ وَ لَعَلَّهُ‏ حُرٌّ قَدْ بَاعَ نَفْسَهُ أَوْ خُدِعَ فَبِيعَ أَوْ قُهِرَ أَوِ امْرَأَةٍ تَحْتَكَ وَ هِيَ أُخْتُكَ‏ أَوْ رَضِيعَتُكَ‏ وَ الْأَشْيَاءُ كُلُّهَا عَلَى هَذَا حَتَّى يَسْتَبِينَ لَكَ غَيْرُ ذَلِكَ أَوْ تَقُومَ بِهِ الْبَيِّنَةُ </w:t>
      </w:r>
      <w:r w:rsidR="00291255">
        <w:rPr>
          <w:rFonts w:hint="cs"/>
          <w:rtl/>
        </w:rPr>
        <w:t>» .</w:t>
      </w:r>
      <w:r>
        <w:rPr>
          <w:rFonts w:hint="cs"/>
          <w:rtl/>
        </w:rPr>
        <w:t xml:space="preserve"> </w:t>
      </w:r>
      <w:r w:rsidR="002639D5">
        <w:rPr>
          <w:rStyle w:val="FootnoteReference"/>
          <w:rFonts w:cs="B Badr"/>
          <w:color w:val="000000" w:themeColor="text1"/>
          <w:sz w:val="28"/>
          <w:szCs w:val="28"/>
        </w:rPr>
        <w:footnoteReference w:id="16"/>
      </w:r>
      <w:r w:rsidR="00715647">
        <w:rPr>
          <w:rFonts w:cs="B Badr" w:hint="cs"/>
          <w:color w:val="000000" w:themeColor="text1"/>
          <w:sz w:val="28"/>
          <w:szCs w:val="28"/>
          <w:rtl/>
        </w:rPr>
        <w:t xml:space="preserve"> </w:t>
      </w:r>
    </w:p>
    <w:p w:rsidR="008C7085" w:rsidRDefault="00EE635D" w:rsidP="00EE635D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color w:val="000000" w:themeColor="text1"/>
          <w:sz w:val="28"/>
          <w:szCs w:val="28"/>
          <w:rtl/>
        </w:rPr>
      </w:pPr>
      <w:r>
        <w:rPr>
          <w:rFonts w:cs="B Badr" w:hint="cs"/>
          <w:color w:val="000000" w:themeColor="text1"/>
          <w:sz w:val="28"/>
          <w:szCs w:val="28"/>
          <w:rtl/>
        </w:rPr>
        <w:lastRenderedPageBreak/>
        <w:t xml:space="preserve">   </w:t>
      </w:r>
      <w:r w:rsidR="00715647">
        <w:rPr>
          <w:rFonts w:cs="B Badr" w:hint="cs"/>
          <w:color w:val="000000" w:themeColor="text1"/>
          <w:sz w:val="28"/>
          <w:szCs w:val="28"/>
          <w:rtl/>
        </w:rPr>
        <w:t xml:space="preserve">این ادله مدرک برائت نیستند و </w:t>
      </w:r>
      <w:r w:rsidR="009F6F9E">
        <w:rPr>
          <w:rFonts w:cs="B Badr" w:hint="cs"/>
          <w:color w:val="000000" w:themeColor="text1"/>
          <w:sz w:val="28"/>
          <w:szCs w:val="28"/>
          <w:rtl/>
        </w:rPr>
        <w:t>ما هم عرض کرده ایم این روایات از</w:t>
      </w:r>
      <w:bookmarkStart w:id="60" w:name="_GoBack"/>
      <w:bookmarkEnd w:id="60"/>
      <w:r w:rsidR="00715647">
        <w:rPr>
          <w:rFonts w:cs="B Badr" w:hint="cs"/>
          <w:color w:val="000000" w:themeColor="text1"/>
          <w:sz w:val="28"/>
          <w:szCs w:val="28"/>
          <w:rtl/>
        </w:rPr>
        <w:t xml:space="preserve"> باب تجمیع حکم به برائت </w:t>
      </w:r>
      <w:r w:rsidR="00AC281A">
        <w:rPr>
          <w:rFonts w:cs="B Badr" w:hint="cs"/>
          <w:color w:val="000000" w:themeColor="text1"/>
          <w:sz w:val="28"/>
          <w:szCs w:val="28"/>
          <w:rtl/>
        </w:rPr>
        <w:t>در مورد</w:t>
      </w:r>
      <w:r w:rsidR="00715647">
        <w:rPr>
          <w:rFonts w:cs="B Badr" w:hint="cs"/>
          <w:color w:val="000000" w:themeColor="text1"/>
          <w:sz w:val="28"/>
          <w:szCs w:val="28"/>
          <w:rtl/>
        </w:rPr>
        <w:t xml:space="preserve"> قواعدی غیر از برائت است ؛ مثلا در فرض تحقّق قاعده ید یا استصحاب عدم ازلی ،</w:t>
      </w:r>
      <w:r w:rsidR="00132E5E">
        <w:rPr>
          <w:rFonts w:cs="B Badr" w:hint="cs"/>
          <w:color w:val="000000" w:themeColor="text1"/>
          <w:sz w:val="28"/>
          <w:szCs w:val="28"/>
          <w:rtl/>
        </w:rPr>
        <w:t xml:space="preserve"> قاعده حلّ هم تطبیق داده می شود .</w:t>
      </w:r>
      <w:r>
        <w:rPr>
          <w:rFonts w:cs="B Badr" w:hint="cs"/>
          <w:color w:val="000000" w:themeColor="text1"/>
          <w:sz w:val="28"/>
          <w:szCs w:val="28"/>
          <w:rtl/>
        </w:rPr>
        <w:t xml:space="preserve"> مشهور اما در این حدیث دچار مشکل شده اند که اگر تطبیقات متعلّق به قاعده ید یا استصحاب عدم ازلی باشند ، ربطی به برائت که در صدر روایت آمده ندارند </w:t>
      </w:r>
      <w:r w:rsidR="00230D40">
        <w:rPr>
          <w:rFonts w:cs="B Badr" w:hint="cs"/>
          <w:color w:val="000000" w:themeColor="text1"/>
          <w:sz w:val="28"/>
          <w:szCs w:val="28"/>
          <w:rtl/>
        </w:rPr>
        <w:t>و اصلا مباین با آن هستند</w:t>
      </w:r>
      <w:r w:rsidR="00753D38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17"/>
      </w:r>
      <w:r>
        <w:rPr>
          <w:rFonts w:cs="B Badr" w:hint="cs"/>
          <w:color w:val="000000" w:themeColor="text1"/>
          <w:sz w:val="28"/>
          <w:szCs w:val="28"/>
          <w:rtl/>
        </w:rPr>
        <w:t>.</w:t>
      </w:r>
      <w:r w:rsidR="00EC61AB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E85194">
        <w:rPr>
          <w:rFonts w:cs="B Badr" w:hint="cs"/>
          <w:color w:val="000000" w:themeColor="text1"/>
          <w:sz w:val="28"/>
          <w:szCs w:val="28"/>
          <w:rtl/>
        </w:rPr>
        <w:t xml:space="preserve">جواب ما </w:t>
      </w:r>
      <w:r w:rsidR="002D0D51">
        <w:rPr>
          <w:rFonts w:cs="B Badr" w:hint="cs"/>
          <w:color w:val="000000" w:themeColor="text1"/>
          <w:sz w:val="28"/>
          <w:szCs w:val="28"/>
          <w:rtl/>
        </w:rPr>
        <w:t>این است</w:t>
      </w:r>
      <w:r w:rsidR="00BE0BBD">
        <w:rPr>
          <w:rFonts w:cs="B Badr" w:hint="cs"/>
          <w:color w:val="000000" w:themeColor="text1"/>
          <w:sz w:val="28"/>
          <w:szCs w:val="28"/>
          <w:rtl/>
        </w:rPr>
        <w:t xml:space="preserve"> که با فرض توافق </w:t>
      </w:r>
      <w:r w:rsidR="003F59B3">
        <w:rPr>
          <w:rFonts w:cs="B Badr" w:hint="cs"/>
          <w:color w:val="000000" w:themeColor="text1"/>
          <w:sz w:val="28"/>
          <w:szCs w:val="28"/>
          <w:rtl/>
        </w:rPr>
        <w:t>استصحاب با اصول حکمی</w:t>
      </w:r>
      <w:r w:rsidR="00BE0BBD">
        <w:rPr>
          <w:rFonts w:cs="B Badr" w:hint="cs"/>
          <w:color w:val="000000" w:themeColor="text1"/>
          <w:sz w:val="28"/>
          <w:szCs w:val="28"/>
          <w:rtl/>
        </w:rPr>
        <w:t xml:space="preserve"> یا </w:t>
      </w:r>
      <w:r w:rsidR="00CF6976">
        <w:rPr>
          <w:rFonts w:cs="B Badr" w:hint="cs"/>
          <w:color w:val="000000" w:themeColor="text1"/>
          <w:sz w:val="28"/>
          <w:szCs w:val="28"/>
          <w:rtl/>
        </w:rPr>
        <w:t>موضوعی، م</w:t>
      </w:r>
      <w:r w:rsidR="003F59B3">
        <w:rPr>
          <w:rFonts w:cs="B Badr" w:hint="cs"/>
          <w:color w:val="000000" w:themeColor="text1"/>
          <w:sz w:val="28"/>
          <w:szCs w:val="28"/>
          <w:rtl/>
        </w:rPr>
        <w:t>انعی برای جریان آن</w:t>
      </w:r>
      <w:r w:rsidR="00BE0BBD">
        <w:rPr>
          <w:rFonts w:cs="B Badr" w:hint="cs"/>
          <w:color w:val="000000" w:themeColor="text1"/>
          <w:sz w:val="28"/>
          <w:szCs w:val="28"/>
          <w:rtl/>
        </w:rPr>
        <w:t xml:space="preserve"> وجود ندارد</w:t>
      </w:r>
      <w:r w:rsidR="00212748">
        <w:rPr>
          <w:rFonts w:cs="B Badr" w:hint="cs"/>
          <w:color w:val="000000" w:themeColor="text1"/>
          <w:sz w:val="28"/>
          <w:szCs w:val="28"/>
          <w:rtl/>
        </w:rPr>
        <w:t xml:space="preserve"> و به همین دلیل مرحوم صدر در مورد اصل سببی و مسبّبی متوافق قائل به جریان هر دو شده اند . </w:t>
      </w:r>
    </w:p>
    <w:p w:rsidR="00302457" w:rsidRDefault="00302457" w:rsidP="00302457">
      <w:pPr>
        <w:pStyle w:val="Heading6"/>
        <w:rPr>
          <w:rtl/>
        </w:rPr>
      </w:pPr>
      <w:bookmarkStart w:id="61" w:name="_Toc530256543"/>
      <w:bookmarkStart w:id="62" w:name="_Toc530256653"/>
      <w:bookmarkStart w:id="63" w:name="_Toc530257229"/>
      <w:r>
        <w:rPr>
          <w:rFonts w:hint="cs"/>
          <w:rtl/>
        </w:rPr>
        <w:t>مناقشه : عدم نظارت و عدم استلزام لغویت</w:t>
      </w:r>
      <w:bookmarkEnd w:id="61"/>
      <w:bookmarkEnd w:id="62"/>
      <w:bookmarkEnd w:id="63"/>
    </w:p>
    <w:p w:rsidR="002873C6" w:rsidRPr="002873C6" w:rsidRDefault="002873C6" w:rsidP="002873C6">
      <w:pPr>
        <w:jc w:val="both"/>
      </w:pPr>
      <w:r>
        <w:rPr>
          <w:rFonts w:hint="cs"/>
          <w:rtl/>
        </w:rPr>
        <w:t xml:space="preserve">   </w:t>
      </w:r>
      <w:r w:rsidR="00BE076C">
        <w:rPr>
          <w:rFonts w:hint="cs"/>
          <w:rtl/>
        </w:rPr>
        <w:t xml:space="preserve">به هر حال </w:t>
      </w:r>
      <w:r>
        <w:rPr>
          <w:rFonts w:hint="cs"/>
          <w:rtl/>
        </w:rPr>
        <w:t xml:space="preserve">نظر مرحوم شیخ </w:t>
      </w:r>
      <w:r w:rsidR="002469C7">
        <w:rPr>
          <w:rFonts w:hint="cs"/>
          <w:rtl/>
        </w:rPr>
        <w:t>در</w:t>
      </w:r>
      <w:r w:rsidR="00BE076C">
        <w:rPr>
          <w:rFonts w:hint="cs"/>
          <w:rtl/>
        </w:rPr>
        <w:t xml:space="preserve"> </w:t>
      </w:r>
      <w:r w:rsidR="002469C7">
        <w:rPr>
          <w:rFonts w:hint="cs"/>
          <w:rtl/>
        </w:rPr>
        <w:t>اثبا</w:t>
      </w:r>
      <w:r w:rsidR="00BE076C">
        <w:rPr>
          <w:rFonts w:hint="cs"/>
          <w:rtl/>
        </w:rPr>
        <w:t xml:space="preserve">ت حکومت </w:t>
      </w:r>
      <w:r>
        <w:rPr>
          <w:rFonts w:hint="cs"/>
          <w:rtl/>
        </w:rPr>
        <w:t xml:space="preserve">با توجّه به </w:t>
      </w:r>
      <w:r w:rsidR="00CC2210">
        <w:rPr>
          <w:rFonts w:hint="cs"/>
          <w:rtl/>
        </w:rPr>
        <w:t>مب</w:t>
      </w:r>
      <w:r w:rsidR="00BE076C">
        <w:rPr>
          <w:rFonts w:hint="cs"/>
          <w:rtl/>
        </w:rPr>
        <w:t>ان</w:t>
      </w:r>
      <w:r w:rsidR="00CC2210">
        <w:rPr>
          <w:rFonts w:hint="cs"/>
          <w:rtl/>
        </w:rPr>
        <w:t>ی</w:t>
      </w:r>
      <w:r w:rsidR="00BE076C">
        <w:rPr>
          <w:rFonts w:hint="cs"/>
          <w:rtl/>
        </w:rPr>
        <w:t xml:space="preserve"> ای</w:t>
      </w:r>
      <w:r w:rsidR="00CC2210">
        <w:rPr>
          <w:rFonts w:hint="cs"/>
          <w:rtl/>
        </w:rPr>
        <w:t xml:space="preserve">شان در مورد حکومت ، صحیح نیست ؛ </w:t>
      </w:r>
      <w:r w:rsidR="007072EB">
        <w:rPr>
          <w:rFonts w:hint="cs"/>
          <w:rtl/>
        </w:rPr>
        <w:t xml:space="preserve">زیرا </w:t>
      </w:r>
      <w:r w:rsidR="00CC2210">
        <w:rPr>
          <w:rFonts w:hint="cs"/>
          <w:rtl/>
        </w:rPr>
        <w:t xml:space="preserve">ایشان ملاک حکومت را </w:t>
      </w:r>
      <w:r w:rsidR="00E64961">
        <w:rPr>
          <w:rFonts w:hint="cs"/>
          <w:rtl/>
        </w:rPr>
        <w:t xml:space="preserve">منحصرا </w:t>
      </w:r>
      <w:r w:rsidR="00CC2210">
        <w:rPr>
          <w:rFonts w:hint="cs"/>
          <w:rtl/>
        </w:rPr>
        <w:t>نظارت</w:t>
      </w:r>
      <w:r w:rsidR="00200A70">
        <w:rPr>
          <w:rFonts w:hint="cs"/>
          <w:rtl/>
        </w:rPr>
        <w:t xml:space="preserve"> لفظ</w:t>
      </w:r>
      <w:r w:rsidR="007D3E54">
        <w:rPr>
          <w:rFonts w:hint="cs"/>
          <w:rtl/>
        </w:rPr>
        <w:t>ی و به</w:t>
      </w:r>
      <w:r w:rsidR="00CC2210">
        <w:rPr>
          <w:rFonts w:hint="cs"/>
          <w:rtl/>
        </w:rPr>
        <w:t xml:space="preserve"> لسان دلیل </w:t>
      </w:r>
      <w:r w:rsidR="007D3E54">
        <w:rPr>
          <w:rFonts w:hint="cs"/>
          <w:rtl/>
        </w:rPr>
        <w:t xml:space="preserve">دانستند </w:t>
      </w:r>
      <w:r w:rsidR="00877DF5">
        <w:rPr>
          <w:rStyle w:val="FootnoteReference"/>
          <w:rtl/>
        </w:rPr>
        <w:footnoteReference w:id="18"/>
      </w:r>
      <w:r w:rsidR="006652CB">
        <w:rPr>
          <w:rFonts w:hint="cs"/>
          <w:rtl/>
        </w:rPr>
        <w:t>و این ملاک منطبق</w:t>
      </w:r>
      <w:r w:rsidR="0037711E">
        <w:rPr>
          <w:rFonts w:hint="cs"/>
          <w:rtl/>
        </w:rPr>
        <w:t xml:space="preserve"> بر </w:t>
      </w:r>
      <w:r w:rsidR="006652CB">
        <w:rPr>
          <w:rFonts w:hint="cs"/>
          <w:rtl/>
        </w:rPr>
        <w:t xml:space="preserve">رابطه </w:t>
      </w:r>
      <w:r w:rsidR="0037711E">
        <w:rPr>
          <w:rFonts w:hint="cs"/>
          <w:rtl/>
        </w:rPr>
        <w:t>استصحاب</w:t>
      </w:r>
      <w:r w:rsidR="007D3E54">
        <w:rPr>
          <w:rFonts w:hint="cs"/>
          <w:rtl/>
        </w:rPr>
        <w:t xml:space="preserve"> </w:t>
      </w:r>
      <w:r w:rsidR="006652CB">
        <w:rPr>
          <w:rFonts w:hint="cs"/>
          <w:rtl/>
        </w:rPr>
        <w:t xml:space="preserve">و برائت نمی شود </w:t>
      </w:r>
      <w:r w:rsidR="0037711E">
        <w:rPr>
          <w:rFonts w:hint="cs"/>
          <w:rtl/>
        </w:rPr>
        <w:t>چون دلیل آن</w:t>
      </w:r>
      <w:r w:rsidR="00EC6CFE">
        <w:rPr>
          <w:rFonts w:hint="cs"/>
          <w:rtl/>
        </w:rPr>
        <w:t xml:space="preserve"> هیچ نظارتی نسبت به دلیل برائت ندارد </w:t>
      </w:r>
      <w:r w:rsidR="00476D4B">
        <w:rPr>
          <w:rFonts w:hint="cs"/>
          <w:rtl/>
        </w:rPr>
        <w:t xml:space="preserve">. </w:t>
      </w:r>
      <w:r w:rsidR="00EC6CFE">
        <w:rPr>
          <w:rStyle w:val="FootnoteReference"/>
          <w:rtl/>
        </w:rPr>
        <w:footnoteReference w:id="19"/>
      </w:r>
    </w:p>
    <w:sectPr w:rsidR="002873C6" w:rsidRPr="002873C6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488" w:rsidRDefault="00473488" w:rsidP="008B750B">
      <w:pPr>
        <w:spacing w:line="240" w:lineRule="auto"/>
      </w:pPr>
      <w:r>
        <w:separator/>
      </w:r>
    </w:p>
  </w:endnote>
  <w:endnote w:type="continuationSeparator" w:id="0">
    <w:p w:rsidR="00473488" w:rsidRDefault="0047348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A1BBC" w:rsidRPr="009A1BBC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87E00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71" w:name="BokAdres"/>
          <w:bookmarkEnd w:id="71"/>
          <w:r>
            <w:rPr>
              <w:color w:val="808080" w:themeColor="background1" w:themeShade="80"/>
            </w:rPr>
            <w:t>U1mq1_13970826-026_ab1_mfeb.ir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488" w:rsidRDefault="00473488" w:rsidP="008B750B">
      <w:pPr>
        <w:spacing w:line="240" w:lineRule="auto"/>
      </w:pPr>
      <w:r>
        <w:separator/>
      </w:r>
    </w:p>
  </w:footnote>
  <w:footnote w:type="continuationSeparator" w:id="0">
    <w:p w:rsidR="00473488" w:rsidRDefault="00473488" w:rsidP="008B750B">
      <w:pPr>
        <w:spacing w:line="240" w:lineRule="auto"/>
      </w:pPr>
      <w:r>
        <w:continuationSeparator/>
      </w:r>
    </w:p>
  </w:footnote>
  <w:footnote w:id="1">
    <w:p w:rsidR="001A427C" w:rsidRPr="001A427C" w:rsidRDefault="001A427C" w:rsidP="001A427C">
      <w:pPr>
        <w:pStyle w:val="FootnoteText"/>
        <w:rPr>
          <w:rtl/>
        </w:rPr>
      </w:pPr>
      <w:r w:rsidRPr="001A427C">
        <w:rPr>
          <w:rStyle w:val="FootnoteReference"/>
          <w:vertAlign w:val="baseline"/>
        </w:rPr>
        <w:footnoteRef/>
      </w:r>
      <w:r w:rsidRPr="001A427C">
        <w:rPr>
          <w:rFonts w:hint="cs"/>
          <w:rtl/>
        </w:rPr>
        <w:t xml:space="preserve">. </w:t>
      </w:r>
      <w:r w:rsidR="006D53C3">
        <w:rPr>
          <w:rFonts w:hint="cs"/>
          <w:rtl/>
        </w:rPr>
        <w:t xml:space="preserve">مثلا </w:t>
      </w:r>
      <w:r w:rsidRPr="001A427C">
        <w:rPr>
          <w:rFonts w:hint="cs"/>
          <w:rtl/>
        </w:rPr>
        <w:t xml:space="preserve">ادله </w:t>
      </w:r>
      <w:r w:rsidR="00253626">
        <w:rPr>
          <w:rFonts w:hint="cs"/>
          <w:rtl/>
        </w:rPr>
        <w:t>برائت متفاوتند و در</w:t>
      </w:r>
      <w:r w:rsidRPr="001A427C">
        <w:rPr>
          <w:rFonts w:hint="cs"/>
          <w:rtl/>
        </w:rPr>
        <w:t xml:space="preserve"> بحث </w:t>
      </w:r>
      <w:r w:rsidR="00253626">
        <w:rPr>
          <w:rFonts w:hint="cs"/>
          <w:rtl/>
        </w:rPr>
        <w:t xml:space="preserve">برائت </w:t>
      </w:r>
      <w:r w:rsidRPr="001A427C">
        <w:rPr>
          <w:rFonts w:hint="cs"/>
          <w:rtl/>
        </w:rPr>
        <w:t>گذشت که مفاد بعضی از ادله ه</w:t>
      </w:r>
      <w:r w:rsidR="0060795A">
        <w:rPr>
          <w:rFonts w:hint="cs"/>
          <w:rtl/>
        </w:rPr>
        <w:t>مسو با</w:t>
      </w:r>
      <w:r w:rsidRPr="001A427C">
        <w:rPr>
          <w:rFonts w:hint="cs"/>
          <w:rtl/>
        </w:rPr>
        <w:t xml:space="preserve"> مفاد حکم عقل است .</w:t>
      </w:r>
    </w:p>
  </w:footnote>
  <w:footnote w:id="2">
    <w:p w:rsidR="002F56E8" w:rsidRPr="00AE5B9C" w:rsidRDefault="002F56E8" w:rsidP="002F56E8">
      <w:pPr>
        <w:pStyle w:val="FootnoteText"/>
      </w:pPr>
      <w:r w:rsidRPr="00AE5B9C">
        <w:footnoteRef/>
      </w:r>
      <w:r>
        <w:rPr>
          <w:rFonts w:hint="cs"/>
          <w:rtl/>
        </w:rPr>
        <w:t xml:space="preserve">. </w:t>
      </w:r>
      <w:r w:rsidRPr="00AE5B9C">
        <w:rPr>
          <w:rFonts w:hint="eastAsia"/>
          <w:rtl/>
        </w:rPr>
        <w:t>سوره</w:t>
      </w:r>
      <w:r w:rsidRPr="00AE5B9C">
        <w:rPr>
          <w:rtl/>
        </w:rPr>
        <w:t xml:space="preserve"> اسراء، آيه 15.</w:t>
      </w:r>
    </w:p>
  </w:footnote>
  <w:footnote w:id="3">
    <w:p w:rsidR="00DE3006" w:rsidRPr="00522D86" w:rsidRDefault="00DE3006" w:rsidP="00522D86">
      <w:pPr>
        <w:pStyle w:val="FootnoteText"/>
        <w:jc w:val="both"/>
      </w:pPr>
      <w:r w:rsidRPr="00522D86">
        <w:rPr>
          <w:rStyle w:val="FootnoteReference"/>
          <w:vertAlign w:val="baseline"/>
        </w:rPr>
        <w:footnoteRef/>
      </w:r>
      <w:r w:rsidRPr="00522D86">
        <w:rPr>
          <w:rFonts w:hint="cs"/>
          <w:rtl/>
        </w:rPr>
        <w:t xml:space="preserve">. مفاد </w:t>
      </w:r>
      <w:r w:rsidR="00997405">
        <w:rPr>
          <w:rFonts w:hint="cs"/>
          <w:rtl/>
        </w:rPr>
        <w:t xml:space="preserve">آیه شرعی حکم ارشادی نیست </w:t>
      </w:r>
      <w:r w:rsidRPr="00522D86">
        <w:rPr>
          <w:rFonts w:hint="cs"/>
          <w:rtl/>
        </w:rPr>
        <w:t>؛ زیرا ارشادی بودن تابع احراز</w:t>
      </w:r>
      <w:r w:rsidR="008B0084" w:rsidRPr="00522D86">
        <w:rPr>
          <w:rFonts w:hint="cs"/>
          <w:rtl/>
        </w:rPr>
        <w:t xml:space="preserve"> همسانی </w:t>
      </w:r>
      <w:r w:rsidRPr="00522D86">
        <w:rPr>
          <w:rFonts w:hint="cs"/>
          <w:rtl/>
        </w:rPr>
        <w:t xml:space="preserve"> </w:t>
      </w:r>
      <w:r w:rsidR="00FD3277" w:rsidRPr="00522D86">
        <w:rPr>
          <w:rFonts w:hint="cs"/>
          <w:rtl/>
        </w:rPr>
        <w:t xml:space="preserve">و </w:t>
      </w:r>
      <w:r w:rsidRPr="00522D86">
        <w:rPr>
          <w:rFonts w:hint="cs"/>
          <w:rtl/>
        </w:rPr>
        <w:t xml:space="preserve">وحدت ملاک در جعل است </w:t>
      </w:r>
      <w:r w:rsidR="008B0084" w:rsidRPr="00522D86">
        <w:rPr>
          <w:rFonts w:hint="cs"/>
          <w:rtl/>
        </w:rPr>
        <w:t xml:space="preserve">و </w:t>
      </w:r>
      <w:r w:rsidR="00830081" w:rsidRPr="00522D86">
        <w:rPr>
          <w:rFonts w:hint="cs"/>
          <w:rtl/>
        </w:rPr>
        <w:t xml:space="preserve">حتی با </w:t>
      </w:r>
      <w:r w:rsidR="008B0084" w:rsidRPr="00522D86">
        <w:rPr>
          <w:rFonts w:hint="cs"/>
          <w:rtl/>
        </w:rPr>
        <w:t>احتمال</w:t>
      </w:r>
      <w:r w:rsidR="00830081" w:rsidRPr="00522D86">
        <w:rPr>
          <w:rFonts w:hint="cs"/>
          <w:rtl/>
        </w:rPr>
        <w:t xml:space="preserve"> وجود ملاک زاید ، </w:t>
      </w:r>
      <w:r w:rsidR="003C42B6" w:rsidRPr="00522D86">
        <w:rPr>
          <w:rFonts w:hint="cs"/>
          <w:rtl/>
        </w:rPr>
        <w:t>حکم دیگر مولوی است . مقام هم از این سنخ است و محت</w:t>
      </w:r>
      <w:r w:rsidR="00997405">
        <w:rPr>
          <w:rFonts w:hint="cs"/>
          <w:rtl/>
        </w:rPr>
        <w:t>مل است</w:t>
      </w:r>
      <w:r w:rsidR="00522D86" w:rsidRPr="00522D86">
        <w:rPr>
          <w:rFonts w:hint="cs"/>
          <w:rtl/>
        </w:rPr>
        <w:t xml:space="preserve"> حکم شارع به ملاک زائد</w:t>
      </w:r>
      <w:r w:rsidR="00AC61F2">
        <w:rPr>
          <w:rFonts w:hint="cs"/>
          <w:rtl/>
        </w:rPr>
        <w:t>ی</w:t>
      </w:r>
      <w:r w:rsidR="00522D86" w:rsidRPr="00522D86">
        <w:rPr>
          <w:rFonts w:hint="cs"/>
          <w:rtl/>
        </w:rPr>
        <w:t xml:space="preserve"> مانند ل</w:t>
      </w:r>
      <w:r w:rsidR="00AC61F2">
        <w:rPr>
          <w:rFonts w:hint="cs"/>
          <w:rtl/>
        </w:rPr>
        <w:t>طف باشد . ( این لطف لولایی است یعنی اگر عقاب بلا</w:t>
      </w:r>
      <w:r w:rsidR="00522D86" w:rsidRPr="00522D86">
        <w:rPr>
          <w:rFonts w:hint="cs"/>
          <w:rtl/>
        </w:rPr>
        <w:t>بیان ظلم نباشد هم مرفوع است به دلیل لطف )</w:t>
      </w:r>
    </w:p>
  </w:footnote>
  <w:footnote w:id="4">
    <w:p w:rsidR="00233947" w:rsidRPr="00233947" w:rsidRDefault="00233947" w:rsidP="00233947">
      <w:pPr>
        <w:pStyle w:val="FootnoteText"/>
      </w:pPr>
      <w:r w:rsidRPr="00233947">
        <w:footnoteRef/>
      </w:r>
      <w:r>
        <w:rPr>
          <w:rFonts w:hint="cs"/>
          <w:rtl/>
        </w:rPr>
        <w:t>.</w:t>
      </w:r>
      <w:r w:rsidRPr="00233947">
        <w:rPr>
          <w:rtl/>
        </w:rPr>
        <w:t xml:space="preserve"> </w:t>
      </w:r>
      <w:hyperlink r:id="rId1" w:history="1">
        <w:r w:rsidRPr="00233947">
          <w:rPr>
            <w:rStyle w:val="Hyperlink"/>
            <w:rtl/>
          </w:rPr>
          <w:t xml:space="preserve">من لا </w:t>
        </w:r>
        <w:r w:rsidRPr="00233947">
          <w:rPr>
            <w:rStyle w:val="Hyperlink"/>
            <w:rFonts w:hint="cs"/>
            <w:rtl/>
          </w:rPr>
          <w:t>ی</w:t>
        </w:r>
        <w:r w:rsidRPr="00233947">
          <w:rPr>
            <w:rStyle w:val="Hyperlink"/>
            <w:rFonts w:hint="eastAsia"/>
            <w:rtl/>
          </w:rPr>
          <w:t>حضره</w:t>
        </w:r>
        <w:r w:rsidRPr="00233947">
          <w:rPr>
            <w:rStyle w:val="Hyperlink"/>
            <w:rtl/>
          </w:rPr>
          <w:t xml:space="preserve"> الفق</w:t>
        </w:r>
        <w:r w:rsidRPr="00233947">
          <w:rPr>
            <w:rStyle w:val="Hyperlink"/>
            <w:rFonts w:hint="cs"/>
            <w:rtl/>
          </w:rPr>
          <w:t>ی</w:t>
        </w:r>
        <w:r w:rsidRPr="00233947">
          <w:rPr>
            <w:rStyle w:val="Hyperlink"/>
            <w:rFonts w:hint="eastAsia"/>
            <w:rtl/>
          </w:rPr>
          <w:t>ه،</w:t>
        </w:r>
        <w:r w:rsidRPr="00233947">
          <w:rPr>
            <w:rStyle w:val="Hyperlink"/>
            <w:rtl/>
          </w:rPr>
          <w:t xml:space="preserve"> ش</w:t>
        </w:r>
        <w:r w:rsidRPr="00233947">
          <w:rPr>
            <w:rStyle w:val="Hyperlink"/>
            <w:rFonts w:hint="cs"/>
            <w:rtl/>
          </w:rPr>
          <w:t>ی</w:t>
        </w:r>
        <w:r w:rsidRPr="00233947">
          <w:rPr>
            <w:rStyle w:val="Hyperlink"/>
            <w:rFonts w:hint="eastAsia"/>
            <w:rtl/>
          </w:rPr>
          <w:t>خ</w:t>
        </w:r>
        <w:r w:rsidRPr="00233947">
          <w:rPr>
            <w:rStyle w:val="Hyperlink"/>
            <w:rtl/>
          </w:rPr>
          <w:t xml:space="preserve"> صدوق، ج1، ص208</w:t>
        </w:r>
        <w:r w:rsidRPr="00233947">
          <w:rPr>
            <w:rStyle w:val="Hyperlink"/>
          </w:rPr>
          <w:t>.</w:t>
        </w:r>
      </w:hyperlink>
    </w:p>
  </w:footnote>
  <w:footnote w:id="5">
    <w:p w:rsidR="00DA0A4C" w:rsidRPr="000B279A" w:rsidRDefault="00DA0A4C" w:rsidP="000B279A">
      <w:pPr>
        <w:pStyle w:val="FootnoteText"/>
        <w:jc w:val="both"/>
        <w:rPr>
          <w:rtl/>
        </w:rPr>
      </w:pPr>
      <w:r w:rsidRPr="000B279A">
        <w:rPr>
          <w:rStyle w:val="FootnoteReference"/>
          <w:vertAlign w:val="baseline"/>
        </w:rPr>
        <w:footnoteRef/>
      </w:r>
      <w:r w:rsidRPr="000B279A">
        <w:rPr>
          <w:rFonts w:hint="cs"/>
          <w:rtl/>
        </w:rPr>
        <w:t xml:space="preserve">. یعنی هر کجا موضوع استصحاب </w:t>
      </w:r>
      <w:r w:rsidR="00EF481D" w:rsidRPr="000B279A">
        <w:rPr>
          <w:rFonts w:hint="cs"/>
          <w:rtl/>
        </w:rPr>
        <w:t>( ونه حجیت آن</w:t>
      </w:r>
      <w:r w:rsidRPr="000B279A">
        <w:rPr>
          <w:rFonts w:hint="cs"/>
          <w:rtl/>
        </w:rPr>
        <w:t xml:space="preserve"> ) فرض شد ، موضوع برائت مرتفع است .</w:t>
      </w:r>
    </w:p>
  </w:footnote>
  <w:footnote w:id="6">
    <w:p w:rsidR="00F267DD" w:rsidRPr="00364DCF" w:rsidRDefault="00F267DD" w:rsidP="00364DCF">
      <w:pPr>
        <w:pStyle w:val="FootnoteText"/>
        <w:jc w:val="both"/>
        <w:rPr>
          <w:rtl/>
        </w:rPr>
      </w:pPr>
      <w:r w:rsidRPr="00364DCF">
        <w:rPr>
          <w:rStyle w:val="FootnoteReference"/>
          <w:vertAlign w:val="baseline"/>
        </w:rPr>
        <w:footnoteRef/>
      </w:r>
      <w:r w:rsidRPr="00364DCF">
        <w:rPr>
          <w:rFonts w:hint="cs"/>
          <w:rtl/>
        </w:rPr>
        <w:t xml:space="preserve">. موضوع برائت </w:t>
      </w:r>
      <w:r w:rsidR="001C189F" w:rsidRPr="00364DCF">
        <w:rPr>
          <w:rFonts w:hint="cs"/>
          <w:rtl/>
        </w:rPr>
        <w:t xml:space="preserve">شیء ای است که « </w:t>
      </w:r>
      <w:r w:rsidR="008E2C03" w:rsidRPr="00364DCF">
        <w:rPr>
          <w:rFonts w:hint="cs"/>
          <w:rtl/>
        </w:rPr>
        <w:t>لم یتحقّق النهی فیه فعلا ؛ سواء حدث فیه نهی بلحاظ حالته السابقه أو لا » .</w:t>
      </w:r>
      <w:r w:rsidR="001C189F" w:rsidRPr="00364DCF">
        <w:rPr>
          <w:rFonts w:hint="cs"/>
          <w:rtl/>
        </w:rPr>
        <w:t xml:space="preserve"> </w:t>
      </w:r>
    </w:p>
  </w:footnote>
  <w:footnote w:id="7">
    <w:p w:rsidR="00E35B74" w:rsidRPr="00BB55F8" w:rsidRDefault="00E35B74" w:rsidP="00BB55F8">
      <w:pPr>
        <w:pStyle w:val="FootnoteText"/>
        <w:jc w:val="both"/>
      </w:pPr>
      <w:r w:rsidRPr="00BB55F8">
        <w:rPr>
          <w:rStyle w:val="FootnoteReference"/>
          <w:vertAlign w:val="baseline"/>
        </w:rPr>
        <w:footnoteRef/>
      </w:r>
      <w:r w:rsidR="005B4ECC" w:rsidRPr="00BB55F8">
        <w:rPr>
          <w:rFonts w:hint="cs"/>
          <w:rtl/>
        </w:rPr>
        <w:t xml:space="preserve">. خلاصه جواب به بیانی دیگر : </w:t>
      </w:r>
      <w:r w:rsidRPr="00BB55F8">
        <w:rPr>
          <w:rFonts w:hint="cs"/>
          <w:rtl/>
        </w:rPr>
        <w:t xml:space="preserve">مفاد دلیل برائت لحاظ حالات است </w:t>
      </w:r>
      <w:r w:rsidR="00CE49F3">
        <w:rPr>
          <w:rFonts w:hint="cs"/>
          <w:rtl/>
        </w:rPr>
        <w:t xml:space="preserve">و استدعاء ثبوت نهی نسبت به حالت فعلیه خود را دارد ، </w:t>
      </w:r>
      <w:r w:rsidR="005B4ECC" w:rsidRPr="00BB55F8">
        <w:rPr>
          <w:rFonts w:hint="cs"/>
          <w:rtl/>
        </w:rPr>
        <w:t>اما مفاد دلیل استصحاب لحاظ موضوع است که در حالات مختلفه ، محفوظ است .</w:t>
      </w:r>
    </w:p>
  </w:footnote>
  <w:footnote w:id="8">
    <w:p w:rsidR="00364DCF" w:rsidRPr="00364DCF" w:rsidRDefault="00364DCF" w:rsidP="00364DCF">
      <w:pPr>
        <w:pStyle w:val="FootnoteText"/>
        <w:rPr>
          <w:rtl/>
        </w:rPr>
      </w:pPr>
      <w:r w:rsidRPr="00364DCF">
        <w:footnoteRef/>
      </w:r>
      <w:r>
        <w:rPr>
          <w:rFonts w:hint="cs"/>
          <w:rtl/>
        </w:rPr>
        <w:t>.</w:t>
      </w:r>
      <w:r w:rsidRPr="00364DCF">
        <w:rPr>
          <w:rtl/>
        </w:rPr>
        <w:t xml:space="preserve"> </w:t>
      </w:r>
      <w:hyperlink r:id="rId2" w:history="1">
        <w:r w:rsidRPr="00364DCF">
          <w:rPr>
            <w:rStyle w:val="Hyperlink"/>
            <w:rtl/>
          </w:rPr>
          <w:t>منتق</w:t>
        </w:r>
        <w:r w:rsidRPr="00364DCF">
          <w:rPr>
            <w:rStyle w:val="Hyperlink"/>
            <w:rFonts w:hint="cs"/>
            <w:rtl/>
          </w:rPr>
          <w:t>ی</w:t>
        </w:r>
        <w:r w:rsidRPr="00364DCF">
          <w:rPr>
            <w:rStyle w:val="Hyperlink"/>
            <w:rtl/>
          </w:rPr>
          <w:t xml:space="preserve"> الاصول، س</w:t>
        </w:r>
        <w:r w:rsidRPr="00364DCF">
          <w:rPr>
            <w:rStyle w:val="Hyperlink"/>
            <w:rFonts w:hint="cs"/>
            <w:rtl/>
          </w:rPr>
          <w:t>ی</w:t>
        </w:r>
        <w:r w:rsidRPr="00364DCF">
          <w:rPr>
            <w:rStyle w:val="Hyperlink"/>
            <w:rFonts w:hint="eastAsia"/>
            <w:rtl/>
          </w:rPr>
          <w:t>د</w:t>
        </w:r>
        <w:r w:rsidRPr="00364DCF">
          <w:rPr>
            <w:rStyle w:val="Hyperlink"/>
            <w:rtl/>
          </w:rPr>
          <w:t xml:space="preserve"> محمد حس</w:t>
        </w:r>
        <w:r w:rsidRPr="00364DCF">
          <w:rPr>
            <w:rStyle w:val="Hyperlink"/>
            <w:rFonts w:hint="cs"/>
            <w:rtl/>
          </w:rPr>
          <w:t>ی</w:t>
        </w:r>
        <w:r w:rsidRPr="00364DCF">
          <w:rPr>
            <w:rStyle w:val="Hyperlink"/>
            <w:rFonts w:hint="eastAsia"/>
            <w:rtl/>
          </w:rPr>
          <w:t>ن</w:t>
        </w:r>
        <w:r w:rsidRPr="00364DCF">
          <w:rPr>
            <w:rStyle w:val="Hyperlink"/>
            <w:rFonts w:hint="cs"/>
            <w:rtl/>
          </w:rPr>
          <w:t>ی</w:t>
        </w:r>
        <w:r w:rsidRPr="00364DCF">
          <w:rPr>
            <w:rStyle w:val="Hyperlink"/>
            <w:rtl/>
          </w:rPr>
          <w:t xml:space="preserve"> روحان</w:t>
        </w:r>
        <w:r w:rsidRPr="00364DCF">
          <w:rPr>
            <w:rStyle w:val="Hyperlink"/>
            <w:rFonts w:hint="cs"/>
            <w:rtl/>
          </w:rPr>
          <w:t>ی</w:t>
        </w:r>
        <w:r w:rsidRPr="00364DCF">
          <w:rPr>
            <w:rStyle w:val="Hyperlink"/>
            <w:rFonts w:hint="eastAsia"/>
            <w:rtl/>
          </w:rPr>
          <w:t>،</w:t>
        </w:r>
        <w:r w:rsidRPr="00364DCF">
          <w:rPr>
            <w:rStyle w:val="Hyperlink"/>
            <w:rtl/>
          </w:rPr>
          <w:t xml:space="preserve"> ج7، ص241.</w:t>
        </w:r>
      </w:hyperlink>
    </w:p>
  </w:footnote>
  <w:footnote w:id="9">
    <w:p w:rsidR="00E01E99" w:rsidRPr="00E01E99" w:rsidRDefault="00E01E99" w:rsidP="00E01E99">
      <w:pPr>
        <w:pStyle w:val="FootnoteText"/>
        <w:jc w:val="both"/>
      </w:pPr>
      <w:r w:rsidRPr="00E01E99">
        <w:rPr>
          <w:rStyle w:val="FootnoteReference"/>
          <w:vertAlign w:val="baseline"/>
        </w:rPr>
        <w:footnoteRef/>
      </w:r>
      <w:r w:rsidRPr="00E01E99">
        <w:rPr>
          <w:rFonts w:hint="cs"/>
          <w:rtl/>
        </w:rPr>
        <w:t>. البته به تخصّص هم تعبیر شد</w:t>
      </w:r>
      <w:r w:rsidR="006F0F10">
        <w:rPr>
          <w:rFonts w:hint="cs"/>
          <w:rtl/>
        </w:rPr>
        <w:t xml:space="preserve">ه </w:t>
      </w:r>
      <w:r w:rsidRPr="00E01E99">
        <w:rPr>
          <w:rFonts w:hint="cs"/>
          <w:rtl/>
        </w:rPr>
        <w:t xml:space="preserve">و این جهت قابل </w:t>
      </w:r>
      <w:r w:rsidR="002D6105">
        <w:rPr>
          <w:rFonts w:hint="cs"/>
          <w:rtl/>
        </w:rPr>
        <w:t>بررسی است ، البته اهمیت چندانی ندارد</w:t>
      </w:r>
      <w:r w:rsidRPr="00E01E99">
        <w:rPr>
          <w:rFonts w:hint="cs"/>
          <w:rtl/>
        </w:rPr>
        <w:t xml:space="preserve"> .</w:t>
      </w:r>
    </w:p>
  </w:footnote>
  <w:footnote w:id="10">
    <w:p w:rsidR="00A3062D" w:rsidRPr="00A3062D" w:rsidRDefault="00A3062D" w:rsidP="00A3062D">
      <w:pPr>
        <w:pStyle w:val="FootnoteText"/>
        <w:jc w:val="both"/>
        <w:rPr>
          <w:rtl/>
        </w:rPr>
      </w:pPr>
      <w:r w:rsidRPr="00A3062D">
        <w:rPr>
          <w:rStyle w:val="FootnoteReference"/>
          <w:vertAlign w:val="baseline"/>
        </w:rPr>
        <w:footnoteRef/>
      </w:r>
      <w:r w:rsidRPr="00A3062D">
        <w:rPr>
          <w:rFonts w:hint="cs"/>
          <w:rtl/>
        </w:rPr>
        <w:t>. مطلق است ، أعمّ از نهی واقعی و ظاهری .</w:t>
      </w:r>
    </w:p>
  </w:footnote>
  <w:footnote w:id="11">
    <w:p w:rsidR="009B6839" w:rsidRPr="009B6839" w:rsidRDefault="009B6839" w:rsidP="009B6839">
      <w:pPr>
        <w:pStyle w:val="FootnoteText"/>
        <w:jc w:val="both"/>
        <w:rPr>
          <w:rtl/>
        </w:rPr>
      </w:pPr>
      <w:r w:rsidRPr="009B6839">
        <w:rPr>
          <w:rStyle w:val="FootnoteReference"/>
          <w:vertAlign w:val="baseline"/>
        </w:rPr>
        <w:footnoteRef/>
      </w:r>
      <w:r w:rsidRPr="009B6839">
        <w:rPr>
          <w:rFonts w:hint="cs"/>
          <w:rtl/>
        </w:rPr>
        <w:t>. نهی مستفاد از استصحاب ، نهی وجدانی است ؛ حال ا</w:t>
      </w:r>
      <w:r w:rsidR="007410FC">
        <w:rPr>
          <w:rFonts w:hint="cs"/>
          <w:rtl/>
        </w:rPr>
        <w:t>گر مدرک استصحاب عقل</w:t>
      </w:r>
      <w:r w:rsidR="00611540">
        <w:rPr>
          <w:rFonts w:hint="cs"/>
          <w:rtl/>
        </w:rPr>
        <w:t xml:space="preserve"> باشد ، </w:t>
      </w:r>
      <w:r w:rsidRPr="009B6839">
        <w:rPr>
          <w:rFonts w:hint="cs"/>
          <w:rtl/>
        </w:rPr>
        <w:t>نهی تخصّصا خارج است اما اگر مدرک آن اماره معتبره ب</w:t>
      </w:r>
      <w:r w:rsidR="00611540">
        <w:rPr>
          <w:rFonts w:hint="cs"/>
          <w:rtl/>
        </w:rPr>
        <w:t>اشد ، خروج به ورود است .</w:t>
      </w:r>
      <w:r w:rsidR="00EA3F1B">
        <w:rPr>
          <w:rFonts w:hint="cs"/>
          <w:rtl/>
        </w:rPr>
        <w:t xml:space="preserve"> صرف این که نهی شرعی است و وجودش متوقّف بر اعمال تشریع از جانب شارع است باعث </w:t>
      </w:r>
      <w:r w:rsidR="00967968">
        <w:rPr>
          <w:rFonts w:hint="cs"/>
          <w:rtl/>
        </w:rPr>
        <w:t xml:space="preserve">تحقّق </w:t>
      </w:r>
      <w:r w:rsidR="00025C15">
        <w:rPr>
          <w:rFonts w:hint="cs"/>
          <w:rtl/>
        </w:rPr>
        <w:t>تمام ال</w:t>
      </w:r>
      <w:r w:rsidR="00967968">
        <w:rPr>
          <w:rFonts w:hint="cs"/>
          <w:rtl/>
        </w:rPr>
        <w:t xml:space="preserve">ملاک </w:t>
      </w:r>
      <w:r w:rsidR="0066270F">
        <w:rPr>
          <w:rFonts w:hint="cs"/>
          <w:rtl/>
        </w:rPr>
        <w:t xml:space="preserve">برای </w:t>
      </w:r>
      <w:r w:rsidR="00967968">
        <w:rPr>
          <w:rFonts w:hint="cs"/>
          <w:rtl/>
        </w:rPr>
        <w:t>« ورود » نیست .</w:t>
      </w:r>
    </w:p>
  </w:footnote>
  <w:footnote w:id="12">
    <w:p w:rsidR="00DD3927" w:rsidRPr="00702C72" w:rsidRDefault="00DD3927">
      <w:pPr>
        <w:pStyle w:val="FootnoteText"/>
      </w:pPr>
      <w:r w:rsidRPr="00702C72">
        <w:rPr>
          <w:rStyle w:val="FootnoteReference"/>
          <w:vertAlign w:val="baseline"/>
        </w:rPr>
        <w:footnoteRef/>
      </w:r>
      <w:r w:rsidRPr="00702C72">
        <w:rPr>
          <w:rFonts w:hint="cs"/>
          <w:rtl/>
        </w:rPr>
        <w:t xml:space="preserve">. این مطلب البته صحیح نیست و ما معتقدیم استدلال مرحوم آخوند </w:t>
      </w:r>
      <w:r w:rsidR="00351212" w:rsidRPr="00702C72">
        <w:rPr>
          <w:rFonts w:hint="cs"/>
          <w:rtl/>
        </w:rPr>
        <w:t xml:space="preserve">برای « ورود » </w:t>
      </w:r>
      <w:r w:rsidRPr="00702C72">
        <w:rPr>
          <w:rFonts w:hint="cs"/>
          <w:rtl/>
        </w:rPr>
        <w:t>که مبتنی بر اطلاق متعلّق نهی است ، صحیح می باشد .</w:t>
      </w:r>
    </w:p>
  </w:footnote>
  <w:footnote w:id="13">
    <w:p w:rsidR="00087A61" w:rsidRPr="00087A61" w:rsidRDefault="00087A61" w:rsidP="00087A61">
      <w:pPr>
        <w:pStyle w:val="FootnoteText"/>
        <w:rPr>
          <w:rtl/>
        </w:rPr>
      </w:pPr>
      <w:r w:rsidRPr="00087A61">
        <w:footnoteRef/>
      </w:r>
      <w:r>
        <w:rPr>
          <w:rFonts w:hint="cs"/>
          <w:rtl/>
        </w:rPr>
        <w:t>.</w:t>
      </w:r>
      <w:r w:rsidRPr="00087A61">
        <w:rPr>
          <w:rtl/>
        </w:rPr>
        <w:t xml:space="preserve"> </w:t>
      </w:r>
      <w:hyperlink r:id="rId3" w:history="1">
        <w:r w:rsidRPr="00087A61">
          <w:rPr>
            <w:rStyle w:val="Hyperlink"/>
            <w:rtl/>
          </w:rPr>
          <w:t>فرائد الاصول، ش</w:t>
        </w:r>
        <w:r w:rsidRPr="00087A61">
          <w:rPr>
            <w:rStyle w:val="Hyperlink"/>
            <w:rFonts w:hint="cs"/>
            <w:rtl/>
          </w:rPr>
          <w:t>ی</w:t>
        </w:r>
        <w:r w:rsidRPr="00087A61">
          <w:rPr>
            <w:rStyle w:val="Hyperlink"/>
            <w:rFonts w:hint="eastAsia"/>
            <w:rtl/>
          </w:rPr>
          <w:t>خ</w:t>
        </w:r>
        <w:r w:rsidRPr="00087A61">
          <w:rPr>
            <w:rStyle w:val="Hyperlink"/>
            <w:rtl/>
          </w:rPr>
          <w:t xml:space="preserve"> مرتض</w:t>
        </w:r>
        <w:r w:rsidRPr="00087A61">
          <w:rPr>
            <w:rStyle w:val="Hyperlink"/>
            <w:rFonts w:hint="cs"/>
            <w:rtl/>
          </w:rPr>
          <w:t>ی</w:t>
        </w:r>
        <w:r w:rsidRPr="00087A61">
          <w:rPr>
            <w:rStyle w:val="Hyperlink"/>
            <w:rtl/>
          </w:rPr>
          <w:t xml:space="preserve"> انصار</w:t>
        </w:r>
        <w:r w:rsidRPr="00087A61">
          <w:rPr>
            <w:rStyle w:val="Hyperlink"/>
            <w:rFonts w:hint="cs"/>
            <w:rtl/>
          </w:rPr>
          <w:t>ی</w:t>
        </w:r>
        <w:r w:rsidRPr="00087A61">
          <w:rPr>
            <w:rStyle w:val="Hyperlink"/>
            <w:rFonts w:hint="eastAsia"/>
            <w:rtl/>
          </w:rPr>
          <w:t>،</w:t>
        </w:r>
        <w:r w:rsidRPr="00087A61">
          <w:rPr>
            <w:rStyle w:val="Hyperlink"/>
            <w:rtl/>
          </w:rPr>
          <w:t xml:space="preserve"> ج3، ص389.</w:t>
        </w:r>
      </w:hyperlink>
    </w:p>
  </w:footnote>
  <w:footnote w:id="14">
    <w:p w:rsidR="00514709" w:rsidRPr="00514709" w:rsidRDefault="00514709" w:rsidP="00514709">
      <w:pPr>
        <w:pStyle w:val="FootnoteText"/>
        <w:jc w:val="both"/>
      </w:pPr>
      <w:r w:rsidRPr="00514709">
        <w:rPr>
          <w:rStyle w:val="FootnoteReference"/>
          <w:vertAlign w:val="baseline"/>
        </w:rPr>
        <w:footnoteRef/>
      </w:r>
      <w:r w:rsidRPr="00514709">
        <w:rPr>
          <w:rFonts w:hint="cs"/>
          <w:rtl/>
        </w:rPr>
        <w:t>. این که حکومت به لحاظ « یقین » است یا « متیقّن » ؟ باید بررسی شود ، اما مدخلیّتی در سرنوشت بحث ندارد .</w:t>
      </w:r>
    </w:p>
  </w:footnote>
  <w:footnote w:id="15">
    <w:p w:rsidR="00425AD3" w:rsidRPr="009016E5" w:rsidRDefault="00425AD3" w:rsidP="00425AD3">
      <w:pPr>
        <w:pStyle w:val="FootnoteText"/>
        <w:rPr>
          <w:rtl/>
        </w:rPr>
      </w:pPr>
      <w:r w:rsidRPr="009016E5">
        <w:rPr>
          <w:rStyle w:val="FootnoteReference"/>
          <w:vertAlign w:val="baseline"/>
        </w:rPr>
        <w:footnoteRef/>
      </w:r>
      <w:r w:rsidRPr="009016E5">
        <w:rPr>
          <w:rFonts w:hint="cs"/>
          <w:rtl/>
        </w:rPr>
        <w:t xml:space="preserve">. مطلب مذکور متوقّف بر پذیرش این مطلب است که مفاد جعل حجیت استصحاب را « أنت عالم » بدانیم . </w:t>
      </w:r>
    </w:p>
  </w:footnote>
  <w:footnote w:id="16">
    <w:p w:rsidR="002639D5" w:rsidRPr="002639D5" w:rsidRDefault="002639D5" w:rsidP="002639D5">
      <w:pPr>
        <w:pStyle w:val="FootnoteText"/>
        <w:rPr>
          <w:rtl/>
        </w:rPr>
      </w:pPr>
      <w:r w:rsidRPr="002639D5">
        <w:footnoteRef/>
      </w:r>
      <w:r>
        <w:rPr>
          <w:rFonts w:hint="cs"/>
          <w:rtl/>
        </w:rPr>
        <w:t>.</w:t>
      </w:r>
      <w:r w:rsidRPr="002639D5">
        <w:rPr>
          <w:rtl/>
        </w:rPr>
        <w:t xml:space="preserve"> </w:t>
      </w:r>
      <w:hyperlink r:id="rId4" w:history="1">
        <w:r w:rsidRPr="002639D5">
          <w:rPr>
            <w:rStyle w:val="Hyperlink"/>
            <w:rtl/>
          </w:rPr>
          <w:t>الکاف</w:t>
        </w:r>
        <w:r w:rsidRPr="002639D5">
          <w:rPr>
            <w:rStyle w:val="Hyperlink"/>
            <w:rFonts w:hint="cs"/>
            <w:rtl/>
          </w:rPr>
          <w:t>ی</w:t>
        </w:r>
        <w:r w:rsidRPr="002639D5">
          <w:rPr>
            <w:rStyle w:val="Hyperlink"/>
            <w:rFonts w:hint="eastAsia"/>
            <w:rtl/>
          </w:rPr>
          <w:t>،</w:t>
        </w:r>
        <w:r w:rsidRPr="002639D5">
          <w:rPr>
            <w:rStyle w:val="Hyperlink"/>
            <w:rtl/>
          </w:rPr>
          <w:t xml:space="preserve"> محمد بن </w:t>
        </w:r>
        <w:r w:rsidRPr="002639D5">
          <w:rPr>
            <w:rStyle w:val="Hyperlink"/>
            <w:rFonts w:hint="cs"/>
            <w:rtl/>
          </w:rPr>
          <w:t>ی</w:t>
        </w:r>
        <w:r w:rsidRPr="002639D5">
          <w:rPr>
            <w:rStyle w:val="Hyperlink"/>
            <w:rFonts w:hint="eastAsia"/>
            <w:rtl/>
          </w:rPr>
          <w:t>عقوب</w:t>
        </w:r>
        <w:r w:rsidRPr="002639D5">
          <w:rPr>
            <w:rStyle w:val="Hyperlink"/>
            <w:rtl/>
          </w:rPr>
          <w:t xml:space="preserve"> کل</w:t>
        </w:r>
        <w:r w:rsidRPr="002639D5">
          <w:rPr>
            <w:rStyle w:val="Hyperlink"/>
            <w:rFonts w:hint="cs"/>
            <w:rtl/>
          </w:rPr>
          <w:t>ی</w:t>
        </w:r>
        <w:r w:rsidRPr="002639D5">
          <w:rPr>
            <w:rStyle w:val="Hyperlink"/>
            <w:rFonts w:hint="eastAsia"/>
            <w:rtl/>
          </w:rPr>
          <w:t>ن</w:t>
        </w:r>
        <w:r w:rsidRPr="002639D5">
          <w:rPr>
            <w:rStyle w:val="Hyperlink"/>
            <w:rFonts w:hint="cs"/>
            <w:rtl/>
          </w:rPr>
          <w:t>ی</w:t>
        </w:r>
        <w:r w:rsidRPr="002639D5">
          <w:rPr>
            <w:rStyle w:val="Hyperlink"/>
            <w:rFonts w:hint="eastAsia"/>
            <w:rtl/>
          </w:rPr>
          <w:t>،</w:t>
        </w:r>
        <w:r w:rsidRPr="002639D5">
          <w:rPr>
            <w:rStyle w:val="Hyperlink"/>
            <w:rtl/>
          </w:rPr>
          <w:t xml:space="preserve"> ج5، ص313.</w:t>
        </w:r>
      </w:hyperlink>
    </w:p>
  </w:footnote>
  <w:footnote w:id="17">
    <w:p w:rsidR="00753D38" w:rsidRPr="00753D38" w:rsidRDefault="00753D38" w:rsidP="00753D38">
      <w:pPr>
        <w:pStyle w:val="FootnoteText"/>
        <w:jc w:val="both"/>
      </w:pPr>
      <w:r w:rsidRPr="00753D38">
        <w:rPr>
          <w:rStyle w:val="FootnoteReference"/>
          <w:vertAlign w:val="baseline"/>
        </w:rPr>
        <w:footnoteRef/>
      </w:r>
      <w:r w:rsidRPr="00753D38">
        <w:rPr>
          <w:rFonts w:hint="cs"/>
          <w:rtl/>
        </w:rPr>
        <w:t>. بنا بر این اساس که در صورت وجود اصل موضوعی ، نوبت به جریان اصل برائت نمی رسد .</w:t>
      </w:r>
    </w:p>
  </w:footnote>
  <w:footnote w:id="18">
    <w:p w:rsidR="00877DF5" w:rsidRPr="00E64961" w:rsidRDefault="00877DF5" w:rsidP="00E64961">
      <w:pPr>
        <w:pStyle w:val="FootnoteText"/>
        <w:jc w:val="both"/>
      </w:pPr>
      <w:r w:rsidRPr="00E64961">
        <w:rPr>
          <w:rStyle w:val="FootnoteReference"/>
          <w:vertAlign w:val="baseline"/>
        </w:rPr>
        <w:footnoteRef/>
      </w:r>
      <w:r w:rsidRPr="00E64961">
        <w:rPr>
          <w:rFonts w:hint="cs"/>
          <w:rtl/>
        </w:rPr>
        <w:t>. و حکومت به ملاک نفی موضوع را نپذیرفتند .</w:t>
      </w:r>
    </w:p>
  </w:footnote>
  <w:footnote w:id="19">
    <w:p w:rsidR="00EC6CFE" w:rsidRPr="00EC6CFE" w:rsidRDefault="00EC6CFE" w:rsidP="00EC6CFE">
      <w:pPr>
        <w:pStyle w:val="FootnoteText"/>
        <w:jc w:val="both"/>
      </w:pPr>
      <w:r w:rsidRPr="00EC6CFE">
        <w:rPr>
          <w:rStyle w:val="FootnoteReference"/>
          <w:vertAlign w:val="baseline"/>
        </w:rPr>
        <w:footnoteRef/>
      </w:r>
      <w:r w:rsidRPr="00EC6CFE">
        <w:rPr>
          <w:rFonts w:hint="cs"/>
          <w:rtl/>
        </w:rPr>
        <w:t>. این مطلب همان اشکالی است که مرحوم آخوند نسبت به حکومت امارات بر اصول بیان کردند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64" w:name="BokNum"/>
    <w:bookmarkEnd w:id="64"/>
    <w:r w:rsidR="00C87E00">
      <w:rPr>
        <w:b/>
        <w:bCs/>
        <w:sz w:val="20"/>
        <w:szCs w:val="24"/>
        <w:rtl/>
      </w:rPr>
      <w:t>026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65" w:name="Bokdars"/>
    <w:bookmarkEnd w:id="65"/>
    <w:r w:rsidR="00C87E00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6" w:name="Bokostad"/>
    <w:bookmarkEnd w:id="66"/>
    <w:r w:rsidR="00C87E00">
      <w:rPr>
        <w:b/>
        <w:bCs/>
        <w:color w:val="632423" w:themeColor="accent2" w:themeShade="80"/>
        <w:sz w:val="20"/>
        <w:szCs w:val="24"/>
        <w:rtl/>
      </w:rPr>
      <w:t>قائ</w:t>
    </w:r>
    <w:r w:rsidR="00C87E0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C87E00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C87E00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67" w:name="BokTarikh"/>
    <w:bookmarkEnd w:id="67"/>
    <w:r w:rsidR="00C87E00">
      <w:rPr>
        <w:sz w:val="24"/>
        <w:szCs w:val="24"/>
        <w:rtl/>
      </w:rPr>
      <w:t>26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68" w:name="BokSabj"/>
    <w:bookmarkEnd w:id="68"/>
    <w:r w:rsidR="00C87E00">
      <w:rPr>
        <w:color w:val="000000" w:themeColor="text1"/>
        <w:sz w:val="24"/>
        <w:szCs w:val="24"/>
        <w:rtl/>
      </w:rPr>
      <w:t>تطب</w:t>
    </w:r>
    <w:r w:rsidR="00C87E00">
      <w:rPr>
        <w:rFonts w:hint="cs"/>
        <w:color w:val="000000" w:themeColor="text1"/>
        <w:sz w:val="24"/>
        <w:szCs w:val="24"/>
        <w:rtl/>
      </w:rPr>
      <w:t>ی</w:t>
    </w:r>
    <w:r w:rsidR="00C87E00">
      <w:rPr>
        <w:rFonts w:hint="eastAsia"/>
        <w:color w:val="000000" w:themeColor="text1"/>
        <w:sz w:val="24"/>
        <w:szCs w:val="24"/>
        <w:rtl/>
      </w:rPr>
      <w:t>قات</w:t>
    </w:r>
    <w:r w:rsidR="00C87E00">
      <w:rPr>
        <w:color w:val="000000" w:themeColor="text1"/>
        <w:sz w:val="24"/>
        <w:szCs w:val="24"/>
        <w:rtl/>
      </w:rPr>
      <w:t xml:space="preserve"> تعارض غ</w:t>
    </w:r>
    <w:r w:rsidR="00C87E00">
      <w:rPr>
        <w:rFonts w:hint="cs"/>
        <w:color w:val="000000" w:themeColor="text1"/>
        <w:sz w:val="24"/>
        <w:szCs w:val="24"/>
        <w:rtl/>
      </w:rPr>
      <w:t>ی</w:t>
    </w:r>
    <w:r w:rsidR="00C87E00">
      <w:rPr>
        <w:rFonts w:hint="eastAsia"/>
        <w:color w:val="000000" w:themeColor="text1"/>
        <w:sz w:val="24"/>
        <w:szCs w:val="24"/>
        <w:rtl/>
      </w:rPr>
      <w:t>ر</w:t>
    </w:r>
    <w:r w:rsidR="00C87E00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69" w:name="Bokmoqarer"/>
    <w:bookmarkEnd w:id="69"/>
    <w:r w:rsidR="00C87E00">
      <w:rPr>
        <w:sz w:val="24"/>
        <w:szCs w:val="24"/>
        <w:rtl/>
      </w:rPr>
      <w:t>عل</w:t>
    </w:r>
    <w:r w:rsidR="00C87E00">
      <w:rPr>
        <w:rFonts w:hint="cs"/>
        <w:sz w:val="24"/>
        <w:szCs w:val="24"/>
        <w:rtl/>
      </w:rPr>
      <w:t>ی</w:t>
    </w:r>
    <w:r w:rsidR="00C87E00">
      <w:rPr>
        <w:sz w:val="24"/>
        <w:szCs w:val="24"/>
        <w:rtl/>
      </w:rPr>
      <w:t xml:space="preserve"> بهادرزا</w:t>
    </w:r>
    <w:r w:rsidR="00C87E00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70" w:name="BokSabj2"/>
    <w:bookmarkEnd w:id="70"/>
    <w:r w:rsidR="000A3097">
      <w:rPr>
        <w:sz w:val="24"/>
        <w:szCs w:val="24"/>
        <w:rtl/>
      </w:rPr>
      <w:t xml:space="preserve">رابطه استصحاب و </w:t>
    </w:r>
    <w:r w:rsidR="00C87E00">
      <w:rPr>
        <w:sz w:val="24"/>
        <w:szCs w:val="24"/>
        <w:rtl/>
      </w:rPr>
      <w:t>اصول</w:t>
    </w:r>
    <w:r w:rsidR="000A3097">
      <w:rPr>
        <w:rFonts w:hint="cs"/>
        <w:sz w:val="24"/>
        <w:szCs w:val="24"/>
        <w:rtl/>
      </w:rPr>
      <w:t xml:space="preserve"> شرعی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07DD7"/>
    <w:rsid w:val="00015CBE"/>
    <w:rsid w:val="000201A3"/>
    <w:rsid w:val="00024CA5"/>
    <w:rsid w:val="00025777"/>
    <w:rsid w:val="00025B70"/>
    <w:rsid w:val="00025C15"/>
    <w:rsid w:val="000353D7"/>
    <w:rsid w:val="00036F00"/>
    <w:rsid w:val="00055496"/>
    <w:rsid w:val="00080A41"/>
    <w:rsid w:val="0008299B"/>
    <w:rsid w:val="000864AA"/>
    <w:rsid w:val="00087A61"/>
    <w:rsid w:val="000913AA"/>
    <w:rsid w:val="000943B5"/>
    <w:rsid w:val="00094847"/>
    <w:rsid w:val="00094A34"/>
    <w:rsid w:val="00096C63"/>
    <w:rsid w:val="000A3097"/>
    <w:rsid w:val="000B279A"/>
    <w:rsid w:val="000B5DB5"/>
    <w:rsid w:val="000C3947"/>
    <w:rsid w:val="000D2A37"/>
    <w:rsid w:val="000D30E9"/>
    <w:rsid w:val="000D6818"/>
    <w:rsid w:val="000E335E"/>
    <w:rsid w:val="000F0D9D"/>
    <w:rsid w:val="000F16CF"/>
    <w:rsid w:val="000F5BAC"/>
    <w:rsid w:val="00102585"/>
    <w:rsid w:val="00106F15"/>
    <w:rsid w:val="00114AB7"/>
    <w:rsid w:val="00116B2B"/>
    <w:rsid w:val="00124E3D"/>
    <w:rsid w:val="00127E95"/>
    <w:rsid w:val="00130659"/>
    <w:rsid w:val="00132E5E"/>
    <w:rsid w:val="001347C7"/>
    <w:rsid w:val="00134E0E"/>
    <w:rsid w:val="001351FD"/>
    <w:rsid w:val="001356B0"/>
    <w:rsid w:val="00151937"/>
    <w:rsid w:val="00181844"/>
    <w:rsid w:val="00182EBF"/>
    <w:rsid w:val="001837E9"/>
    <w:rsid w:val="00187DFA"/>
    <w:rsid w:val="001904B3"/>
    <w:rsid w:val="00191DB1"/>
    <w:rsid w:val="001A0174"/>
    <w:rsid w:val="001A1BC1"/>
    <w:rsid w:val="001A1EA5"/>
    <w:rsid w:val="001A2574"/>
    <w:rsid w:val="001A27D7"/>
    <w:rsid w:val="001A294E"/>
    <w:rsid w:val="001A427C"/>
    <w:rsid w:val="001A4ED8"/>
    <w:rsid w:val="001B2488"/>
    <w:rsid w:val="001B6799"/>
    <w:rsid w:val="001C1362"/>
    <w:rsid w:val="001C189F"/>
    <w:rsid w:val="001D151F"/>
    <w:rsid w:val="001D2E9A"/>
    <w:rsid w:val="001D429C"/>
    <w:rsid w:val="001D597F"/>
    <w:rsid w:val="001E3FD4"/>
    <w:rsid w:val="00200A70"/>
    <w:rsid w:val="0020241A"/>
    <w:rsid w:val="00203821"/>
    <w:rsid w:val="00207B33"/>
    <w:rsid w:val="00211632"/>
    <w:rsid w:val="00212748"/>
    <w:rsid w:val="0021630D"/>
    <w:rsid w:val="0022270B"/>
    <w:rsid w:val="0022333D"/>
    <w:rsid w:val="002245D4"/>
    <w:rsid w:val="00225CC8"/>
    <w:rsid w:val="00230D40"/>
    <w:rsid w:val="00233947"/>
    <w:rsid w:val="00236FA0"/>
    <w:rsid w:val="0024121B"/>
    <w:rsid w:val="00242879"/>
    <w:rsid w:val="00243EE7"/>
    <w:rsid w:val="002469C7"/>
    <w:rsid w:val="00247D2F"/>
    <w:rsid w:val="00253626"/>
    <w:rsid w:val="00256560"/>
    <w:rsid w:val="002639D5"/>
    <w:rsid w:val="00272A1B"/>
    <w:rsid w:val="0027605E"/>
    <w:rsid w:val="00281E00"/>
    <w:rsid w:val="002845CB"/>
    <w:rsid w:val="002873C6"/>
    <w:rsid w:val="00291255"/>
    <w:rsid w:val="00294A52"/>
    <w:rsid w:val="002A30C2"/>
    <w:rsid w:val="002B575F"/>
    <w:rsid w:val="002B729B"/>
    <w:rsid w:val="002C23B5"/>
    <w:rsid w:val="002C53A2"/>
    <w:rsid w:val="002D0040"/>
    <w:rsid w:val="002D0D51"/>
    <w:rsid w:val="002D2FA8"/>
    <w:rsid w:val="002D6105"/>
    <w:rsid w:val="002D7436"/>
    <w:rsid w:val="002E220F"/>
    <w:rsid w:val="002F56E8"/>
    <w:rsid w:val="00302457"/>
    <w:rsid w:val="00307311"/>
    <w:rsid w:val="0032100F"/>
    <w:rsid w:val="0033402C"/>
    <w:rsid w:val="00340521"/>
    <w:rsid w:val="00345C73"/>
    <w:rsid w:val="00351212"/>
    <w:rsid w:val="00354A99"/>
    <w:rsid w:val="00354EA4"/>
    <w:rsid w:val="00360311"/>
    <w:rsid w:val="00360A49"/>
    <w:rsid w:val="00361922"/>
    <w:rsid w:val="00364DCF"/>
    <w:rsid w:val="00373153"/>
    <w:rsid w:val="0037339B"/>
    <w:rsid w:val="0037711E"/>
    <w:rsid w:val="00386C11"/>
    <w:rsid w:val="00393C82"/>
    <w:rsid w:val="00394377"/>
    <w:rsid w:val="00397466"/>
    <w:rsid w:val="003A0D57"/>
    <w:rsid w:val="003A6148"/>
    <w:rsid w:val="003A6D38"/>
    <w:rsid w:val="003C33F6"/>
    <w:rsid w:val="003C3D2E"/>
    <w:rsid w:val="003C42B6"/>
    <w:rsid w:val="003C43A5"/>
    <w:rsid w:val="003D0B31"/>
    <w:rsid w:val="003E1C5C"/>
    <w:rsid w:val="003E6650"/>
    <w:rsid w:val="003F59B3"/>
    <w:rsid w:val="003F5B46"/>
    <w:rsid w:val="00401363"/>
    <w:rsid w:val="00402E47"/>
    <w:rsid w:val="00412AD6"/>
    <w:rsid w:val="00414613"/>
    <w:rsid w:val="00415237"/>
    <w:rsid w:val="00425015"/>
    <w:rsid w:val="00425AD3"/>
    <w:rsid w:val="00430994"/>
    <w:rsid w:val="00441B6D"/>
    <w:rsid w:val="00445202"/>
    <w:rsid w:val="00446017"/>
    <w:rsid w:val="004556EF"/>
    <w:rsid w:val="00462995"/>
    <w:rsid w:val="00462B07"/>
    <w:rsid w:val="00465BD2"/>
    <w:rsid w:val="004715C8"/>
    <w:rsid w:val="00473488"/>
    <w:rsid w:val="004741EA"/>
    <w:rsid w:val="00475808"/>
    <w:rsid w:val="00476D4B"/>
    <w:rsid w:val="00481C31"/>
    <w:rsid w:val="00482FC1"/>
    <w:rsid w:val="00483027"/>
    <w:rsid w:val="004871AA"/>
    <w:rsid w:val="004918D7"/>
    <w:rsid w:val="004926E1"/>
    <w:rsid w:val="004A1062"/>
    <w:rsid w:val="004A2FEA"/>
    <w:rsid w:val="004B0066"/>
    <w:rsid w:val="004D2DD7"/>
    <w:rsid w:val="004D75C5"/>
    <w:rsid w:val="004E2186"/>
    <w:rsid w:val="004E66FB"/>
    <w:rsid w:val="004F470A"/>
    <w:rsid w:val="004F4C59"/>
    <w:rsid w:val="00500C8F"/>
    <w:rsid w:val="00501909"/>
    <w:rsid w:val="00506F62"/>
    <w:rsid w:val="00507BBB"/>
    <w:rsid w:val="005128DF"/>
    <w:rsid w:val="00513D54"/>
    <w:rsid w:val="00514709"/>
    <w:rsid w:val="0051592A"/>
    <w:rsid w:val="00515E35"/>
    <w:rsid w:val="0051639A"/>
    <w:rsid w:val="005206FE"/>
    <w:rsid w:val="00521169"/>
    <w:rsid w:val="00522D86"/>
    <w:rsid w:val="005257ED"/>
    <w:rsid w:val="005306F8"/>
    <w:rsid w:val="0054023D"/>
    <w:rsid w:val="00542687"/>
    <w:rsid w:val="005426BF"/>
    <w:rsid w:val="0056213C"/>
    <w:rsid w:val="00580C24"/>
    <w:rsid w:val="00590C00"/>
    <w:rsid w:val="005968EF"/>
    <w:rsid w:val="00596C1E"/>
    <w:rsid w:val="005A25B2"/>
    <w:rsid w:val="005A2E26"/>
    <w:rsid w:val="005B4ECC"/>
    <w:rsid w:val="005B7BCA"/>
    <w:rsid w:val="005C0DAE"/>
    <w:rsid w:val="005C188E"/>
    <w:rsid w:val="005C411A"/>
    <w:rsid w:val="005D2349"/>
    <w:rsid w:val="005E1B60"/>
    <w:rsid w:val="005E5507"/>
    <w:rsid w:val="005E607B"/>
    <w:rsid w:val="005F0A8D"/>
    <w:rsid w:val="005F7BF3"/>
    <w:rsid w:val="006005E4"/>
    <w:rsid w:val="00601229"/>
    <w:rsid w:val="006020FC"/>
    <w:rsid w:val="00603B67"/>
    <w:rsid w:val="00604003"/>
    <w:rsid w:val="0060795A"/>
    <w:rsid w:val="00611540"/>
    <w:rsid w:val="006162A2"/>
    <w:rsid w:val="006215CF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270F"/>
    <w:rsid w:val="006652CB"/>
    <w:rsid w:val="00667467"/>
    <w:rsid w:val="00674050"/>
    <w:rsid w:val="00695519"/>
    <w:rsid w:val="006A4134"/>
    <w:rsid w:val="006A5DDA"/>
    <w:rsid w:val="006A6701"/>
    <w:rsid w:val="006B21F4"/>
    <w:rsid w:val="006B2B2A"/>
    <w:rsid w:val="006B3753"/>
    <w:rsid w:val="006B7AD6"/>
    <w:rsid w:val="006C02D9"/>
    <w:rsid w:val="006C50FD"/>
    <w:rsid w:val="006C5563"/>
    <w:rsid w:val="006D0192"/>
    <w:rsid w:val="006D1DD4"/>
    <w:rsid w:val="006D4014"/>
    <w:rsid w:val="006D44C1"/>
    <w:rsid w:val="006D53C3"/>
    <w:rsid w:val="006D736D"/>
    <w:rsid w:val="006E2A2B"/>
    <w:rsid w:val="006E5651"/>
    <w:rsid w:val="006E5B85"/>
    <w:rsid w:val="006F026A"/>
    <w:rsid w:val="006F0D2D"/>
    <w:rsid w:val="006F0F10"/>
    <w:rsid w:val="0070265B"/>
    <w:rsid w:val="00702C72"/>
    <w:rsid w:val="00703643"/>
    <w:rsid w:val="00704813"/>
    <w:rsid w:val="007072EB"/>
    <w:rsid w:val="00715647"/>
    <w:rsid w:val="0072290D"/>
    <w:rsid w:val="00723D6D"/>
    <w:rsid w:val="007244E6"/>
    <w:rsid w:val="00724537"/>
    <w:rsid w:val="00731724"/>
    <w:rsid w:val="0073474B"/>
    <w:rsid w:val="00735511"/>
    <w:rsid w:val="00737208"/>
    <w:rsid w:val="007410FC"/>
    <w:rsid w:val="00741159"/>
    <w:rsid w:val="00743003"/>
    <w:rsid w:val="00744DE6"/>
    <w:rsid w:val="00753D38"/>
    <w:rsid w:val="00762452"/>
    <w:rsid w:val="007639E0"/>
    <w:rsid w:val="0077075B"/>
    <w:rsid w:val="0077182B"/>
    <w:rsid w:val="00775507"/>
    <w:rsid w:val="00783473"/>
    <w:rsid w:val="0078594B"/>
    <w:rsid w:val="00795E02"/>
    <w:rsid w:val="0079773B"/>
    <w:rsid w:val="007979D0"/>
    <w:rsid w:val="007A4E18"/>
    <w:rsid w:val="007A7B8C"/>
    <w:rsid w:val="007B03B7"/>
    <w:rsid w:val="007B683F"/>
    <w:rsid w:val="007C6D9E"/>
    <w:rsid w:val="007D1608"/>
    <w:rsid w:val="007D1C43"/>
    <w:rsid w:val="007D3E54"/>
    <w:rsid w:val="007D4C4A"/>
    <w:rsid w:val="007D6C53"/>
    <w:rsid w:val="007E02E5"/>
    <w:rsid w:val="007E1564"/>
    <w:rsid w:val="007E1E87"/>
    <w:rsid w:val="007E5B3F"/>
    <w:rsid w:val="007F2257"/>
    <w:rsid w:val="007F77B1"/>
    <w:rsid w:val="0080091D"/>
    <w:rsid w:val="00804108"/>
    <w:rsid w:val="00804FC4"/>
    <w:rsid w:val="00816367"/>
    <w:rsid w:val="00816A0B"/>
    <w:rsid w:val="00824B22"/>
    <w:rsid w:val="00830081"/>
    <w:rsid w:val="00830C53"/>
    <w:rsid w:val="0083696D"/>
    <w:rsid w:val="00837467"/>
    <w:rsid w:val="00837FAA"/>
    <w:rsid w:val="00841F77"/>
    <w:rsid w:val="0085276D"/>
    <w:rsid w:val="008614F1"/>
    <w:rsid w:val="008630EB"/>
    <w:rsid w:val="00863390"/>
    <w:rsid w:val="0086385C"/>
    <w:rsid w:val="00871916"/>
    <w:rsid w:val="00877DF5"/>
    <w:rsid w:val="008956DD"/>
    <w:rsid w:val="008A055C"/>
    <w:rsid w:val="008A510E"/>
    <w:rsid w:val="008A522A"/>
    <w:rsid w:val="008A5772"/>
    <w:rsid w:val="008B0084"/>
    <w:rsid w:val="008B4464"/>
    <w:rsid w:val="008B6FF6"/>
    <w:rsid w:val="008B750B"/>
    <w:rsid w:val="008B7CC9"/>
    <w:rsid w:val="008C2B54"/>
    <w:rsid w:val="008C3162"/>
    <w:rsid w:val="008C7085"/>
    <w:rsid w:val="008D1F14"/>
    <w:rsid w:val="008E2C03"/>
    <w:rsid w:val="008E3924"/>
    <w:rsid w:val="008F13F7"/>
    <w:rsid w:val="008F1CDF"/>
    <w:rsid w:val="008F5B4D"/>
    <w:rsid w:val="009016E5"/>
    <w:rsid w:val="00907425"/>
    <w:rsid w:val="00907613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04E0"/>
    <w:rsid w:val="009619A8"/>
    <w:rsid w:val="0096778A"/>
    <w:rsid w:val="00967968"/>
    <w:rsid w:val="00977656"/>
    <w:rsid w:val="00980D6D"/>
    <w:rsid w:val="00982BCC"/>
    <w:rsid w:val="009846A7"/>
    <w:rsid w:val="0098794D"/>
    <w:rsid w:val="0099497B"/>
    <w:rsid w:val="00997405"/>
    <w:rsid w:val="009A1BBC"/>
    <w:rsid w:val="009A2B77"/>
    <w:rsid w:val="009A43BA"/>
    <w:rsid w:val="009B0D05"/>
    <w:rsid w:val="009B4CA6"/>
    <w:rsid w:val="009B6839"/>
    <w:rsid w:val="009B79F8"/>
    <w:rsid w:val="009C66D5"/>
    <w:rsid w:val="009C76F2"/>
    <w:rsid w:val="009D13FD"/>
    <w:rsid w:val="009D266A"/>
    <w:rsid w:val="009E76A1"/>
    <w:rsid w:val="009F6F9E"/>
    <w:rsid w:val="009F7E07"/>
    <w:rsid w:val="00A01522"/>
    <w:rsid w:val="00A05FB8"/>
    <w:rsid w:val="00A10A11"/>
    <w:rsid w:val="00A1227F"/>
    <w:rsid w:val="00A13C6A"/>
    <w:rsid w:val="00A146B2"/>
    <w:rsid w:val="00A17B09"/>
    <w:rsid w:val="00A23A38"/>
    <w:rsid w:val="00A3062D"/>
    <w:rsid w:val="00A339D5"/>
    <w:rsid w:val="00A457C6"/>
    <w:rsid w:val="00A46AD0"/>
    <w:rsid w:val="00A47063"/>
    <w:rsid w:val="00A473A8"/>
    <w:rsid w:val="00A513F0"/>
    <w:rsid w:val="00A61AC8"/>
    <w:rsid w:val="00A6366F"/>
    <w:rsid w:val="00A6583F"/>
    <w:rsid w:val="00A65D4C"/>
    <w:rsid w:val="00A700A5"/>
    <w:rsid w:val="00A70512"/>
    <w:rsid w:val="00A7382C"/>
    <w:rsid w:val="00A770A2"/>
    <w:rsid w:val="00A83A73"/>
    <w:rsid w:val="00AA1F60"/>
    <w:rsid w:val="00AA40D7"/>
    <w:rsid w:val="00AB5F7D"/>
    <w:rsid w:val="00AC0C50"/>
    <w:rsid w:val="00AC281A"/>
    <w:rsid w:val="00AC61F2"/>
    <w:rsid w:val="00AC6FE2"/>
    <w:rsid w:val="00AE5B9C"/>
    <w:rsid w:val="00AF026E"/>
    <w:rsid w:val="00AF3925"/>
    <w:rsid w:val="00B07D4A"/>
    <w:rsid w:val="00B1296B"/>
    <w:rsid w:val="00B16A3F"/>
    <w:rsid w:val="00B2292F"/>
    <w:rsid w:val="00B26CAA"/>
    <w:rsid w:val="00B32217"/>
    <w:rsid w:val="00B43169"/>
    <w:rsid w:val="00B501A8"/>
    <w:rsid w:val="00B52CB1"/>
    <w:rsid w:val="00B55AE4"/>
    <w:rsid w:val="00B70B46"/>
    <w:rsid w:val="00B739B0"/>
    <w:rsid w:val="00B77384"/>
    <w:rsid w:val="00B77844"/>
    <w:rsid w:val="00B814A3"/>
    <w:rsid w:val="00B92EDA"/>
    <w:rsid w:val="00B9565E"/>
    <w:rsid w:val="00B96F38"/>
    <w:rsid w:val="00BB55F8"/>
    <w:rsid w:val="00BC2418"/>
    <w:rsid w:val="00BC63CC"/>
    <w:rsid w:val="00BC716B"/>
    <w:rsid w:val="00BD07C6"/>
    <w:rsid w:val="00BD0E74"/>
    <w:rsid w:val="00BD5F8C"/>
    <w:rsid w:val="00BE076C"/>
    <w:rsid w:val="00BE0BBD"/>
    <w:rsid w:val="00BE29DD"/>
    <w:rsid w:val="00BF0394"/>
    <w:rsid w:val="00C066AF"/>
    <w:rsid w:val="00C10E06"/>
    <w:rsid w:val="00C145B8"/>
    <w:rsid w:val="00C2438F"/>
    <w:rsid w:val="00C31AF0"/>
    <w:rsid w:val="00C32A7E"/>
    <w:rsid w:val="00C34F28"/>
    <w:rsid w:val="00C365C0"/>
    <w:rsid w:val="00C368DF"/>
    <w:rsid w:val="00C442C5"/>
    <w:rsid w:val="00C57B5C"/>
    <w:rsid w:val="00C57C7C"/>
    <w:rsid w:val="00C61049"/>
    <w:rsid w:val="00C63FFE"/>
    <w:rsid w:val="00C7689B"/>
    <w:rsid w:val="00C87E00"/>
    <w:rsid w:val="00C91EB6"/>
    <w:rsid w:val="00CA10B0"/>
    <w:rsid w:val="00CA22D4"/>
    <w:rsid w:val="00CA2F8E"/>
    <w:rsid w:val="00CA3EE2"/>
    <w:rsid w:val="00CA7FD5"/>
    <w:rsid w:val="00CB3287"/>
    <w:rsid w:val="00CB33E2"/>
    <w:rsid w:val="00CB4E68"/>
    <w:rsid w:val="00CC2210"/>
    <w:rsid w:val="00CC2733"/>
    <w:rsid w:val="00CD0050"/>
    <w:rsid w:val="00CE49F3"/>
    <w:rsid w:val="00CE7481"/>
    <w:rsid w:val="00CF0A8F"/>
    <w:rsid w:val="00CF3EE6"/>
    <w:rsid w:val="00CF6976"/>
    <w:rsid w:val="00D048CE"/>
    <w:rsid w:val="00D10998"/>
    <w:rsid w:val="00D15CBD"/>
    <w:rsid w:val="00D221CB"/>
    <w:rsid w:val="00D23391"/>
    <w:rsid w:val="00D31805"/>
    <w:rsid w:val="00D471DF"/>
    <w:rsid w:val="00D53656"/>
    <w:rsid w:val="00D552B9"/>
    <w:rsid w:val="00D735B2"/>
    <w:rsid w:val="00D74021"/>
    <w:rsid w:val="00D76D01"/>
    <w:rsid w:val="00D771CB"/>
    <w:rsid w:val="00D83382"/>
    <w:rsid w:val="00D922A9"/>
    <w:rsid w:val="00D9394A"/>
    <w:rsid w:val="00D972C7"/>
    <w:rsid w:val="00DA0A4C"/>
    <w:rsid w:val="00DB0CBB"/>
    <w:rsid w:val="00DB67CC"/>
    <w:rsid w:val="00DC3783"/>
    <w:rsid w:val="00DD1635"/>
    <w:rsid w:val="00DD3927"/>
    <w:rsid w:val="00DE1070"/>
    <w:rsid w:val="00DE3006"/>
    <w:rsid w:val="00DF1B9D"/>
    <w:rsid w:val="00DF2CEB"/>
    <w:rsid w:val="00E00219"/>
    <w:rsid w:val="00E011A4"/>
    <w:rsid w:val="00E01E99"/>
    <w:rsid w:val="00E0316B"/>
    <w:rsid w:val="00E06E7F"/>
    <w:rsid w:val="00E136FC"/>
    <w:rsid w:val="00E2161B"/>
    <w:rsid w:val="00E25E10"/>
    <w:rsid w:val="00E35B74"/>
    <w:rsid w:val="00E45E57"/>
    <w:rsid w:val="00E50B41"/>
    <w:rsid w:val="00E5219B"/>
    <w:rsid w:val="00E52D07"/>
    <w:rsid w:val="00E5518B"/>
    <w:rsid w:val="00E609FE"/>
    <w:rsid w:val="00E630BE"/>
    <w:rsid w:val="00E64961"/>
    <w:rsid w:val="00E73405"/>
    <w:rsid w:val="00E75920"/>
    <w:rsid w:val="00E80D96"/>
    <w:rsid w:val="00E85194"/>
    <w:rsid w:val="00E871FA"/>
    <w:rsid w:val="00E936A4"/>
    <w:rsid w:val="00E94B2A"/>
    <w:rsid w:val="00E954BB"/>
    <w:rsid w:val="00EA2657"/>
    <w:rsid w:val="00EA31C1"/>
    <w:rsid w:val="00EA3F1B"/>
    <w:rsid w:val="00EA45E7"/>
    <w:rsid w:val="00EB78E3"/>
    <w:rsid w:val="00EB7BE3"/>
    <w:rsid w:val="00EC1C4B"/>
    <w:rsid w:val="00EC61AB"/>
    <w:rsid w:val="00EC6CFE"/>
    <w:rsid w:val="00EC735A"/>
    <w:rsid w:val="00ED5F38"/>
    <w:rsid w:val="00EE635D"/>
    <w:rsid w:val="00EF27FE"/>
    <w:rsid w:val="00EF481D"/>
    <w:rsid w:val="00F07FB6"/>
    <w:rsid w:val="00F149D0"/>
    <w:rsid w:val="00F16B53"/>
    <w:rsid w:val="00F20EF7"/>
    <w:rsid w:val="00F25ECD"/>
    <w:rsid w:val="00F267DD"/>
    <w:rsid w:val="00F318BE"/>
    <w:rsid w:val="00F33297"/>
    <w:rsid w:val="00F343FB"/>
    <w:rsid w:val="00F359FE"/>
    <w:rsid w:val="00F42159"/>
    <w:rsid w:val="00F4256E"/>
    <w:rsid w:val="00F42EE1"/>
    <w:rsid w:val="00F47A54"/>
    <w:rsid w:val="00F60F1F"/>
    <w:rsid w:val="00F619F7"/>
    <w:rsid w:val="00F64141"/>
    <w:rsid w:val="00F67508"/>
    <w:rsid w:val="00F71733"/>
    <w:rsid w:val="00F71FC9"/>
    <w:rsid w:val="00F73B48"/>
    <w:rsid w:val="00F74D6C"/>
    <w:rsid w:val="00F74F51"/>
    <w:rsid w:val="00F842AD"/>
    <w:rsid w:val="00F914EB"/>
    <w:rsid w:val="00F91B85"/>
    <w:rsid w:val="00F938E7"/>
    <w:rsid w:val="00FA2F38"/>
    <w:rsid w:val="00FA3B17"/>
    <w:rsid w:val="00FA5E8D"/>
    <w:rsid w:val="00FA5F3D"/>
    <w:rsid w:val="00FB399E"/>
    <w:rsid w:val="00FB7F50"/>
    <w:rsid w:val="00FC0165"/>
    <w:rsid w:val="00FC2A85"/>
    <w:rsid w:val="00FC40AF"/>
    <w:rsid w:val="00FC73B9"/>
    <w:rsid w:val="00FD0A16"/>
    <w:rsid w:val="00FD3277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56/3/389/" TargetMode="External"/><Relationship Id="rId2" Type="http://schemas.openxmlformats.org/officeDocument/2006/relationships/hyperlink" Target="http://lib.eshia.ir/13050/7/241/" TargetMode="External"/><Relationship Id="rId1" Type="http://schemas.openxmlformats.org/officeDocument/2006/relationships/hyperlink" Target="http://lib.eshia.ir/11021/1/208/" TargetMode="External"/><Relationship Id="rId4" Type="http://schemas.openxmlformats.org/officeDocument/2006/relationships/hyperlink" Target="http://lib.eshia.ir/11005/5/313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6CAE1-33EE-44CD-9C35-ECB161153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207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5833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231</cp:revision>
  <cp:lastPrinted>2018-11-18T18:55:00Z</cp:lastPrinted>
  <dcterms:created xsi:type="dcterms:W3CDTF">2018-11-17T15:48:00Z</dcterms:created>
  <dcterms:modified xsi:type="dcterms:W3CDTF">2018-11-18T18:56:00Z</dcterms:modified>
  <cp:contentStatus>ویرایش 2.5</cp:contentStatus>
  <cp:version>2.7</cp:version>
</cp:coreProperties>
</file>