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55" w:rsidRPr="00AA7555" w:rsidRDefault="00AA7555" w:rsidP="00837C69">
      <w:pPr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باسمه تعالی</w:t>
      </w:r>
    </w:p>
    <w:p w:rsidR="00E71023" w:rsidRDefault="00E71023" w:rsidP="00837C69">
      <w:pPr>
        <w:pStyle w:val="Title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نمونه محورهای شفاف شده در کشورهای دنیا</w:t>
      </w:r>
    </w:p>
    <w:tbl>
      <w:tblPr>
        <w:tblStyle w:val="PlainTable1"/>
        <w:bidiVisual/>
        <w:tblW w:w="0" w:type="auto"/>
        <w:tblInd w:w="5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539"/>
        <w:gridCol w:w="962"/>
        <w:gridCol w:w="892"/>
        <w:gridCol w:w="1876"/>
        <w:gridCol w:w="1632"/>
        <w:gridCol w:w="1560"/>
      </w:tblGrid>
      <w:tr w:rsidR="004C59C8" w:rsidTr="00A00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کشور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رتبه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دارایی‌ها</w:t>
            </w:r>
            <w:proofErr w:type="spellEnd"/>
            <w:r>
              <w:rPr>
                <w:rStyle w:val="FootnoteReference"/>
                <w:rtl/>
                <w:lang w:bidi="fa-IR"/>
              </w:rPr>
              <w:footnoteReference w:id="1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درآمدها</w:t>
            </w:r>
            <w:r>
              <w:rPr>
                <w:rStyle w:val="FootnoteReference"/>
                <w:rtl/>
                <w:lang w:bidi="fa-IR"/>
              </w:rPr>
              <w:footnoteReference w:id="2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شغل‌ها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hint="cs"/>
                <w:rtl/>
                <w:lang w:bidi="fa-IR"/>
              </w:rPr>
              <w:t>فعالیت‌ها</w:t>
            </w:r>
            <w:proofErr w:type="spellEnd"/>
            <w:r>
              <w:rPr>
                <w:rStyle w:val="FootnoteReference"/>
                <w:rtl/>
                <w:lang w:bidi="fa-IR"/>
              </w:rPr>
              <w:footnoteReference w:id="3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منافع اقتصادی یا تعارض منافع</w:t>
            </w:r>
            <w:r>
              <w:rPr>
                <w:rStyle w:val="FootnoteReference"/>
                <w:rtl/>
                <w:lang w:bidi="fa-IR"/>
              </w:rPr>
              <w:footnoteReference w:id="4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هدایا</w:t>
            </w:r>
            <w:r>
              <w:rPr>
                <w:rStyle w:val="FootnoteReference"/>
                <w:rtl/>
                <w:lang w:bidi="fa-IR"/>
              </w:rPr>
              <w:footnoteReference w:id="5"/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دانمارک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فنلاند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سوئد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هلند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لوکزامبورگ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آلمان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انگلستان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بلژیک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آمریکا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ایرلند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فرانسه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اتریش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استونی</w:t>
            </w:r>
            <w:proofErr w:type="spellEnd"/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پرتغال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33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لهستان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38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اسپانیا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lastRenderedPageBreak/>
              <w:t>اسلونی</w:t>
            </w:r>
            <w:proofErr w:type="spellEnd"/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43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لیتوانی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43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مالتا</w:t>
            </w:r>
            <w:proofErr w:type="spellEnd"/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45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مجارستان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47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لتونی</w:t>
            </w:r>
            <w:proofErr w:type="spellEnd"/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49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چک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57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اسلواکی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رومانی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69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4C59C8" w:rsidTr="00A0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ایتالیا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69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</w:tr>
      <w:tr w:rsidR="004C59C8" w:rsidTr="00A00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بلغارستان</w:t>
            </w:r>
          </w:p>
        </w:tc>
        <w:tc>
          <w:tcPr>
            <w:tcW w:w="539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77</w:t>
            </w:r>
          </w:p>
        </w:tc>
        <w:tc>
          <w:tcPr>
            <w:tcW w:w="96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876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lang w:bidi="fa-IR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4C59C8" w:rsidRDefault="004C59C8" w:rsidP="004C59C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</w:tbl>
    <w:p w:rsidR="00804367" w:rsidRDefault="00804367" w:rsidP="00E71023">
      <w:pPr>
        <w:rPr>
          <w:rtl/>
          <w:lang w:bidi="fa-IR"/>
        </w:rPr>
      </w:pPr>
      <w:r>
        <w:rPr>
          <w:rFonts w:hint="cs"/>
          <w:rtl/>
          <w:lang w:bidi="fa-IR"/>
        </w:rPr>
        <w:t>نکات:</w:t>
      </w:r>
    </w:p>
    <w:p w:rsidR="00804367" w:rsidRDefault="00804367" w:rsidP="00EB4BCA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غیر از اینها موارد دیگری هم هست، که البته بدلیل اختصار بیشتر موارد مشترک را ذکر کردیم، مثلا تعهد نسبت به اعلام </w:t>
      </w:r>
      <w:proofErr w:type="spellStart"/>
      <w:r>
        <w:rPr>
          <w:rFonts w:hint="cs"/>
          <w:rtl/>
          <w:lang w:bidi="fa-IR"/>
        </w:rPr>
        <w:t>بدهی‌ها</w:t>
      </w:r>
      <w:proofErr w:type="spellEnd"/>
      <w:r>
        <w:rPr>
          <w:rFonts w:hint="cs"/>
          <w:rtl/>
          <w:lang w:bidi="fa-IR"/>
        </w:rPr>
        <w:t xml:space="preserve"> (جمهوری چک)</w:t>
      </w:r>
      <w:r w:rsidR="00EB4BCA">
        <w:rPr>
          <w:rFonts w:hint="cs"/>
          <w:rtl/>
          <w:lang w:bidi="fa-IR"/>
        </w:rPr>
        <w:t xml:space="preserve">، ممنوعیت بهره‌مندی از جایگاه شغلی برای </w:t>
      </w:r>
      <w:proofErr w:type="spellStart"/>
      <w:r w:rsidR="00EB4BCA">
        <w:rPr>
          <w:rFonts w:hint="cs"/>
          <w:rtl/>
          <w:lang w:bidi="fa-IR"/>
        </w:rPr>
        <w:t>درامد</w:t>
      </w:r>
      <w:proofErr w:type="spellEnd"/>
      <w:r w:rsidR="00EB4BCA">
        <w:rPr>
          <w:rFonts w:hint="cs"/>
          <w:rtl/>
          <w:lang w:bidi="fa-IR"/>
        </w:rPr>
        <w:t xml:space="preserve"> یا تبلیغات شخصی (رومانی)، </w:t>
      </w:r>
      <w:proofErr w:type="spellStart"/>
      <w:r w:rsidR="004A595E">
        <w:rPr>
          <w:rFonts w:hint="cs"/>
          <w:rtl/>
          <w:lang w:bidi="fa-IR"/>
        </w:rPr>
        <w:t>هزینه‌ها</w:t>
      </w:r>
      <w:proofErr w:type="spellEnd"/>
      <w:r w:rsidR="004A595E">
        <w:rPr>
          <w:rFonts w:hint="cs"/>
          <w:rtl/>
          <w:lang w:bidi="fa-IR"/>
        </w:rPr>
        <w:t xml:space="preserve"> و تعهدات </w:t>
      </w:r>
      <w:proofErr w:type="spellStart"/>
      <w:r w:rsidR="004A595E">
        <w:rPr>
          <w:rFonts w:hint="cs"/>
          <w:rtl/>
          <w:lang w:bidi="fa-IR"/>
        </w:rPr>
        <w:t>کمپین‌های</w:t>
      </w:r>
      <w:proofErr w:type="spellEnd"/>
      <w:r w:rsidR="004A595E">
        <w:rPr>
          <w:rFonts w:hint="cs"/>
          <w:rtl/>
          <w:lang w:bidi="fa-IR"/>
        </w:rPr>
        <w:t xml:space="preserve"> انتخاباتی (ایتالیا)، </w:t>
      </w:r>
      <w:r w:rsidR="006B2A5B">
        <w:rPr>
          <w:rFonts w:hint="cs"/>
          <w:rtl/>
          <w:lang w:bidi="fa-IR"/>
        </w:rPr>
        <w:t xml:space="preserve">اعلام </w:t>
      </w:r>
      <w:proofErr w:type="spellStart"/>
      <w:r w:rsidR="006B2A5B">
        <w:rPr>
          <w:rFonts w:hint="cs"/>
          <w:rtl/>
          <w:lang w:bidi="fa-IR"/>
        </w:rPr>
        <w:t>حمایت‌های</w:t>
      </w:r>
      <w:proofErr w:type="spellEnd"/>
      <w:r w:rsidR="006B2A5B">
        <w:rPr>
          <w:rFonts w:hint="cs"/>
          <w:rtl/>
          <w:lang w:bidi="fa-IR"/>
        </w:rPr>
        <w:t xml:space="preserve"> مالی نماینده از فرد یا گروهی خاص (لوکزامبورگ)، اعلام موقوفات (آلمان)</w:t>
      </w:r>
      <w:r w:rsidR="004C59C8">
        <w:rPr>
          <w:rFonts w:hint="cs"/>
          <w:rtl/>
          <w:lang w:bidi="fa-IR"/>
        </w:rPr>
        <w:t xml:space="preserve">، اعلام </w:t>
      </w:r>
      <w:proofErr w:type="spellStart"/>
      <w:r w:rsidR="004C59C8">
        <w:rPr>
          <w:rFonts w:hint="cs"/>
          <w:rtl/>
          <w:lang w:bidi="fa-IR"/>
        </w:rPr>
        <w:t>قراردادها</w:t>
      </w:r>
      <w:proofErr w:type="spellEnd"/>
      <w:r w:rsidR="004C59C8">
        <w:rPr>
          <w:rFonts w:hint="cs"/>
          <w:rtl/>
          <w:lang w:bidi="fa-IR"/>
        </w:rPr>
        <w:t xml:space="preserve"> با دولت (ایرلند) یا ممنوعیت چنین </w:t>
      </w:r>
      <w:proofErr w:type="spellStart"/>
      <w:r w:rsidR="004C59C8">
        <w:rPr>
          <w:rFonts w:hint="cs"/>
          <w:rtl/>
          <w:lang w:bidi="fa-IR"/>
        </w:rPr>
        <w:t>قراردادهایی</w:t>
      </w:r>
      <w:proofErr w:type="spellEnd"/>
      <w:r w:rsidR="004C59C8">
        <w:rPr>
          <w:rFonts w:hint="cs"/>
          <w:rtl/>
          <w:lang w:bidi="fa-IR"/>
        </w:rPr>
        <w:t xml:space="preserve"> (</w:t>
      </w:r>
      <w:proofErr w:type="spellStart"/>
      <w:r w:rsidR="004C59C8">
        <w:rPr>
          <w:rFonts w:hint="cs"/>
          <w:rtl/>
          <w:lang w:bidi="fa-IR"/>
        </w:rPr>
        <w:t>لتونی</w:t>
      </w:r>
      <w:proofErr w:type="spellEnd"/>
      <w:r w:rsidR="004C59C8">
        <w:rPr>
          <w:rFonts w:hint="cs"/>
          <w:rtl/>
          <w:lang w:bidi="fa-IR"/>
        </w:rPr>
        <w:t>)</w:t>
      </w:r>
      <w:r w:rsidR="00E12CF3">
        <w:rPr>
          <w:rFonts w:hint="cs"/>
          <w:rtl/>
          <w:lang w:bidi="fa-IR"/>
        </w:rPr>
        <w:t>.</w:t>
      </w:r>
    </w:p>
    <w:sectPr w:rsidR="00804367" w:rsidSect="00CF63D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92" w:rsidRDefault="00E66592" w:rsidP="00AA7555">
      <w:pPr>
        <w:spacing w:after="0" w:line="240" w:lineRule="auto"/>
      </w:pPr>
      <w:r>
        <w:separator/>
      </w:r>
    </w:p>
  </w:endnote>
  <w:endnote w:type="continuationSeparator" w:id="0">
    <w:p w:rsidR="00E66592" w:rsidRDefault="00E66592" w:rsidP="00AA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92" w:rsidRDefault="00E66592" w:rsidP="00AA7555">
      <w:pPr>
        <w:spacing w:after="0" w:line="240" w:lineRule="auto"/>
      </w:pPr>
      <w:r>
        <w:separator/>
      </w:r>
    </w:p>
  </w:footnote>
  <w:footnote w:type="continuationSeparator" w:id="0">
    <w:p w:rsidR="00E66592" w:rsidRDefault="00E66592" w:rsidP="00AA7555">
      <w:pPr>
        <w:spacing w:after="0" w:line="240" w:lineRule="auto"/>
      </w:pPr>
      <w:r>
        <w:continuationSeparator/>
      </w:r>
    </w:p>
  </w:footnote>
  <w:footnote w:id="1">
    <w:p w:rsidR="004C59C8" w:rsidRDefault="004C59C8" w:rsidP="004C59C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تعهد نسبت به اعلام و شفافیت </w:t>
      </w:r>
      <w:proofErr w:type="spellStart"/>
      <w:r>
        <w:rPr>
          <w:rFonts w:hint="cs"/>
          <w:rtl/>
        </w:rPr>
        <w:t>دارایی‌ها</w:t>
      </w:r>
      <w:proofErr w:type="spellEnd"/>
      <w:r>
        <w:rPr>
          <w:rFonts w:hint="cs"/>
          <w:rtl/>
        </w:rPr>
        <w:t xml:space="preserve"> و نیز تغییر در آنها، در زمان نمایندگی و یا حتی پیش و </w:t>
      </w:r>
      <w:r w:rsidR="00E12CF3">
        <w:rPr>
          <w:rFonts w:hint="cs"/>
          <w:rtl/>
        </w:rPr>
        <w:t>تا مدت مشخصی پس از آن.</w:t>
      </w:r>
    </w:p>
  </w:footnote>
  <w:footnote w:id="2">
    <w:p w:rsidR="004C59C8" w:rsidRDefault="004C59C8" w:rsidP="004C59C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تعهد نسبت به اعلام درآمدهای جانبی خود (غیر از فع</w:t>
      </w:r>
      <w:r w:rsidR="00E12CF3">
        <w:rPr>
          <w:rFonts w:hint="cs"/>
          <w:rtl/>
        </w:rPr>
        <w:t>الیت‌های نمایندگی) در صورت وجود.</w:t>
      </w:r>
    </w:p>
  </w:footnote>
  <w:footnote w:id="3">
    <w:p w:rsidR="004C59C8" w:rsidRDefault="004C59C8" w:rsidP="004C59C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تعهد نسبت به از اعلام </w:t>
      </w:r>
      <w:proofErr w:type="spellStart"/>
      <w:r>
        <w:rPr>
          <w:rFonts w:hint="cs"/>
          <w:rtl/>
        </w:rPr>
        <w:t>فعالیت‌ها</w:t>
      </w:r>
      <w:proofErr w:type="spellEnd"/>
      <w:r>
        <w:rPr>
          <w:rFonts w:hint="cs"/>
          <w:rtl/>
        </w:rPr>
        <w:t xml:space="preserve"> و مشاغل تا محدودیت‌های شخصی مختلف</w:t>
      </w:r>
      <w:r w:rsidR="00E12CF3">
        <w:rPr>
          <w:rFonts w:hint="cs"/>
          <w:rtl/>
        </w:rPr>
        <w:t>.</w:t>
      </w:r>
    </w:p>
  </w:footnote>
  <w:footnote w:id="4">
    <w:p w:rsidR="004C59C8" w:rsidRDefault="004C59C8" w:rsidP="00B629D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تعهد </w:t>
      </w:r>
      <w:r w:rsidR="00E12CF3">
        <w:rPr>
          <w:rFonts w:hint="cs"/>
          <w:rtl/>
        </w:rPr>
        <w:t xml:space="preserve">نسبت به </w:t>
      </w:r>
      <w:r>
        <w:rPr>
          <w:rFonts w:hint="cs"/>
          <w:rtl/>
        </w:rPr>
        <w:t xml:space="preserve">اعلام </w:t>
      </w:r>
      <w:r w:rsidR="00E12CF3">
        <w:rPr>
          <w:rFonts w:hint="cs"/>
          <w:rtl/>
        </w:rPr>
        <w:t xml:space="preserve">منافع مالی یا تعارض منافع </w:t>
      </w:r>
      <w:r>
        <w:rPr>
          <w:rFonts w:hint="cs"/>
          <w:rtl/>
        </w:rPr>
        <w:t>تا محدودیت</w:t>
      </w:r>
      <w:r w:rsidR="00E12CF3">
        <w:rPr>
          <w:rFonts w:hint="cs"/>
          <w:rtl/>
        </w:rPr>
        <w:t>‌های قانونی در صورت وجود منفعتی مشخص یا وجود تعارض منافع.</w:t>
      </w:r>
    </w:p>
  </w:footnote>
  <w:footnote w:id="5">
    <w:p w:rsidR="004C59C8" w:rsidRDefault="004C59C8" w:rsidP="004C59C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E12CF3">
        <w:rPr>
          <w:rFonts w:hint="cs"/>
          <w:rtl/>
        </w:rPr>
        <w:t xml:space="preserve">تعهد نسبت به </w:t>
      </w:r>
      <w:r>
        <w:rPr>
          <w:rFonts w:hint="cs"/>
          <w:rtl/>
        </w:rPr>
        <w:t xml:space="preserve">از اعلام </w:t>
      </w:r>
      <w:r w:rsidR="00E12CF3">
        <w:rPr>
          <w:rFonts w:hint="cs"/>
          <w:rtl/>
        </w:rPr>
        <w:t xml:space="preserve">هدایای دریافتی </w:t>
      </w:r>
      <w:r>
        <w:rPr>
          <w:rFonts w:hint="cs"/>
          <w:rtl/>
        </w:rPr>
        <w:t xml:space="preserve">تا </w:t>
      </w:r>
      <w:r w:rsidR="00E12CF3">
        <w:rPr>
          <w:rFonts w:hint="cs"/>
          <w:rtl/>
        </w:rPr>
        <w:t xml:space="preserve">بطور کلی </w:t>
      </w:r>
      <w:r>
        <w:rPr>
          <w:rFonts w:hint="cs"/>
          <w:rtl/>
        </w:rPr>
        <w:t>محدودیت</w:t>
      </w:r>
      <w:r w:rsidR="00E12CF3">
        <w:rPr>
          <w:rFonts w:hint="cs"/>
          <w:rtl/>
        </w:rPr>
        <w:t xml:space="preserve"> یا حتی ممنوعیت در دریافت هدایا.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0BEB"/>
    <w:multiLevelType w:val="multilevel"/>
    <w:tmpl w:val="BFFCB1FE"/>
    <w:styleLink w:val="Style1"/>
    <w:lvl w:ilvl="0">
      <w:start w:val="1"/>
      <w:numFmt w:val="decimal"/>
      <w:pStyle w:val="Heading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-%1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3-%2-%1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4-%3-%2-%1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">
    <w:nsid w:val="2076000D"/>
    <w:multiLevelType w:val="hybridMultilevel"/>
    <w:tmpl w:val="26560C30"/>
    <w:lvl w:ilvl="0" w:tplc="EF10B8EC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13EED"/>
    <w:multiLevelType w:val="hybridMultilevel"/>
    <w:tmpl w:val="A3E285C2"/>
    <w:lvl w:ilvl="0" w:tplc="FCC8284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23"/>
    <w:rsid w:val="00032684"/>
    <w:rsid w:val="00082529"/>
    <w:rsid w:val="000A6FE2"/>
    <w:rsid w:val="000D5881"/>
    <w:rsid w:val="000E73BB"/>
    <w:rsid w:val="0010209C"/>
    <w:rsid w:val="00142D90"/>
    <w:rsid w:val="00305059"/>
    <w:rsid w:val="0033409B"/>
    <w:rsid w:val="003626AD"/>
    <w:rsid w:val="003B701A"/>
    <w:rsid w:val="00441189"/>
    <w:rsid w:val="004A595E"/>
    <w:rsid w:val="004C59C8"/>
    <w:rsid w:val="00515FBE"/>
    <w:rsid w:val="006B2A5B"/>
    <w:rsid w:val="006D344C"/>
    <w:rsid w:val="006E08BC"/>
    <w:rsid w:val="00716815"/>
    <w:rsid w:val="00753855"/>
    <w:rsid w:val="007620A9"/>
    <w:rsid w:val="00782999"/>
    <w:rsid w:val="00794ED4"/>
    <w:rsid w:val="00804367"/>
    <w:rsid w:val="00837C69"/>
    <w:rsid w:val="00844802"/>
    <w:rsid w:val="00881B80"/>
    <w:rsid w:val="008A27EC"/>
    <w:rsid w:val="008F07C8"/>
    <w:rsid w:val="0095094C"/>
    <w:rsid w:val="009642B6"/>
    <w:rsid w:val="00985040"/>
    <w:rsid w:val="009A5FD6"/>
    <w:rsid w:val="009C522C"/>
    <w:rsid w:val="00A331CE"/>
    <w:rsid w:val="00A94ACE"/>
    <w:rsid w:val="00AA7555"/>
    <w:rsid w:val="00B36CC7"/>
    <w:rsid w:val="00B54B24"/>
    <w:rsid w:val="00B629DC"/>
    <w:rsid w:val="00BE371E"/>
    <w:rsid w:val="00BE6025"/>
    <w:rsid w:val="00C800CB"/>
    <w:rsid w:val="00CF63D3"/>
    <w:rsid w:val="00D0339C"/>
    <w:rsid w:val="00D72306"/>
    <w:rsid w:val="00DA329E"/>
    <w:rsid w:val="00E12CF3"/>
    <w:rsid w:val="00E66592"/>
    <w:rsid w:val="00E71023"/>
    <w:rsid w:val="00EB4BCA"/>
    <w:rsid w:val="00F73A5A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FDA8B-A3A4-4763-96F4-76F3C82B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9C"/>
    <w:pPr>
      <w:bidi/>
      <w:jc w:val="both"/>
    </w:pPr>
    <w:rPr>
      <w:sz w:val="26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09B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20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0209C"/>
    <w:pPr>
      <w:ind w:left="720"/>
      <w:contextualSpacing/>
    </w:pPr>
  </w:style>
  <w:style w:type="numbering" w:customStyle="1" w:styleId="Style1">
    <w:name w:val="Style1"/>
    <w:uiPriority w:val="99"/>
    <w:rsid w:val="0033409B"/>
    <w:pPr>
      <w:numPr>
        <w:numId w:val="1"/>
      </w:numPr>
    </w:pPr>
  </w:style>
  <w:style w:type="table" w:styleId="TableGrid">
    <w:name w:val="Table Grid"/>
    <w:basedOn w:val="TableNormal"/>
    <w:uiPriority w:val="39"/>
    <w:rsid w:val="00E7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55"/>
    <w:pPr>
      <w:spacing w:after="0" w:line="240" w:lineRule="auto"/>
    </w:pPr>
    <w:rPr>
      <w:rFonts w:eastAsiaTheme="minorHAnsi"/>
      <w:sz w:val="20"/>
      <w:szCs w:val="20"/>
      <w:lang w:eastAsia="en-US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55"/>
    <w:rPr>
      <w:rFonts w:eastAsiaTheme="minorHAnsi"/>
      <w:sz w:val="20"/>
      <w:szCs w:val="20"/>
      <w:lang w:eastAsia="en-US"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A7555"/>
    <w:rPr>
      <w:vertAlign w:val="superscript"/>
    </w:rPr>
  </w:style>
  <w:style w:type="table" w:styleId="PlainTable1">
    <w:name w:val="Plain Table 1"/>
    <w:basedOn w:val="TableNormal"/>
    <w:uiPriority w:val="41"/>
    <w:rsid w:val="00AA7555"/>
    <w:pPr>
      <w:spacing w:before="200"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800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00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ook Antiqua"/>
        <a:ea typeface=""/>
        <a:cs typeface="B Titr"/>
      </a:majorFont>
      <a:minorFont>
        <a:latin typeface="Calibri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شفافیت چیست؟</vt:lpstr>
      <vt:lpstr>شفافیت چه اهمیتی دارد؟</vt:lpstr>
      <vt:lpstr>نمونه محورهای شفاف شده در کشورهای دنیا</vt:lpstr>
      <vt:lpstr>    شفافیت دارایی‌ها</vt:lpstr>
      <vt:lpstr>    شفافیت یا محدودیت در درآمدها</vt:lpstr>
      <vt:lpstr>    شفافیت یا محدودیت فعالیت‌ها و شغل‌ها</vt:lpstr>
      <vt:lpstr>    منافع اقتصادی یا تعارض منافع</vt:lpstr>
      <vt:lpstr>    ضرورت شفافیت یا ممنوعیت دریافت هدایا</vt:lpstr>
      <vt:lpstr>    جدول کامل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Sanaei</dc:creator>
  <cp:keywords/>
  <dc:description/>
  <cp:lastModifiedBy>Mahdi Sanaei</cp:lastModifiedBy>
  <cp:revision>2</cp:revision>
  <dcterms:created xsi:type="dcterms:W3CDTF">2015-01-03T05:12:00Z</dcterms:created>
  <dcterms:modified xsi:type="dcterms:W3CDTF">2015-01-03T05:12:00Z</dcterms:modified>
</cp:coreProperties>
</file>