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7B3" w:rsidRDefault="004565C0" w:rsidP="004565C0">
      <w:pPr>
        <w:pStyle w:val="NormalWeb"/>
        <w:shd w:val="clear" w:color="auto" w:fill="FFFFFF"/>
        <w:spacing w:before="120" w:beforeAutospacing="0" w:after="120" w:afterAutospacing="0"/>
        <w:rPr>
          <w:rFonts w:ascii="Arial" w:hAnsi="Arial" w:cs="Arial"/>
          <w:color w:val="222222"/>
          <w:sz w:val="21"/>
          <w:szCs w:val="21"/>
        </w:rPr>
      </w:pPr>
      <w:r w:rsidRPr="004565C0">
        <w:rPr>
          <w:rFonts w:asciiTheme="majorBidi" w:hAnsiTheme="majorBidi" w:cstheme="majorBidi"/>
          <w:b/>
          <w:bCs/>
          <w:color w:val="222222"/>
          <w:sz w:val="32"/>
          <w:szCs w:val="32"/>
          <w:u w:val="single"/>
        </w:rPr>
        <w:t>The viscosity index </w:t>
      </w:r>
      <w:r>
        <w:rPr>
          <w:rFonts w:ascii="Arial" w:hAnsi="Arial" w:cs="Arial"/>
          <w:color w:val="222222"/>
          <w:sz w:val="21"/>
          <w:szCs w:val="21"/>
        </w:rPr>
        <w:t>(</w:t>
      </w:r>
      <w:r>
        <w:rPr>
          <w:rFonts w:ascii="Arial" w:hAnsi="Arial" w:cs="Arial"/>
          <w:b/>
          <w:bCs/>
          <w:color w:val="222222"/>
          <w:sz w:val="21"/>
          <w:szCs w:val="21"/>
        </w:rPr>
        <w:t>VI</w:t>
      </w:r>
      <w:r>
        <w:rPr>
          <w:rFonts w:ascii="Arial" w:hAnsi="Arial" w:cs="Arial"/>
          <w:color w:val="222222"/>
          <w:sz w:val="21"/>
          <w:szCs w:val="21"/>
        </w:rPr>
        <w:t xml:space="preserve">) </w:t>
      </w:r>
    </w:p>
    <w:p w:rsidR="001127B3" w:rsidRDefault="001127B3" w:rsidP="001127B3">
      <w:pPr>
        <w:pStyle w:val="NormalWeb"/>
        <w:shd w:val="clear" w:color="auto" w:fill="96B5DF"/>
        <w:bidi/>
        <w:spacing w:before="0" w:beforeAutospacing="0" w:after="0" w:afterAutospacing="0" w:line="270" w:lineRule="atLeast"/>
        <w:jc w:val="both"/>
        <w:rPr>
          <w:rFonts w:ascii="Tahoma" w:hAnsi="Tahoma" w:cs="Tahoma"/>
          <w:color w:val="333333"/>
          <w:sz w:val="18"/>
          <w:szCs w:val="18"/>
        </w:rPr>
      </w:pPr>
      <w:r>
        <w:rPr>
          <w:rFonts w:ascii="Tahoma" w:hAnsi="Tahoma" w:cs="Tahoma" w:hint="cs"/>
          <w:color w:val="333333"/>
          <w:rtl/>
        </w:rPr>
        <w:t>بنابراین، هر چه شاخص ویسکوزیته یا </w:t>
      </w:r>
      <w:r>
        <w:rPr>
          <w:rFonts w:ascii="Tahoma" w:hAnsi="Tahoma" w:cs="Tahoma"/>
          <w:color w:val="333333"/>
        </w:rPr>
        <w:t>VI</w:t>
      </w:r>
      <w:r>
        <w:rPr>
          <w:rFonts w:ascii="Tahoma" w:hAnsi="Tahoma" w:cs="Tahoma" w:hint="cs"/>
          <w:color w:val="333333"/>
          <w:rtl/>
        </w:rPr>
        <w:t> یک روغن بالاتر باشد، تمایل به حفظ ویسکوزیته آن در بازه های دمایی مختلف و در اثر شوک های حرارتی بیشتر بوده و رفتار حرارتی روغن قابل پیش بینی تر است. پس می توان نتیجه گرفت که شاخص ویسکوزیته بالاتر به معنای کیفیت بهتر آن روغن است.</w:t>
      </w:r>
    </w:p>
    <w:p w:rsidR="001127B3" w:rsidRDefault="001127B3" w:rsidP="001127B3">
      <w:pPr>
        <w:pStyle w:val="NormalWeb"/>
        <w:shd w:val="clear" w:color="auto" w:fill="96B5DF"/>
        <w:bidi/>
        <w:spacing w:before="0" w:beforeAutospacing="0" w:after="0" w:afterAutospacing="0" w:line="270" w:lineRule="atLeast"/>
        <w:jc w:val="both"/>
        <w:rPr>
          <w:rFonts w:ascii="Tahoma" w:hAnsi="Tahoma" w:cs="Tahoma" w:hint="cs"/>
          <w:color w:val="333333"/>
          <w:sz w:val="18"/>
          <w:szCs w:val="18"/>
          <w:rtl/>
        </w:rPr>
      </w:pPr>
      <w:r>
        <w:rPr>
          <w:rFonts w:ascii="Tahoma" w:hAnsi="Tahoma" w:cs="Tahoma" w:hint="cs"/>
          <w:color w:val="333333"/>
          <w:rtl/>
        </w:rPr>
        <w:t>اما، این روش استاندارد برای اندازه گیری (یا به بیان بهتر: پیش بینی) شاخص ویسکوزیته یک روغن است. این بدان معنی است که با همین روش، می توان با دانستن ویسکوزیته دینامیک یا سینماتیک یک روغن در دو نقطه دمایی (مثلا 20 و 80 درجه سلسیوس) شاخص ویسکوزیته یک روغن را پیش بینی کرد. اما، اعداد 40 و 100 درجه سلسیوس، ایستگاه های استاندارد برای اندازه گیری شاخص ویسکوزیته هستند. روش شخصی نویسنده این پست بدین صورت است که ویسکوزیته دینامیک یک روغن در دو دمای 40 و 100 را وارد نرم افزار های محاسباتی مانند </w:t>
      </w:r>
      <w:r>
        <w:rPr>
          <w:rFonts w:ascii="Tahoma" w:hAnsi="Tahoma" w:cs="Tahoma"/>
          <w:color w:val="333333"/>
        </w:rPr>
        <w:t>Excel</w:t>
      </w:r>
      <w:r>
        <w:rPr>
          <w:rFonts w:ascii="Tahoma" w:hAnsi="Tahoma" w:cs="Tahoma" w:hint="cs"/>
          <w:color w:val="333333"/>
          <w:rtl/>
        </w:rPr>
        <w:t> یا </w:t>
      </w:r>
      <w:r>
        <w:rPr>
          <w:rFonts w:ascii="Tahoma" w:hAnsi="Tahoma" w:cs="Tahoma"/>
          <w:color w:val="333333"/>
        </w:rPr>
        <w:t>MATLAB</w:t>
      </w:r>
      <w:r>
        <w:rPr>
          <w:rFonts w:ascii="Tahoma" w:hAnsi="Tahoma" w:cs="Tahoma" w:hint="cs"/>
          <w:color w:val="333333"/>
          <w:rtl/>
        </w:rPr>
        <w:t> کرده و با اتصال این دو نقطه به یکدیگر، معادله خط را بدست می آورد. بدین ترتیب، عرض از مبدا و ضریب زاویه نمودار خطی بدست آمده نشاندهنده کیفیت رفتار حرارتی یک روغن است. هرچه عرض از مبدا این خط بیشتر و بالاتر باشد، بدان معنی است که ویسکوزیته دینامیک روغن با شتاب و شیب بیشتری در اثر شوک حرارتی کاهش می یابد. به نمودار شکل 1 نگاه کنید.</w:t>
      </w:r>
    </w:p>
    <w:p w:rsidR="001127B3" w:rsidRDefault="001127B3" w:rsidP="001127B3">
      <w:pPr>
        <w:pStyle w:val="NormalWeb"/>
        <w:shd w:val="clear" w:color="auto" w:fill="96B5DF"/>
        <w:bidi/>
        <w:spacing w:before="0" w:beforeAutospacing="0" w:after="0" w:afterAutospacing="0" w:line="270" w:lineRule="atLeast"/>
        <w:jc w:val="both"/>
        <w:rPr>
          <w:rFonts w:ascii="Tahoma" w:hAnsi="Tahoma" w:cs="Tahoma" w:hint="cs"/>
          <w:color w:val="333333"/>
          <w:sz w:val="18"/>
          <w:szCs w:val="18"/>
          <w:rtl/>
        </w:rPr>
      </w:pPr>
      <w:r>
        <w:rPr>
          <w:noProof/>
        </w:rPr>
        <w:drawing>
          <wp:inline distT="0" distB="0" distL="0" distR="0" wp14:anchorId="16195E7D" wp14:editId="664A970F">
            <wp:extent cx="4972050" cy="3467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972050" cy="3467100"/>
                    </a:xfrm>
                    <a:prstGeom prst="rect">
                      <a:avLst/>
                    </a:prstGeom>
                  </pic:spPr>
                </pic:pic>
              </a:graphicData>
            </a:graphic>
          </wp:inline>
        </w:drawing>
      </w:r>
      <w:bookmarkStart w:id="0" w:name="_GoBack"/>
      <w:bookmarkEnd w:id="0"/>
    </w:p>
    <w:p w:rsidR="004565C0" w:rsidRDefault="004565C0" w:rsidP="001127B3">
      <w:pPr>
        <w:pStyle w:val="NormalWeb"/>
        <w:shd w:val="clear" w:color="auto" w:fill="FFFFFF"/>
        <w:spacing w:before="120" w:beforeAutospacing="0" w:after="120" w:afterAutospacing="0"/>
        <w:rPr>
          <w:rFonts w:ascii="Arial" w:hAnsi="Arial" w:cs="Arial"/>
          <w:color w:val="222222"/>
          <w:sz w:val="21"/>
          <w:szCs w:val="21"/>
        </w:rPr>
      </w:pPr>
      <w:proofErr w:type="gramStart"/>
      <w:r>
        <w:rPr>
          <w:rFonts w:ascii="Arial" w:hAnsi="Arial" w:cs="Arial"/>
          <w:color w:val="222222"/>
          <w:sz w:val="21"/>
          <w:szCs w:val="21"/>
        </w:rPr>
        <w:t>is</w:t>
      </w:r>
      <w:proofErr w:type="gramEnd"/>
      <w:r>
        <w:rPr>
          <w:rFonts w:ascii="Arial" w:hAnsi="Arial" w:cs="Arial"/>
          <w:color w:val="222222"/>
          <w:sz w:val="21"/>
          <w:szCs w:val="21"/>
        </w:rPr>
        <w:t xml:space="preserve"> an arbitrary, unitless measure of the change of </w:t>
      </w:r>
      <w:hyperlink r:id="rId6" w:tooltip="Viscosity" w:history="1">
        <w:r>
          <w:rPr>
            <w:rStyle w:val="Hyperlink"/>
            <w:rFonts w:ascii="Arial" w:hAnsi="Arial" w:cs="Arial"/>
            <w:color w:val="0B0080"/>
            <w:sz w:val="21"/>
            <w:szCs w:val="21"/>
          </w:rPr>
          <w:t>viscosity</w:t>
        </w:r>
      </w:hyperlink>
      <w:r>
        <w:rPr>
          <w:rFonts w:ascii="Arial" w:hAnsi="Arial" w:cs="Arial"/>
          <w:color w:val="222222"/>
          <w:sz w:val="21"/>
          <w:szCs w:val="21"/>
        </w:rPr>
        <w:t> with temperature, mostly used to characterize the viscosity-temperature behavior of </w:t>
      </w:r>
      <w:hyperlink r:id="rId7" w:tooltip="Lubricant" w:history="1">
        <w:r>
          <w:rPr>
            <w:rStyle w:val="Hyperlink"/>
            <w:rFonts w:ascii="Arial" w:hAnsi="Arial" w:cs="Arial"/>
            <w:color w:val="0B0080"/>
            <w:sz w:val="21"/>
            <w:szCs w:val="21"/>
          </w:rPr>
          <w:t>lubricating oils</w:t>
        </w:r>
      </w:hyperlink>
      <w:r>
        <w:rPr>
          <w:rFonts w:ascii="Arial" w:hAnsi="Arial" w:cs="Arial"/>
          <w:color w:val="222222"/>
          <w:sz w:val="21"/>
          <w:szCs w:val="21"/>
        </w:rPr>
        <w:t>. The lower the VI, the more the viscosity is affected by changes in temperature. The VI was originally measured on a scale from 0 to 100; however, advancements in lubrication science have led to the development of oils with much higher VIs.</w:t>
      </w:r>
    </w:p>
    <w:p w:rsidR="004565C0" w:rsidRDefault="004565C0" w:rsidP="004565C0">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The viscosity of a </w:t>
      </w:r>
      <w:hyperlink r:id="rId8" w:tooltip="Lubricant" w:history="1">
        <w:r>
          <w:rPr>
            <w:rStyle w:val="Hyperlink"/>
            <w:rFonts w:ascii="Arial" w:hAnsi="Arial" w:cs="Arial"/>
            <w:color w:val="0B0080"/>
            <w:sz w:val="21"/>
            <w:szCs w:val="21"/>
          </w:rPr>
          <w:t>lubricant</w:t>
        </w:r>
      </w:hyperlink>
      <w:r>
        <w:rPr>
          <w:rFonts w:ascii="Arial" w:hAnsi="Arial" w:cs="Arial"/>
          <w:color w:val="222222"/>
          <w:sz w:val="21"/>
          <w:szCs w:val="21"/>
        </w:rPr>
        <w:t> is closely related to its ability to reduce </w:t>
      </w:r>
      <w:hyperlink r:id="rId9" w:tooltip="Friction" w:history="1">
        <w:r>
          <w:rPr>
            <w:rStyle w:val="Hyperlink"/>
            <w:rFonts w:ascii="Arial" w:hAnsi="Arial" w:cs="Arial"/>
            <w:color w:val="0B0080"/>
            <w:sz w:val="21"/>
            <w:szCs w:val="21"/>
          </w:rPr>
          <w:t>friction</w:t>
        </w:r>
      </w:hyperlink>
      <w:r>
        <w:rPr>
          <w:rFonts w:ascii="Arial" w:hAnsi="Arial" w:cs="Arial"/>
          <w:color w:val="222222"/>
          <w:sz w:val="21"/>
          <w:szCs w:val="21"/>
        </w:rPr>
        <w:t> in solid body contacts. Generally, the least viscous lubricant which still forces the two moving surfaces apart to achieve "</w:t>
      </w:r>
      <w:hyperlink r:id="rId10" w:tooltip="Fluid bearing" w:history="1">
        <w:r>
          <w:rPr>
            <w:rStyle w:val="Hyperlink"/>
            <w:rFonts w:ascii="Arial" w:hAnsi="Arial" w:cs="Arial"/>
            <w:color w:val="0B0080"/>
            <w:sz w:val="21"/>
            <w:szCs w:val="21"/>
          </w:rPr>
          <w:t>fluid bearing</w:t>
        </w:r>
      </w:hyperlink>
      <w:r>
        <w:rPr>
          <w:rFonts w:ascii="Arial" w:hAnsi="Arial" w:cs="Arial"/>
          <w:color w:val="222222"/>
          <w:sz w:val="21"/>
          <w:szCs w:val="21"/>
        </w:rPr>
        <w:t>" conditions is desired. If the </w:t>
      </w:r>
      <w:hyperlink r:id="rId11" w:tooltip="Lubricant" w:history="1">
        <w:r>
          <w:rPr>
            <w:rStyle w:val="Hyperlink"/>
            <w:rFonts w:ascii="Arial" w:hAnsi="Arial" w:cs="Arial"/>
            <w:color w:val="0B0080"/>
            <w:sz w:val="21"/>
            <w:szCs w:val="21"/>
          </w:rPr>
          <w:t>lubricant</w:t>
        </w:r>
      </w:hyperlink>
      <w:r>
        <w:rPr>
          <w:rFonts w:ascii="Arial" w:hAnsi="Arial" w:cs="Arial"/>
          <w:color w:val="222222"/>
          <w:sz w:val="21"/>
          <w:szCs w:val="21"/>
        </w:rPr>
        <w:t> is too viscous, it will require a large amount of energy to move (as in </w:t>
      </w:r>
      <w:hyperlink r:id="rId12" w:tooltip="Honey" w:history="1">
        <w:r>
          <w:rPr>
            <w:rStyle w:val="Hyperlink"/>
            <w:rFonts w:ascii="Arial" w:hAnsi="Arial" w:cs="Arial"/>
            <w:color w:val="0B0080"/>
            <w:sz w:val="21"/>
            <w:szCs w:val="21"/>
          </w:rPr>
          <w:t>honey</w:t>
        </w:r>
      </w:hyperlink>
      <w:r>
        <w:rPr>
          <w:rFonts w:ascii="Arial" w:hAnsi="Arial" w:cs="Arial"/>
          <w:color w:val="222222"/>
          <w:sz w:val="21"/>
          <w:szCs w:val="21"/>
        </w:rPr>
        <w:t>); if it is too thin, the surfaces will come in contact and friction will increase.</w:t>
      </w:r>
    </w:p>
    <w:p w:rsidR="004565C0" w:rsidRDefault="004565C0" w:rsidP="00C9729A">
      <w:pPr>
        <w:pStyle w:val="NormalWeb"/>
        <w:shd w:val="clear" w:color="auto" w:fill="FFFFFF"/>
        <w:spacing w:before="120" w:beforeAutospacing="0" w:after="120" w:afterAutospacing="0"/>
        <w:rPr>
          <w:rFonts w:asciiTheme="majorBidi" w:hAnsiTheme="majorBidi" w:cstheme="majorBidi"/>
          <w:b/>
          <w:bCs/>
          <w:color w:val="222222"/>
          <w:sz w:val="36"/>
          <w:szCs w:val="36"/>
          <w:u w:val="single"/>
        </w:rPr>
      </w:pPr>
    </w:p>
    <w:p w:rsidR="00ED0A23" w:rsidRDefault="00C9729A" w:rsidP="00ED0A23">
      <w:pPr>
        <w:pStyle w:val="NormalWeb"/>
        <w:shd w:val="clear" w:color="auto" w:fill="FFFFFF"/>
        <w:spacing w:before="120" w:beforeAutospacing="0" w:after="120" w:afterAutospacing="0"/>
        <w:rPr>
          <w:rFonts w:ascii="Arial" w:hAnsi="Arial" w:cs="Arial"/>
          <w:color w:val="222222"/>
          <w:sz w:val="21"/>
          <w:szCs w:val="21"/>
        </w:rPr>
      </w:pPr>
      <w:r w:rsidRPr="00C9729A">
        <w:rPr>
          <w:rFonts w:asciiTheme="majorBidi" w:hAnsiTheme="majorBidi" w:cstheme="majorBidi"/>
          <w:b/>
          <w:bCs/>
          <w:color w:val="222222"/>
          <w:sz w:val="36"/>
          <w:szCs w:val="36"/>
          <w:u w:val="single"/>
        </w:rPr>
        <w:lastRenderedPageBreak/>
        <w:t>The flash point</w:t>
      </w:r>
      <w:r w:rsidRPr="00C9729A">
        <w:rPr>
          <w:rFonts w:ascii="Arial" w:hAnsi="Arial" w:cs="Arial"/>
          <w:color w:val="222222"/>
          <w:sz w:val="36"/>
          <w:szCs w:val="36"/>
        </w:rPr>
        <w:t> </w:t>
      </w:r>
    </w:p>
    <w:p w:rsidR="00ED0A23" w:rsidRDefault="00ED0A23" w:rsidP="00ED0A23">
      <w:pPr>
        <w:pStyle w:val="NormalWeb"/>
        <w:shd w:val="clear" w:color="auto" w:fill="FFFFFF"/>
        <w:bidi/>
        <w:spacing w:before="120" w:beforeAutospacing="0" w:after="120" w:afterAutospacing="0"/>
        <w:rPr>
          <w:rFonts w:ascii="Tahoma" w:hAnsi="Tahoma" w:cs="Tahoma"/>
          <w:color w:val="222222"/>
          <w:sz w:val="21"/>
          <w:szCs w:val="21"/>
        </w:rPr>
      </w:pPr>
      <w:r>
        <w:rPr>
          <w:rFonts w:ascii="Tahoma" w:hAnsi="Tahoma" w:cs="Tahoma"/>
          <w:b/>
          <w:bCs/>
          <w:color w:val="222222"/>
          <w:sz w:val="21"/>
          <w:szCs w:val="21"/>
          <w:rtl/>
        </w:rPr>
        <w:t>نقطهٔ اشتعال</w:t>
      </w:r>
      <w:r>
        <w:rPr>
          <w:rFonts w:ascii="Tahoma" w:hAnsi="Tahoma" w:cs="Tahoma"/>
          <w:color w:val="222222"/>
          <w:sz w:val="21"/>
          <w:szCs w:val="21"/>
        </w:rPr>
        <w:t> (</w:t>
      </w:r>
      <w:r>
        <w:rPr>
          <w:rFonts w:ascii="Tahoma" w:hAnsi="Tahoma" w:cs="Tahoma"/>
          <w:color w:val="222222"/>
          <w:sz w:val="21"/>
          <w:szCs w:val="21"/>
          <w:rtl/>
        </w:rPr>
        <w:t>به</w:t>
      </w:r>
      <w:r>
        <w:rPr>
          <w:rFonts w:ascii="Tahoma" w:hAnsi="Tahoma" w:cs="Tahoma"/>
          <w:color w:val="222222"/>
          <w:sz w:val="21"/>
          <w:szCs w:val="21"/>
        </w:rPr>
        <w:t> </w:t>
      </w:r>
      <w:hyperlink r:id="rId13" w:tooltip="زبان انگلیسی" w:history="1">
        <w:r>
          <w:rPr>
            <w:rStyle w:val="Hyperlink"/>
            <w:color w:val="0B0080"/>
            <w:sz w:val="21"/>
            <w:szCs w:val="21"/>
            <w:rtl/>
          </w:rPr>
          <w:t>انگلیسی</w:t>
        </w:r>
      </w:hyperlink>
      <w:r>
        <w:rPr>
          <w:rFonts w:ascii="Tahoma" w:hAnsi="Tahoma" w:cs="Tahoma"/>
          <w:color w:val="222222"/>
          <w:sz w:val="21"/>
          <w:szCs w:val="21"/>
        </w:rPr>
        <w:t>: </w:t>
      </w:r>
      <w:r>
        <w:rPr>
          <w:rFonts w:ascii="Tahoma" w:hAnsi="Tahoma" w:cs="Tahoma"/>
          <w:color w:val="222222"/>
          <w:sz w:val="21"/>
          <w:szCs w:val="21"/>
          <w:lang w:val="en"/>
        </w:rPr>
        <w:t>Flash point</w:t>
      </w:r>
      <w:r>
        <w:rPr>
          <w:rFonts w:ascii="Tahoma" w:hAnsi="Tahoma" w:cs="Tahoma"/>
          <w:color w:val="222222"/>
          <w:sz w:val="21"/>
          <w:szCs w:val="21"/>
        </w:rPr>
        <w:t xml:space="preserve">) </w:t>
      </w:r>
      <w:r>
        <w:rPr>
          <w:rFonts w:ascii="Tahoma" w:hAnsi="Tahoma" w:cs="Tahoma"/>
          <w:color w:val="222222"/>
          <w:sz w:val="21"/>
          <w:szCs w:val="21"/>
          <w:rtl/>
        </w:rPr>
        <w:t>پایین‌ترین درجهٔ دمایی است که در آن از ماده، بخاری قابل احتراق ساطع می‌شود. اندازه‌گیری نقطهٔ اشتعال نیازمند یک منبع احتراق می‌باشد. با خارج کردن منبع احتراق از محل، بخار یادشده آتش نخواهد گرفت.نقطه ی احتراق نیز پایین‌ترین دمایی است که در ان از ماده بخاری قابل احتراق ساطع می‌شود و حداقل برای پنج ثانیه میسوزد</w:t>
      </w:r>
      <w:r>
        <w:rPr>
          <w:rFonts w:ascii="Tahoma" w:hAnsi="Tahoma" w:cs="Tahoma"/>
          <w:color w:val="222222"/>
          <w:sz w:val="21"/>
          <w:szCs w:val="21"/>
        </w:rPr>
        <w:t>.</w:t>
      </w:r>
    </w:p>
    <w:p w:rsidR="00ED0A23" w:rsidRDefault="00ED0A23" w:rsidP="00ED0A23">
      <w:pPr>
        <w:pStyle w:val="NormalWeb"/>
        <w:shd w:val="clear" w:color="auto" w:fill="FFFFFF"/>
        <w:bidi/>
        <w:spacing w:before="120" w:beforeAutospacing="0" w:after="120" w:afterAutospacing="0"/>
        <w:rPr>
          <w:rFonts w:ascii="Tahoma" w:hAnsi="Tahoma" w:cs="Tahoma"/>
          <w:color w:val="222222"/>
          <w:sz w:val="21"/>
          <w:szCs w:val="21"/>
        </w:rPr>
      </w:pPr>
      <w:r>
        <w:rPr>
          <w:rFonts w:ascii="Tahoma" w:hAnsi="Tahoma" w:cs="Tahoma"/>
          <w:color w:val="222222"/>
          <w:sz w:val="21"/>
          <w:szCs w:val="21"/>
          <w:rtl/>
        </w:rPr>
        <w:t>نبایستی نقطهٔ اشتعال را با دمای خود احتراقی اشتباه گرفت. در دمای خود احتراقی نیازی به منبع احتراق وجود ندارد. نقطه اشتعال، دمای بالاتری است که در آن بخار پس از احتراق به سوختن ادامه می‌دهد. نه نقطهٔ اشتعال و نه نقطه احتراق، به دمای منبع احتراق که بسیار بالاتر است وابسته نمی‌باشند</w:t>
      </w:r>
      <w:r>
        <w:rPr>
          <w:rFonts w:ascii="Tahoma" w:hAnsi="Tahoma" w:cs="Tahoma"/>
          <w:color w:val="222222"/>
          <w:sz w:val="21"/>
          <w:szCs w:val="21"/>
        </w:rPr>
        <w:t>.</w:t>
      </w:r>
    </w:p>
    <w:p w:rsidR="00ED0A23" w:rsidRDefault="00ED0A23" w:rsidP="00ED0A23">
      <w:pPr>
        <w:pStyle w:val="NormalWeb"/>
        <w:shd w:val="clear" w:color="auto" w:fill="FFFFFF"/>
        <w:bidi/>
        <w:spacing w:before="120" w:beforeAutospacing="0" w:after="120" w:afterAutospacing="0"/>
        <w:rPr>
          <w:rFonts w:ascii="Tahoma" w:hAnsi="Tahoma" w:cs="Tahoma"/>
          <w:color w:val="222222"/>
          <w:sz w:val="21"/>
          <w:szCs w:val="21"/>
        </w:rPr>
      </w:pPr>
      <w:r>
        <w:rPr>
          <w:rFonts w:ascii="Tahoma" w:hAnsi="Tahoma" w:cs="Tahoma"/>
          <w:color w:val="222222"/>
          <w:sz w:val="21"/>
          <w:szCs w:val="21"/>
          <w:rtl/>
        </w:rPr>
        <w:t>از نقطهٔ اشتعال به عنوان ویژگی توصیفی مواد سوختنی مایع استفاده شده و از آن به جهت توصیف خطرات اشتعال‌پذیری مایعات استفاده می‌کنند. نقطهٔ اشتعال هم به مایعات قابل اشتعال و هم به مایعات قابل احتراق اشاره دارد؛ و برای هرکدام استانداردهای متفاوتی تعریف شده‌است. مایعاتی با نقطهٔ اشتعال کمتر از ۵/۶۰ درجه سانتی گراد، بسته به استانداردی که اعمال می‌گردد قابل اشتعال، و مایعاتی با نقطهٔ اشتعال بالای این دما قابل احتراق تلقی می‌گردند</w:t>
      </w:r>
      <w:r>
        <w:rPr>
          <w:rFonts w:ascii="Tahoma" w:hAnsi="Tahoma" w:cs="Tahoma"/>
          <w:color w:val="222222"/>
          <w:sz w:val="21"/>
          <w:szCs w:val="21"/>
        </w:rPr>
        <w:t>.</w:t>
      </w:r>
    </w:p>
    <w:p w:rsidR="00C9729A" w:rsidRDefault="00C9729A" w:rsidP="00ED0A23">
      <w:pPr>
        <w:pStyle w:val="NormalWeb"/>
        <w:shd w:val="clear" w:color="auto" w:fill="FFFFFF"/>
        <w:spacing w:before="120" w:beforeAutospacing="0" w:after="120" w:afterAutospacing="0"/>
        <w:rPr>
          <w:rFonts w:ascii="Arial" w:hAnsi="Arial" w:cs="Arial"/>
          <w:color w:val="222222"/>
          <w:sz w:val="21"/>
          <w:szCs w:val="21"/>
        </w:rPr>
      </w:pPr>
      <w:proofErr w:type="gramStart"/>
      <w:r>
        <w:rPr>
          <w:rFonts w:ascii="Arial" w:hAnsi="Arial" w:cs="Arial"/>
          <w:color w:val="222222"/>
          <w:sz w:val="21"/>
          <w:szCs w:val="21"/>
        </w:rPr>
        <w:t>of</w:t>
      </w:r>
      <w:proofErr w:type="gramEnd"/>
      <w:r>
        <w:rPr>
          <w:rFonts w:ascii="Arial" w:hAnsi="Arial" w:cs="Arial"/>
          <w:color w:val="222222"/>
          <w:sz w:val="21"/>
          <w:szCs w:val="21"/>
        </w:rPr>
        <w:t xml:space="preserve"> a </w:t>
      </w:r>
      <w:hyperlink r:id="rId14" w:tooltip="Volatility (chemistry)" w:history="1">
        <w:r>
          <w:rPr>
            <w:rStyle w:val="Hyperlink"/>
            <w:rFonts w:ascii="Arial" w:hAnsi="Arial" w:cs="Arial"/>
            <w:color w:val="0B0080"/>
            <w:sz w:val="21"/>
            <w:szCs w:val="21"/>
          </w:rPr>
          <w:t>volatile</w:t>
        </w:r>
      </w:hyperlink>
      <w:r>
        <w:rPr>
          <w:rFonts w:ascii="Arial" w:hAnsi="Arial" w:cs="Arial"/>
          <w:color w:val="222222"/>
          <w:sz w:val="21"/>
          <w:szCs w:val="21"/>
        </w:rPr>
        <w:t> material is the lowest </w:t>
      </w:r>
      <w:hyperlink r:id="rId15" w:tooltip="Temperature" w:history="1">
        <w:r>
          <w:rPr>
            <w:rStyle w:val="Hyperlink"/>
            <w:rFonts w:ascii="Arial" w:hAnsi="Arial" w:cs="Arial"/>
            <w:color w:val="0B0080"/>
            <w:sz w:val="21"/>
            <w:szCs w:val="21"/>
          </w:rPr>
          <w:t>temperature</w:t>
        </w:r>
      </w:hyperlink>
      <w:r>
        <w:rPr>
          <w:rFonts w:ascii="Arial" w:hAnsi="Arial" w:cs="Arial"/>
          <w:color w:val="222222"/>
          <w:sz w:val="21"/>
          <w:szCs w:val="21"/>
        </w:rPr>
        <w:t> at which vapours of the material will </w:t>
      </w:r>
      <w:hyperlink r:id="rId16" w:tooltip="Combustion" w:history="1">
        <w:r>
          <w:rPr>
            <w:rStyle w:val="Hyperlink"/>
            <w:rFonts w:ascii="Arial" w:hAnsi="Arial" w:cs="Arial"/>
            <w:color w:val="0B0080"/>
            <w:sz w:val="21"/>
            <w:szCs w:val="21"/>
          </w:rPr>
          <w:t>ignite</w:t>
        </w:r>
      </w:hyperlink>
      <w:r>
        <w:rPr>
          <w:rFonts w:ascii="Arial" w:hAnsi="Arial" w:cs="Arial"/>
          <w:color w:val="222222"/>
          <w:sz w:val="21"/>
          <w:szCs w:val="21"/>
        </w:rPr>
        <w:t>, when given an ignition source.</w:t>
      </w:r>
    </w:p>
    <w:p w:rsidR="00C9729A" w:rsidRDefault="00C9729A" w:rsidP="00C9729A">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The flash point may sometimes be confused with the </w:t>
      </w:r>
      <w:hyperlink r:id="rId17" w:tooltip="Autoignition temperature" w:history="1">
        <w:r>
          <w:rPr>
            <w:rStyle w:val="Hyperlink"/>
            <w:rFonts w:ascii="Arial" w:hAnsi="Arial" w:cs="Arial"/>
            <w:color w:val="0B0080"/>
            <w:sz w:val="21"/>
            <w:szCs w:val="21"/>
          </w:rPr>
          <w:t>autoignition temperature</w:t>
        </w:r>
      </w:hyperlink>
      <w:r>
        <w:rPr>
          <w:rFonts w:ascii="Arial" w:hAnsi="Arial" w:cs="Arial"/>
          <w:color w:val="222222"/>
          <w:sz w:val="21"/>
          <w:szCs w:val="21"/>
        </w:rPr>
        <w:t>, which is the temperature at which the vapor ignites spontaneously without an ignition source. The </w:t>
      </w:r>
      <w:hyperlink r:id="rId18" w:tooltip="Fire point" w:history="1">
        <w:r>
          <w:rPr>
            <w:rStyle w:val="Hyperlink"/>
            <w:rFonts w:ascii="Arial" w:hAnsi="Arial" w:cs="Arial"/>
            <w:color w:val="0B0080"/>
            <w:sz w:val="21"/>
            <w:szCs w:val="21"/>
          </w:rPr>
          <w:t>fire point</w:t>
        </w:r>
      </w:hyperlink>
      <w:r>
        <w:rPr>
          <w:rFonts w:ascii="Arial" w:hAnsi="Arial" w:cs="Arial"/>
          <w:color w:val="222222"/>
          <w:sz w:val="21"/>
          <w:szCs w:val="21"/>
        </w:rPr>
        <w:t> is the lowest temperature at which vapors of the material will keep burning after being ignited and the ignition source removed. The fire point is higher than the </w:t>
      </w:r>
      <w:r>
        <w:rPr>
          <w:rFonts w:ascii="Arial" w:hAnsi="Arial" w:cs="Arial"/>
          <w:b/>
          <w:bCs/>
          <w:color w:val="222222"/>
          <w:sz w:val="21"/>
          <w:szCs w:val="21"/>
        </w:rPr>
        <w:t>flash point</w:t>
      </w:r>
      <w:r>
        <w:rPr>
          <w:rFonts w:ascii="Arial" w:hAnsi="Arial" w:cs="Arial"/>
          <w:color w:val="222222"/>
          <w:sz w:val="21"/>
          <w:szCs w:val="21"/>
        </w:rPr>
        <w:t xml:space="preserve">, because at the flash point more </w:t>
      </w:r>
      <w:proofErr w:type="gramStart"/>
      <w:r>
        <w:rPr>
          <w:rFonts w:ascii="Arial" w:hAnsi="Arial" w:cs="Arial"/>
          <w:color w:val="222222"/>
          <w:sz w:val="21"/>
          <w:szCs w:val="21"/>
        </w:rPr>
        <w:t>vapor</w:t>
      </w:r>
      <w:proofErr w:type="gramEnd"/>
      <w:r>
        <w:rPr>
          <w:rFonts w:ascii="Arial" w:hAnsi="Arial" w:cs="Arial"/>
          <w:color w:val="222222"/>
          <w:sz w:val="21"/>
          <w:szCs w:val="21"/>
        </w:rPr>
        <w:t xml:space="preserve"> may not be produced rapidly enough to sustain combustion.</w:t>
      </w:r>
      <w:hyperlink r:id="rId19" w:anchor="cite_note-1" w:history="1">
        <w:r>
          <w:rPr>
            <w:rStyle w:val="Hyperlink"/>
            <w:rFonts w:ascii="Arial" w:hAnsi="Arial" w:cs="Arial"/>
            <w:color w:val="0B0080"/>
            <w:sz w:val="17"/>
            <w:szCs w:val="17"/>
            <w:vertAlign w:val="superscript"/>
          </w:rPr>
          <w:t>[1]</w:t>
        </w:r>
      </w:hyperlink>
      <w:r>
        <w:rPr>
          <w:rFonts w:ascii="Arial" w:hAnsi="Arial" w:cs="Arial"/>
          <w:color w:val="222222"/>
          <w:sz w:val="21"/>
          <w:szCs w:val="21"/>
        </w:rPr>
        <w:t> Neither flash point nor fire point depends directly on the ignition source temperature, but it may be understood that ignition source temperature will be considerably higher than either the flash or fire point.</w:t>
      </w:r>
    </w:p>
    <w:p w:rsidR="00C9729A" w:rsidRDefault="00C9729A" w:rsidP="000F1BDB">
      <w:pPr>
        <w:shd w:val="clear" w:color="auto" w:fill="FFFFFF"/>
        <w:bidi w:val="0"/>
        <w:spacing w:before="72" w:after="0" w:line="240" w:lineRule="auto"/>
        <w:outlineLvl w:val="2"/>
        <w:rPr>
          <w:rFonts w:ascii="Arial Rounded MT Bold" w:hAnsi="Arial Rounded MT Bold" w:cs="Arial"/>
          <w:b/>
          <w:bCs/>
          <w:color w:val="222222"/>
          <w:sz w:val="40"/>
          <w:szCs w:val="40"/>
          <w:u w:val="single"/>
          <w:shd w:val="clear" w:color="auto" w:fill="FFFFFF"/>
        </w:rPr>
      </w:pPr>
    </w:p>
    <w:p w:rsidR="00724B14" w:rsidRDefault="000F1BDB" w:rsidP="00C9729A">
      <w:pPr>
        <w:shd w:val="clear" w:color="auto" w:fill="FFFFFF"/>
        <w:bidi w:val="0"/>
        <w:spacing w:before="72" w:after="0" w:line="240" w:lineRule="auto"/>
        <w:outlineLvl w:val="2"/>
        <w:rPr>
          <w:rFonts w:ascii="Arial Rounded MT Bold" w:hAnsi="Arial Rounded MT Bold" w:cs="Arial"/>
          <w:b/>
          <w:bCs/>
          <w:color w:val="222222"/>
          <w:sz w:val="40"/>
          <w:szCs w:val="40"/>
          <w:u w:val="single"/>
          <w:shd w:val="clear" w:color="auto" w:fill="FFFFFF"/>
        </w:rPr>
      </w:pPr>
      <w:r w:rsidRPr="000F1BDB">
        <w:rPr>
          <w:rFonts w:ascii="Arial Rounded MT Bold" w:hAnsi="Arial Rounded MT Bold" w:cs="Arial"/>
          <w:b/>
          <w:bCs/>
          <w:color w:val="222222"/>
          <w:sz w:val="40"/>
          <w:szCs w:val="40"/>
          <w:u w:val="single"/>
          <w:shd w:val="clear" w:color="auto" w:fill="FFFFFF"/>
        </w:rPr>
        <w:t>The pour point</w:t>
      </w:r>
    </w:p>
    <w:p w:rsidR="00724B14" w:rsidRDefault="00724B14" w:rsidP="00724B14">
      <w:pPr>
        <w:pStyle w:val="NormalWeb"/>
        <w:shd w:val="clear" w:color="auto" w:fill="FFFFFF"/>
        <w:bidi/>
        <w:spacing w:before="120" w:beforeAutospacing="0" w:after="120" w:afterAutospacing="0"/>
        <w:rPr>
          <w:rFonts w:ascii="Tahoma" w:hAnsi="Tahoma" w:cs="Tahoma"/>
          <w:color w:val="222222"/>
          <w:sz w:val="21"/>
          <w:szCs w:val="21"/>
        </w:rPr>
      </w:pPr>
      <w:r>
        <w:rPr>
          <w:rFonts w:ascii="Tahoma" w:hAnsi="Tahoma" w:cs="Tahoma"/>
          <w:b/>
          <w:bCs/>
          <w:color w:val="222222"/>
          <w:sz w:val="21"/>
          <w:szCs w:val="21"/>
          <w:rtl/>
        </w:rPr>
        <w:t>نقطه ریزش</w:t>
      </w:r>
      <w:r>
        <w:rPr>
          <w:rFonts w:ascii="Tahoma" w:hAnsi="Tahoma" w:cs="Tahoma"/>
          <w:color w:val="222222"/>
          <w:sz w:val="21"/>
          <w:szCs w:val="21"/>
        </w:rPr>
        <w:t> </w:t>
      </w:r>
      <w:r>
        <w:rPr>
          <w:rFonts w:ascii="Tahoma" w:hAnsi="Tahoma" w:cs="Tahoma"/>
          <w:color w:val="222222"/>
          <w:sz w:val="21"/>
          <w:szCs w:val="21"/>
          <w:rtl/>
        </w:rPr>
        <w:t>یک</w:t>
      </w:r>
      <w:r>
        <w:rPr>
          <w:rFonts w:ascii="Tahoma" w:hAnsi="Tahoma" w:cs="Tahoma"/>
          <w:color w:val="222222"/>
          <w:sz w:val="21"/>
          <w:szCs w:val="21"/>
        </w:rPr>
        <w:t> </w:t>
      </w:r>
      <w:hyperlink r:id="rId20" w:tooltip="مایع" w:history="1">
        <w:r>
          <w:rPr>
            <w:rStyle w:val="Hyperlink"/>
            <w:color w:val="0B0080"/>
            <w:sz w:val="21"/>
            <w:szCs w:val="21"/>
            <w:rtl/>
          </w:rPr>
          <w:t>مایع</w:t>
        </w:r>
      </w:hyperlink>
      <w:r>
        <w:rPr>
          <w:rFonts w:ascii="Tahoma" w:hAnsi="Tahoma" w:cs="Tahoma"/>
          <w:color w:val="222222"/>
          <w:sz w:val="21"/>
          <w:szCs w:val="21"/>
        </w:rPr>
        <w:t> </w:t>
      </w:r>
      <w:r>
        <w:rPr>
          <w:rFonts w:ascii="Tahoma" w:hAnsi="Tahoma" w:cs="Tahoma"/>
          <w:color w:val="222222"/>
          <w:sz w:val="21"/>
          <w:szCs w:val="21"/>
          <w:rtl/>
        </w:rPr>
        <w:t>پایین‌ترین</w:t>
      </w:r>
      <w:r>
        <w:rPr>
          <w:rFonts w:ascii="Tahoma" w:hAnsi="Tahoma" w:cs="Tahoma"/>
          <w:color w:val="222222"/>
          <w:sz w:val="21"/>
          <w:szCs w:val="21"/>
        </w:rPr>
        <w:t> </w:t>
      </w:r>
      <w:hyperlink r:id="rId21" w:tooltip="دما" w:history="1">
        <w:r>
          <w:rPr>
            <w:rStyle w:val="Hyperlink"/>
            <w:color w:val="0B0080"/>
            <w:sz w:val="21"/>
            <w:szCs w:val="21"/>
            <w:rtl/>
          </w:rPr>
          <w:t>دمایی</w:t>
        </w:r>
      </w:hyperlink>
      <w:r>
        <w:rPr>
          <w:rFonts w:ascii="Tahoma" w:hAnsi="Tahoma" w:cs="Tahoma"/>
          <w:color w:val="222222"/>
          <w:sz w:val="21"/>
          <w:szCs w:val="21"/>
        </w:rPr>
        <w:t> </w:t>
      </w:r>
      <w:r>
        <w:rPr>
          <w:rFonts w:ascii="Tahoma" w:hAnsi="Tahoma" w:cs="Tahoma"/>
          <w:color w:val="222222"/>
          <w:sz w:val="21"/>
          <w:szCs w:val="21"/>
          <w:rtl/>
        </w:rPr>
        <w:t>است که در آن مایع تحت شرایط تعیین شده روان و جاری می گردد. نقطه ریزش نشانگر پایین‌ترین دمایی است که در آن</w:t>
      </w:r>
      <w:r>
        <w:rPr>
          <w:rFonts w:ascii="Tahoma" w:hAnsi="Tahoma" w:cs="Tahoma"/>
          <w:color w:val="222222"/>
          <w:sz w:val="21"/>
          <w:szCs w:val="21"/>
        </w:rPr>
        <w:t> </w:t>
      </w:r>
      <w:hyperlink r:id="rId22" w:tooltip="روغن" w:history="1">
        <w:r>
          <w:rPr>
            <w:rStyle w:val="Hyperlink"/>
            <w:color w:val="0B0080"/>
            <w:sz w:val="21"/>
            <w:szCs w:val="21"/>
            <w:rtl/>
          </w:rPr>
          <w:t>روغن</w:t>
        </w:r>
      </w:hyperlink>
      <w:r>
        <w:rPr>
          <w:rFonts w:ascii="Tahoma" w:hAnsi="Tahoma" w:cs="Tahoma"/>
          <w:color w:val="222222"/>
          <w:sz w:val="21"/>
          <w:szCs w:val="21"/>
        </w:rPr>
        <w:t> </w:t>
      </w:r>
      <w:r>
        <w:rPr>
          <w:rFonts w:ascii="Tahoma" w:hAnsi="Tahoma" w:cs="Tahoma"/>
          <w:color w:val="222222"/>
          <w:sz w:val="21"/>
          <w:szCs w:val="21"/>
          <w:rtl/>
        </w:rPr>
        <w:t>به سهولت قابل پمپ کردن باشد. به‌طور کلی نقطه ریزش بالا در نفت خام با میزان بالای</w:t>
      </w:r>
      <w:r>
        <w:rPr>
          <w:rFonts w:ascii="Tahoma" w:hAnsi="Tahoma" w:cs="Tahoma"/>
          <w:color w:val="222222"/>
          <w:sz w:val="21"/>
          <w:szCs w:val="21"/>
        </w:rPr>
        <w:t> </w:t>
      </w:r>
      <w:hyperlink r:id="rId23" w:tooltip="پارافین" w:history="1">
        <w:r>
          <w:rPr>
            <w:rStyle w:val="Hyperlink"/>
            <w:color w:val="0B0080"/>
            <w:sz w:val="21"/>
            <w:szCs w:val="21"/>
            <w:rtl/>
          </w:rPr>
          <w:t>پارافین</w:t>
        </w:r>
      </w:hyperlink>
      <w:r>
        <w:rPr>
          <w:rFonts w:ascii="Tahoma" w:hAnsi="Tahoma" w:cs="Tahoma"/>
          <w:color w:val="222222"/>
          <w:sz w:val="21"/>
          <w:szCs w:val="21"/>
        </w:rPr>
        <w:t> </w:t>
      </w:r>
      <w:r>
        <w:rPr>
          <w:rFonts w:ascii="Tahoma" w:hAnsi="Tahoma" w:cs="Tahoma"/>
          <w:color w:val="222222"/>
          <w:sz w:val="21"/>
          <w:szCs w:val="21"/>
          <w:rtl/>
        </w:rPr>
        <w:t>موجود در آن مرتبط است؛ و نوعاً در</w:t>
      </w:r>
      <w:r>
        <w:rPr>
          <w:rFonts w:ascii="Tahoma" w:hAnsi="Tahoma" w:cs="Tahoma"/>
          <w:color w:val="222222"/>
          <w:sz w:val="21"/>
          <w:szCs w:val="21"/>
        </w:rPr>
        <w:t> </w:t>
      </w:r>
      <w:hyperlink r:id="rId24" w:tooltip="نفت" w:history="1">
        <w:r>
          <w:rPr>
            <w:rStyle w:val="Hyperlink"/>
            <w:color w:val="0B0080"/>
            <w:sz w:val="21"/>
            <w:szCs w:val="21"/>
            <w:rtl/>
          </w:rPr>
          <w:t>نفت</w:t>
        </w:r>
      </w:hyperlink>
      <w:r>
        <w:rPr>
          <w:rFonts w:ascii="Tahoma" w:hAnsi="Tahoma" w:cs="Tahoma"/>
          <w:color w:val="222222"/>
          <w:sz w:val="21"/>
          <w:szCs w:val="21"/>
        </w:rPr>
        <w:t> </w:t>
      </w:r>
      <w:r>
        <w:rPr>
          <w:rFonts w:ascii="Tahoma" w:hAnsi="Tahoma" w:cs="Tahoma"/>
          <w:color w:val="222222"/>
          <w:sz w:val="21"/>
          <w:szCs w:val="21"/>
          <w:rtl/>
        </w:rPr>
        <w:t>خام‌هایی که از مقادیر زیادی از مواد گیاهی مشتق می‌شوند یافت می‌شود. این نوع از نفت خام به‌طور کلی از کروژن نوع دوم مشتق می‌شوند</w:t>
      </w:r>
      <w:r>
        <w:rPr>
          <w:rFonts w:ascii="Tahoma" w:hAnsi="Tahoma" w:cs="Tahoma"/>
          <w:color w:val="222222"/>
          <w:sz w:val="21"/>
          <w:szCs w:val="21"/>
        </w:rPr>
        <w:t>.</w:t>
      </w:r>
    </w:p>
    <w:p w:rsidR="00724B14" w:rsidRDefault="00724B14" w:rsidP="00724B14">
      <w:pPr>
        <w:pStyle w:val="NormalWeb"/>
        <w:shd w:val="clear" w:color="auto" w:fill="FFFFFF"/>
        <w:bidi/>
        <w:spacing w:before="120" w:beforeAutospacing="0" w:after="120" w:afterAutospacing="0"/>
        <w:rPr>
          <w:rFonts w:ascii="Tahoma" w:hAnsi="Tahoma" w:cs="Tahoma"/>
          <w:color w:val="222222"/>
          <w:sz w:val="21"/>
          <w:szCs w:val="21"/>
        </w:rPr>
      </w:pPr>
      <w:r>
        <w:rPr>
          <w:rFonts w:ascii="Tahoma" w:hAnsi="Tahoma" w:cs="Tahoma"/>
          <w:color w:val="222222"/>
          <w:sz w:val="21"/>
          <w:szCs w:val="21"/>
          <w:rtl/>
        </w:rPr>
        <w:t>در ضمن، نقطه ریزش را می‌توان کمترین دمایی نامید که در آن مایع، خصوصاً یک</w:t>
      </w:r>
      <w:r>
        <w:rPr>
          <w:rFonts w:ascii="Tahoma" w:hAnsi="Tahoma" w:cs="Tahoma"/>
          <w:color w:val="222222"/>
          <w:sz w:val="21"/>
          <w:szCs w:val="21"/>
        </w:rPr>
        <w:t> </w:t>
      </w:r>
      <w:hyperlink r:id="rId25" w:tooltip="روان‌کننده" w:history="1">
        <w:r>
          <w:rPr>
            <w:rStyle w:val="Hyperlink"/>
            <w:color w:val="0B0080"/>
            <w:sz w:val="21"/>
            <w:szCs w:val="21"/>
            <w:rtl/>
          </w:rPr>
          <w:t>روان‌کننده</w:t>
        </w:r>
      </w:hyperlink>
      <w:r>
        <w:rPr>
          <w:rFonts w:ascii="Tahoma" w:hAnsi="Tahoma" w:cs="Tahoma"/>
          <w:color w:val="222222"/>
          <w:sz w:val="21"/>
          <w:szCs w:val="21"/>
          <w:rtl/>
        </w:rPr>
        <w:t>، جاری و روان می گردد</w:t>
      </w:r>
      <w:r>
        <w:rPr>
          <w:rFonts w:ascii="Tahoma" w:hAnsi="Tahoma" w:cs="Tahoma"/>
          <w:color w:val="222222"/>
          <w:sz w:val="21"/>
          <w:szCs w:val="21"/>
        </w:rPr>
        <w:t>.</w:t>
      </w:r>
    </w:p>
    <w:p w:rsidR="000F1BDB" w:rsidRDefault="000F1BDB" w:rsidP="00724B14">
      <w:pPr>
        <w:shd w:val="clear" w:color="auto" w:fill="FFFFFF"/>
        <w:bidi w:val="0"/>
        <w:spacing w:before="72" w:after="0" w:line="240" w:lineRule="auto"/>
        <w:outlineLvl w:val="2"/>
        <w:rPr>
          <w:rFonts w:ascii="Arial" w:eastAsia="Times New Roman" w:hAnsi="Arial" w:cs="Arial"/>
          <w:b/>
          <w:bCs/>
          <w:color w:val="000000"/>
          <w:sz w:val="29"/>
          <w:szCs w:val="29"/>
        </w:rPr>
      </w:pPr>
      <w:r w:rsidRPr="000F1BDB">
        <w:rPr>
          <w:rFonts w:ascii="Arial" w:hAnsi="Arial" w:cs="Arial"/>
          <w:color w:val="222222"/>
          <w:sz w:val="40"/>
          <w:szCs w:val="40"/>
          <w:shd w:val="clear" w:color="auto" w:fill="FFFFFF"/>
        </w:rPr>
        <w:t> </w:t>
      </w:r>
      <w:proofErr w:type="gramStart"/>
      <w:r>
        <w:rPr>
          <w:rFonts w:ascii="Arial" w:hAnsi="Arial" w:cs="Arial"/>
          <w:color w:val="222222"/>
          <w:sz w:val="21"/>
          <w:szCs w:val="21"/>
          <w:shd w:val="clear" w:color="auto" w:fill="FFFFFF"/>
        </w:rPr>
        <w:t>of</w:t>
      </w:r>
      <w:proofErr w:type="gramEnd"/>
      <w:r>
        <w:rPr>
          <w:rFonts w:ascii="Arial" w:hAnsi="Arial" w:cs="Arial"/>
          <w:color w:val="222222"/>
          <w:sz w:val="21"/>
          <w:szCs w:val="21"/>
          <w:shd w:val="clear" w:color="auto" w:fill="FFFFFF"/>
        </w:rPr>
        <w:t xml:space="preserve"> a </w:t>
      </w:r>
      <w:hyperlink r:id="rId26" w:tooltip="Liquid" w:history="1">
        <w:r>
          <w:rPr>
            <w:rStyle w:val="Hyperlink"/>
            <w:rFonts w:ascii="Arial" w:hAnsi="Arial" w:cs="Arial"/>
            <w:color w:val="0B0080"/>
            <w:sz w:val="21"/>
            <w:szCs w:val="21"/>
            <w:shd w:val="clear" w:color="auto" w:fill="FFFFFF"/>
          </w:rPr>
          <w:t>liquid</w:t>
        </w:r>
      </w:hyperlink>
      <w:r>
        <w:rPr>
          <w:rFonts w:ascii="Arial" w:hAnsi="Arial" w:cs="Arial"/>
          <w:color w:val="222222"/>
          <w:sz w:val="21"/>
          <w:szCs w:val="21"/>
          <w:shd w:val="clear" w:color="auto" w:fill="FFFFFF"/>
        </w:rPr>
        <w:t> is the </w:t>
      </w:r>
      <w:hyperlink r:id="rId27" w:tooltip="Temperature" w:history="1">
        <w:r>
          <w:rPr>
            <w:rStyle w:val="Hyperlink"/>
            <w:rFonts w:ascii="Arial" w:hAnsi="Arial" w:cs="Arial"/>
            <w:color w:val="0B0080"/>
            <w:sz w:val="21"/>
            <w:szCs w:val="21"/>
            <w:shd w:val="clear" w:color="auto" w:fill="FFFFFF"/>
          </w:rPr>
          <w:t>temperature</w:t>
        </w:r>
      </w:hyperlink>
      <w:r>
        <w:rPr>
          <w:rFonts w:ascii="Arial" w:hAnsi="Arial" w:cs="Arial"/>
          <w:color w:val="222222"/>
          <w:sz w:val="21"/>
          <w:szCs w:val="21"/>
          <w:shd w:val="clear" w:color="auto" w:fill="FFFFFF"/>
        </w:rPr>
        <w:t> below which the liquid loses its flow characteristics. In </w:t>
      </w:r>
      <w:hyperlink r:id="rId28" w:tooltip="Crude oil" w:history="1">
        <w:r>
          <w:rPr>
            <w:rStyle w:val="Hyperlink"/>
            <w:rFonts w:ascii="Arial" w:hAnsi="Arial" w:cs="Arial"/>
            <w:color w:val="0B0080"/>
            <w:sz w:val="21"/>
            <w:szCs w:val="21"/>
            <w:shd w:val="clear" w:color="auto" w:fill="FFFFFF"/>
          </w:rPr>
          <w:t>crude oil</w:t>
        </w:r>
      </w:hyperlink>
      <w:r>
        <w:rPr>
          <w:rFonts w:ascii="Arial" w:hAnsi="Arial" w:cs="Arial"/>
          <w:color w:val="222222"/>
          <w:sz w:val="21"/>
          <w:szCs w:val="21"/>
          <w:shd w:val="clear" w:color="auto" w:fill="FFFFFF"/>
        </w:rPr>
        <w:t xml:space="preserve"> a high pour point is generally associated with </w:t>
      </w:r>
      <w:proofErr w:type="gramStart"/>
      <w:r>
        <w:rPr>
          <w:rFonts w:ascii="Arial" w:hAnsi="Arial" w:cs="Arial"/>
          <w:color w:val="222222"/>
          <w:sz w:val="21"/>
          <w:szCs w:val="21"/>
          <w:shd w:val="clear" w:color="auto" w:fill="FFFFFF"/>
        </w:rPr>
        <w:t>a high </w:t>
      </w:r>
      <w:hyperlink r:id="rId29" w:tooltip="Kerosene" w:history="1">
        <w:r>
          <w:rPr>
            <w:rStyle w:val="Hyperlink"/>
            <w:rFonts w:ascii="Arial" w:hAnsi="Arial" w:cs="Arial"/>
            <w:color w:val="0B0080"/>
            <w:sz w:val="21"/>
            <w:szCs w:val="21"/>
            <w:shd w:val="clear" w:color="auto" w:fill="FFFFFF"/>
          </w:rPr>
          <w:t>paraffin</w:t>
        </w:r>
      </w:hyperlink>
      <w:proofErr w:type="gramEnd"/>
      <w:r>
        <w:rPr>
          <w:rFonts w:ascii="Arial" w:hAnsi="Arial" w:cs="Arial"/>
          <w:color w:val="222222"/>
          <w:sz w:val="21"/>
          <w:szCs w:val="21"/>
          <w:shd w:val="clear" w:color="auto" w:fill="FFFFFF"/>
        </w:rPr>
        <w:t> content, typically found in crude deriving from a larger proportion of plant material. That type of crude oil is mainly derived from a </w:t>
      </w:r>
      <w:hyperlink r:id="rId30" w:tooltip="Kerogen" w:history="1">
        <w:r>
          <w:rPr>
            <w:rStyle w:val="Hyperlink"/>
            <w:rFonts w:ascii="Arial" w:hAnsi="Arial" w:cs="Arial"/>
            <w:color w:val="0B0080"/>
            <w:sz w:val="21"/>
            <w:szCs w:val="21"/>
            <w:shd w:val="clear" w:color="auto" w:fill="FFFFFF"/>
          </w:rPr>
          <w:t>kerogen</w:t>
        </w:r>
      </w:hyperlink>
      <w:r>
        <w:rPr>
          <w:rFonts w:ascii="Arial" w:hAnsi="Arial" w:cs="Arial"/>
          <w:color w:val="222222"/>
          <w:sz w:val="21"/>
          <w:szCs w:val="21"/>
          <w:shd w:val="clear" w:color="auto" w:fill="FFFFFF"/>
        </w:rPr>
        <w:t> Type III.</w:t>
      </w:r>
    </w:p>
    <w:p w:rsidR="000F1BDB" w:rsidRPr="000F1BDB" w:rsidRDefault="000F1BDB" w:rsidP="000F1BDB">
      <w:pPr>
        <w:shd w:val="clear" w:color="auto" w:fill="FFFFFF"/>
        <w:bidi w:val="0"/>
        <w:spacing w:before="72" w:after="0" w:line="240" w:lineRule="auto"/>
        <w:outlineLvl w:val="2"/>
        <w:rPr>
          <w:rFonts w:ascii="Arial" w:eastAsia="Times New Roman" w:hAnsi="Arial" w:cs="Arial"/>
          <w:b/>
          <w:bCs/>
          <w:color w:val="000000"/>
          <w:sz w:val="29"/>
          <w:szCs w:val="29"/>
        </w:rPr>
      </w:pPr>
      <w:r w:rsidRPr="000F1BDB">
        <w:rPr>
          <w:rFonts w:ascii="Arial" w:eastAsia="Times New Roman" w:hAnsi="Arial" w:cs="Arial"/>
          <w:b/>
          <w:bCs/>
          <w:color w:val="000000"/>
          <w:sz w:val="29"/>
          <w:szCs w:val="29"/>
        </w:rPr>
        <w:t xml:space="preserve">Manual </w:t>
      </w:r>
      <w:proofErr w:type="gramStart"/>
      <w:r w:rsidRPr="000F1BDB">
        <w:rPr>
          <w:rFonts w:ascii="Arial" w:eastAsia="Times New Roman" w:hAnsi="Arial" w:cs="Arial"/>
          <w:b/>
          <w:bCs/>
          <w:color w:val="000000"/>
          <w:sz w:val="29"/>
          <w:szCs w:val="29"/>
        </w:rPr>
        <w:t>method</w:t>
      </w:r>
      <w:r w:rsidRPr="000F1BDB">
        <w:rPr>
          <w:rFonts w:ascii="Arial" w:eastAsia="Times New Roman" w:hAnsi="Arial" w:cs="Arial"/>
          <w:color w:val="54595D"/>
          <w:sz w:val="24"/>
          <w:szCs w:val="24"/>
        </w:rPr>
        <w:t>[</w:t>
      </w:r>
      <w:proofErr w:type="gramEnd"/>
      <w:r w:rsidRPr="000F1BDB">
        <w:rPr>
          <w:rFonts w:ascii="Arial" w:eastAsia="Times New Roman" w:hAnsi="Arial" w:cs="Arial"/>
          <w:color w:val="000000"/>
          <w:sz w:val="24"/>
          <w:szCs w:val="24"/>
        </w:rPr>
        <w:fldChar w:fldCharType="begin"/>
      </w:r>
      <w:r w:rsidRPr="000F1BDB">
        <w:rPr>
          <w:rFonts w:ascii="Arial" w:eastAsia="Times New Roman" w:hAnsi="Arial" w:cs="Arial"/>
          <w:color w:val="000000"/>
          <w:sz w:val="24"/>
          <w:szCs w:val="24"/>
        </w:rPr>
        <w:instrText xml:space="preserve"> HYPERLINK "https://en.wikipedia.org/w/index.php?title=Pour_point&amp;action=edit&amp;section=2" \o "Edit section: Manual method" </w:instrText>
      </w:r>
      <w:r w:rsidRPr="000F1BDB">
        <w:rPr>
          <w:rFonts w:ascii="Arial" w:eastAsia="Times New Roman" w:hAnsi="Arial" w:cs="Arial"/>
          <w:color w:val="000000"/>
          <w:sz w:val="24"/>
          <w:szCs w:val="24"/>
        </w:rPr>
        <w:fldChar w:fldCharType="separate"/>
      </w:r>
      <w:r w:rsidRPr="000F1BDB">
        <w:rPr>
          <w:rFonts w:ascii="Arial" w:eastAsia="Times New Roman" w:hAnsi="Arial" w:cs="Arial"/>
          <w:color w:val="0B0080"/>
          <w:sz w:val="24"/>
          <w:szCs w:val="24"/>
        </w:rPr>
        <w:t>edit</w:t>
      </w:r>
      <w:r w:rsidRPr="000F1BDB">
        <w:rPr>
          <w:rFonts w:ascii="Arial" w:eastAsia="Times New Roman" w:hAnsi="Arial" w:cs="Arial"/>
          <w:color w:val="000000"/>
          <w:sz w:val="24"/>
          <w:szCs w:val="24"/>
        </w:rPr>
        <w:fldChar w:fldCharType="end"/>
      </w:r>
      <w:r w:rsidRPr="000F1BDB">
        <w:rPr>
          <w:rFonts w:ascii="Arial" w:eastAsia="Times New Roman" w:hAnsi="Arial" w:cs="Arial"/>
          <w:color w:val="54595D"/>
          <w:sz w:val="24"/>
          <w:szCs w:val="24"/>
        </w:rPr>
        <w:t>]</w:t>
      </w:r>
    </w:p>
    <w:p w:rsidR="000F1BDB" w:rsidRPr="000F1BDB" w:rsidRDefault="000F1BDB" w:rsidP="000F1BDB">
      <w:pPr>
        <w:shd w:val="clear" w:color="auto" w:fill="FFFFFF"/>
        <w:bidi w:val="0"/>
        <w:spacing w:before="120" w:after="120" w:line="240" w:lineRule="auto"/>
        <w:rPr>
          <w:rFonts w:ascii="Arial" w:eastAsia="Times New Roman" w:hAnsi="Arial" w:cs="Arial"/>
          <w:color w:val="222222"/>
          <w:sz w:val="21"/>
          <w:szCs w:val="21"/>
        </w:rPr>
      </w:pPr>
      <w:r w:rsidRPr="000F1BDB">
        <w:rPr>
          <w:rFonts w:ascii="Arial" w:eastAsia="Times New Roman" w:hAnsi="Arial" w:cs="Arial"/>
          <w:color w:val="222222"/>
          <w:sz w:val="21"/>
          <w:szCs w:val="21"/>
        </w:rPr>
        <w:t>ASTM D97, Standard Test Method for Pour Point of Crude Oils. The specimen is cooled inside a cooling bath to allow the formation of </w:t>
      </w:r>
      <w:hyperlink r:id="rId31" w:tooltip="Paraffin wax" w:history="1">
        <w:r w:rsidRPr="000F1BDB">
          <w:rPr>
            <w:rFonts w:ascii="Arial" w:eastAsia="Times New Roman" w:hAnsi="Arial" w:cs="Arial"/>
            <w:color w:val="0B0080"/>
            <w:sz w:val="21"/>
            <w:szCs w:val="21"/>
          </w:rPr>
          <w:t>paraffin wax</w:t>
        </w:r>
      </w:hyperlink>
      <w:r w:rsidRPr="000F1BDB">
        <w:rPr>
          <w:rFonts w:ascii="Arial" w:eastAsia="Times New Roman" w:hAnsi="Arial" w:cs="Arial"/>
          <w:color w:val="222222"/>
          <w:sz w:val="21"/>
          <w:szCs w:val="21"/>
        </w:rPr>
        <w:t> crystals. At about 9 °C above the expected pour point, and for every subsequent 3 °C, the test jar is removed and tilted to check for surface movement. When the specimen does not flow when tilted, the jar is held horizontally for 5 sec. If it does not flow, 3 °C is added to the corresponding temperature and the result is the pour point temperature.</w:t>
      </w:r>
    </w:p>
    <w:p w:rsidR="000F1BDB" w:rsidRPr="000F1BDB" w:rsidRDefault="000F1BDB" w:rsidP="000F1BDB">
      <w:pPr>
        <w:shd w:val="clear" w:color="auto" w:fill="FFFFFF"/>
        <w:bidi w:val="0"/>
        <w:spacing w:before="120" w:after="120" w:line="240" w:lineRule="auto"/>
        <w:rPr>
          <w:rFonts w:ascii="Arial" w:eastAsia="Times New Roman" w:hAnsi="Arial" w:cs="Arial"/>
          <w:color w:val="222222"/>
          <w:sz w:val="21"/>
          <w:szCs w:val="21"/>
        </w:rPr>
      </w:pPr>
      <w:r w:rsidRPr="000F1BDB">
        <w:rPr>
          <w:rFonts w:ascii="Arial" w:eastAsia="Times New Roman" w:hAnsi="Arial" w:cs="Arial"/>
          <w:color w:val="222222"/>
          <w:sz w:val="21"/>
          <w:szCs w:val="21"/>
        </w:rPr>
        <w:t>It is also useful to note that failure to flow at the pour point may also be due to the effect of viscosity or the previous thermal history of the specimen. Therefore, the pour point may give a misleading view of the handling properties of the oil. Additional </w:t>
      </w:r>
      <w:hyperlink r:id="rId32" w:tooltip="Viscosity" w:history="1">
        <w:r w:rsidRPr="000F1BDB">
          <w:rPr>
            <w:rFonts w:ascii="Arial" w:eastAsia="Times New Roman" w:hAnsi="Arial" w:cs="Arial"/>
            <w:color w:val="0B0080"/>
            <w:sz w:val="21"/>
            <w:szCs w:val="21"/>
          </w:rPr>
          <w:t>fluidity</w:t>
        </w:r>
      </w:hyperlink>
      <w:r w:rsidRPr="000F1BDB">
        <w:rPr>
          <w:rFonts w:ascii="Arial" w:eastAsia="Times New Roman" w:hAnsi="Arial" w:cs="Arial"/>
          <w:color w:val="222222"/>
          <w:sz w:val="21"/>
          <w:szCs w:val="21"/>
        </w:rPr>
        <w:t xml:space="preserve"> tests may also be </w:t>
      </w:r>
      <w:r w:rsidRPr="000F1BDB">
        <w:rPr>
          <w:rFonts w:ascii="Arial" w:eastAsia="Times New Roman" w:hAnsi="Arial" w:cs="Arial"/>
          <w:color w:val="222222"/>
          <w:sz w:val="21"/>
          <w:szCs w:val="21"/>
        </w:rPr>
        <w:lastRenderedPageBreak/>
        <w:t>undertaken. An approximate range of pour point can be observed from the specimen's upper and lower pour point.</w:t>
      </w:r>
    </w:p>
    <w:p w:rsidR="000F1BDB" w:rsidRPr="000F1BDB" w:rsidRDefault="000F1BDB" w:rsidP="000F1BDB">
      <w:pPr>
        <w:shd w:val="clear" w:color="auto" w:fill="FFFFFF"/>
        <w:bidi w:val="0"/>
        <w:spacing w:before="72" w:after="0" w:line="240" w:lineRule="auto"/>
        <w:outlineLvl w:val="2"/>
        <w:rPr>
          <w:rFonts w:ascii="Arial" w:eastAsia="Times New Roman" w:hAnsi="Arial" w:cs="Arial"/>
          <w:b/>
          <w:bCs/>
          <w:color w:val="000000"/>
          <w:sz w:val="29"/>
          <w:szCs w:val="29"/>
        </w:rPr>
      </w:pPr>
      <w:r w:rsidRPr="000F1BDB">
        <w:rPr>
          <w:rFonts w:ascii="Arial" w:eastAsia="Times New Roman" w:hAnsi="Arial" w:cs="Arial"/>
          <w:b/>
          <w:bCs/>
          <w:color w:val="000000"/>
          <w:sz w:val="29"/>
          <w:szCs w:val="29"/>
        </w:rPr>
        <w:t xml:space="preserve">Automatic </w:t>
      </w:r>
      <w:proofErr w:type="gramStart"/>
      <w:r w:rsidRPr="000F1BDB">
        <w:rPr>
          <w:rFonts w:ascii="Arial" w:eastAsia="Times New Roman" w:hAnsi="Arial" w:cs="Arial"/>
          <w:b/>
          <w:bCs/>
          <w:color w:val="000000"/>
          <w:sz w:val="29"/>
          <w:szCs w:val="29"/>
        </w:rPr>
        <w:t>method</w:t>
      </w:r>
      <w:r w:rsidRPr="000F1BDB">
        <w:rPr>
          <w:rFonts w:ascii="Arial" w:eastAsia="Times New Roman" w:hAnsi="Arial" w:cs="Arial"/>
          <w:color w:val="54595D"/>
          <w:sz w:val="24"/>
          <w:szCs w:val="24"/>
        </w:rPr>
        <w:t>[</w:t>
      </w:r>
      <w:proofErr w:type="gramEnd"/>
      <w:hyperlink r:id="rId33" w:tooltip="Edit section: Automatic method" w:history="1">
        <w:r w:rsidRPr="000F1BDB">
          <w:rPr>
            <w:rFonts w:ascii="Arial" w:eastAsia="Times New Roman" w:hAnsi="Arial" w:cs="Arial"/>
            <w:color w:val="0B0080"/>
            <w:sz w:val="24"/>
            <w:szCs w:val="24"/>
          </w:rPr>
          <w:t>edit</w:t>
        </w:r>
      </w:hyperlink>
      <w:r w:rsidRPr="000F1BDB">
        <w:rPr>
          <w:rFonts w:ascii="Arial" w:eastAsia="Times New Roman" w:hAnsi="Arial" w:cs="Arial"/>
          <w:color w:val="54595D"/>
          <w:sz w:val="24"/>
          <w:szCs w:val="24"/>
        </w:rPr>
        <w:t>]</w:t>
      </w:r>
    </w:p>
    <w:p w:rsidR="000F1BDB" w:rsidRPr="000F1BDB" w:rsidRDefault="000F1BDB" w:rsidP="000F1BDB">
      <w:pPr>
        <w:shd w:val="clear" w:color="auto" w:fill="FFFFFF"/>
        <w:bidi w:val="0"/>
        <w:spacing w:before="120" w:after="120" w:line="240" w:lineRule="auto"/>
        <w:rPr>
          <w:rFonts w:ascii="Arial" w:eastAsia="Times New Roman" w:hAnsi="Arial" w:cs="Arial"/>
          <w:color w:val="222222"/>
          <w:sz w:val="21"/>
          <w:szCs w:val="21"/>
        </w:rPr>
      </w:pPr>
      <w:r w:rsidRPr="000F1BDB">
        <w:rPr>
          <w:rFonts w:ascii="Arial" w:eastAsia="Times New Roman" w:hAnsi="Arial" w:cs="Arial"/>
          <w:color w:val="222222"/>
          <w:sz w:val="21"/>
          <w:szCs w:val="21"/>
        </w:rPr>
        <w:t>ASTM D5949, Standard Test Method for Pour Point of Petroleum Products (Automatic Pressure Pulsing Method) is an alternative to the manual test procedure. It uses automatic apparatus and yields pour point results in a format similar to the manual method (ASTM D97) when reporting at a 3 °C.</w:t>
      </w:r>
      <w:hyperlink r:id="rId34" w:anchor="cite_note-1" w:history="1">
        <w:r w:rsidRPr="000F1BDB">
          <w:rPr>
            <w:rFonts w:ascii="Arial" w:eastAsia="Times New Roman" w:hAnsi="Arial" w:cs="Arial"/>
            <w:color w:val="0B0080"/>
            <w:sz w:val="17"/>
            <w:szCs w:val="17"/>
            <w:vertAlign w:val="superscript"/>
          </w:rPr>
          <w:t>[1]</w:t>
        </w:r>
      </w:hyperlink>
    </w:p>
    <w:p w:rsidR="000F1BDB" w:rsidRPr="000F1BDB" w:rsidRDefault="000F1BDB" w:rsidP="000F1BDB">
      <w:pPr>
        <w:shd w:val="clear" w:color="auto" w:fill="FFFFFF"/>
        <w:bidi w:val="0"/>
        <w:spacing w:before="120" w:after="120" w:line="240" w:lineRule="auto"/>
        <w:rPr>
          <w:rFonts w:ascii="Arial" w:eastAsia="Times New Roman" w:hAnsi="Arial" w:cs="Arial"/>
          <w:color w:val="222222"/>
          <w:sz w:val="21"/>
          <w:szCs w:val="21"/>
        </w:rPr>
      </w:pPr>
      <w:r w:rsidRPr="000F1BDB">
        <w:rPr>
          <w:rFonts w:ascii="Arial" w:eastAsia="Times New Roman" w:hAnsi="Arial" w:cs="Arial"/>
          <w:color w:val="222222"/>
          <w:sz w:val="21"/>
          <w:szCs w:val="21"/>
        </w:rPr>
        <w:t>The D5949 test method determines the pour point in a shorter period of time than manual method D97. Less operator time is required to run the test using this automatic method. Additionally, no external chiller bath or refrigeration unit is needed. D5949 is capable of determining pour point within a temperature range of −57 °C to +51 °C. Results can be reported at 1 °C or 3 °C testing intervals. This test method has better repeatability and reproducibility than manual method D97.</w:t>
      </w:r>
    </w:p>
    <w:p w:rsidR="000F1BDB" w:rsidRPr="000F1BDB" w:rsidRDefault="000F1BDB" w:rsidP="000F1BDB">
      <w:pPr>
        <w:shd w:val="clear" w:color="auto" w:fill="FFFFFF"/>
        <w:bidi w:val="0"/>
        <w:spacing w:before="120" w:after="120" w:line="240" w:lineRule="auto"/>
        <w:rPr>
          <w:rFonts w:ascii="Arial" w:eastAsia="Times New Roman" w:hAnsi="Arial" w:cs="Arial"/>
          <w:color w:val="222222"/>
          <w:sz w:val="21"/>
          <w:szCs w:val="21"/>
        </w:rPr>
      </w:pPr>
      <w:r w:rsidRPr="000F1BDB">
        <w:rPr>
          <w:rFonts w:ascii="Arial" w:eastAsia="Times New Roman" w:hAnsi="Arial" w:cs="Arial"/>
          <w:color w:val="222222"/>
          <w:sz w:val="21"/>
          <w:szCs w:val="21"/>
        </w:rPr>
        <w:t>Under ASTM D5949, the test sample is heated and then cooled by a Peltier device at a rate of 1.5±0.1 °C/min. At either 1 °C or 3 °C intervals, a pressurized pulse of compressed gas is imparted onto the surface of the sample. Multiple optical detectors continuously monitor the sample for movement. The lowest temperature at which movement is detected on the sample surface is determined to be the pour point.</w:t>
      </w:r>
    </w:p>
    <w:p w:rsidR="00AD17CA" w:rsidRDefault="00AD17CA">
      <w:pPr>
        <w:rPr>
          <w:rFonts w:hint="cs"/>
          <w:noProof/>
          <w:rtl/>
        </w:rPr>
      </w:pPr>
    </w:p>
    <w:p w:rsidR="00AD17CA" w:rsidRDefault="00AD17CA">
      <w:pPr>
        <w:rPr>
          <w:rFonts w:hint="cs"/>
          <w:noProof/>
          <w:rtl/>
        </w:rPr>
      </w:pPr>
    </w:p>
    <w:p w:rsidR="00AD17CA" w:rsidRDefault="00AD17CA">
      <w:pPr>
        <w:rPr>
          <w:rFonts w:hint="cs"/>
          <w:noProof/>
          <w:rtl/>
        </w:rPr>
      </w:pPr>
    </w:p>
    <w:p w:rsidR="00AD17CA" w:rsidRDefault="00AD17CA">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0F1BDB" w:rsidRDefault="000F1BDB">
      <w:pPr>
        <w:rPr>
          <w:rFonts w:hint="cs"/>
          <w:noProof/>
          <w:rtl/>
        </w:rPr>
      </w:pPr>
    </w:p>
    <w:p w:rsidR="009A08D4" w:rsidRDefault="005455A1">
      <w:pPr>
        <w:rPr>
          <w:rFonts w:hint="cs"/>
        </w:rPr>
      </w:pPr>
      <w:r>
        <w:rPr>
          <w:noProof/>
        </w:rPr>
        <w:drawing>
          <wp:inline distT="0" distB="0" distL="0" distR="0" wp14:anchorId="04677259" wp14:editId="2BE1E95E">
            <wp:extent cx="5731510" cy="36844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684455"/>
                    </a:xfrm>
                    <a:prstGeom prst="rect">
                      <a:avLst/>
                    </a:prstGeom>
                  </pic:spPr>
                </pic:pic>
              </a:graphicData>
            </a:graphic>
          </wp:inline>
        </w:drawing>
      </w:r>
      <w:r>
        <w:rPr>
          <w:noProof/>
        </w:rPr>
        <w:drawing>
          <wp:inline distT="0" distB="0" distL="0" distR="0" wp14:anchorId="7EE0331F" wp14:editId="19BA1D06">
            <wp:extent cx="5731510" cy="74705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747056"/>
                    </a:xfrm>
                    <a:prstGeom prst="rect">
                      <a:avLst/>
                    </a:prstGeom>
                  </pic:spPr>
                </pic:pic>
              </a:graphicData>
            </a:graphic>
          </wp:inline>
        </w:drawing>
      </w:r>
      <w:r>
        <w:rPr>
          <w:noProof/>
        </w:rPr>
        <w:drawing>
          <wp:inline distT="0" distB="0" distL="0" distR="0" wp14:anchorId="5A5AA4EB" wp14:editId="57836C73">
            <wp:extent cx="5731510" cy="200602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006028"/>
                    </a:xfrm>
                    <a:prstGeom prst="rect">
                      <a:avLst/>
                    </a:prstGeom>
                  </pic:spPr>
                </pic:pic>
              </a:graphicData>
            </a:graphic>
          </wp:inline>
        </w:drawing>
      </w:r>
      <w:r>
        <w:rPr>
          <w:noProof/>
        </w:rPr>
        <w:lastRenderedPageBreak/>
        <w:drawing>
          <wp:inline distT="0" distB="0" distL="0" distR="0" wp14:anchorId="2D0B86FD" wp14:editId="5C228B7A">
            <wp:extent cx="5731510" cy="156453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1564531"/>
                    </a:xfrm>
                    <a:prstGeom prst="rect">
                      <a:avLst/>
                    </a:prstGeom>
                  </pic:spPr>
                </pic:pic>
              </a:graphicData>
            </a:graphic>
          </wp:inline>
        </w:drawing>
      </w:r>
      <w:r>
        <w:rPr>
          <w:noProof/>
        </w:rPr>
        <w:drawing>
          <wp:inline distT="0" distB="0" distL="0" distR="0" wp14:anchorId="17F95603" wp14:editId="7653C360">
            <wp:extent cx="5731510" cy="3383795"/>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383795"/>
                    </a:xfrm>
                    <a:prstGeom prst="rect">
                      <a:avLst/>
                    </a:prstGeom>
                  </pic:spPr>
                </pic:pic>
              </a:graphicData>
            </a:graphic>
          </wp:inline>
        </w:drawing>
      </w:r>
      <w:r>
        <w:rPr>
          <w:rFonts w:hint="cs"/>
          <w:rtl/>
        </w:rPr>
        <w:t>ر</w:t>
      </w:r>
      <w:r w:rsidR="00C75A45">
        <w:rPr>
          <w:noProof/>
        </w:rPr>
        <w:lastRenderedPageBreak/>
        <w:drawing>
          <wp:inline distT="0" distB="0" distL="0" distR="0" wp14:anchorId="7B63802C" wp14:editId="31225298">
            <wp:extent cx="5731510" cy="474013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4740130"/>
                    </a:xfrm>
                    <a:prstGeom prst="rect">
                      <a:avLst/>
                    </a:prstGeom>
                  </pic:spPr>
                </pic:pic>
              </a:graphicData>
            </a:graphic>
          </wp:inline>
        </w:drawing>
      </w:r>
      <w:r w:rsidR="00C75A45">
        <w:rPr>
          <w:noProof/>
        </w:rPr>
        <w:drawing>
          <wp:inline distT="0" distB="0" distL="0" distR="0" wp14:anchorId="0F59BB81" wp14:editId="08ABF391">
            <wp:extent cx="5731510" cy="2151766"/>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2151766"/>
                    </a:xfrm>
                    <a:prstGeom prst="rect">
                      <a:avLst/>
                    </a:prstGeom>
                  </pic:spPr>
                </pic:pic>
              </a:graphicData>
            </a:graphic>
          </wp:inline>
        </w:drawing>
      </w:r>
      <w:r w:rsidR="00C75A45">
        <w:rPr>
          <w:noProof/>
        </w:rPr>
        <w:lastRenderedPageBreak/>
        <w:drawing>
          <wp:inline distT="0" distB="0" distL="0" distR="0" wp14:anchorId="60963FBC" wp14:editId="543ACB2B">
            <wp:extent cx="5731510" cy="404206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4042062"/>
                    </a:xfrm>
                    <a:prstGeom prst="rect">
                      <a:avLst/>
                    </a:prstGeom>
                  </pic:spPr>
                </pic:pic>
              </a:graphicData>
            </a:graphic>
          </wp:inline>
        </w:drawing>
      </w:r>
      <w:r w:rsidR="00C75A45">
        <w:rPr>
          <w:noProof/>
        </w:rPr>
        <w:drawing>
          <wp:inline distT="0" distB="0" distL="0" distR="0" wp14:anchorId="49597438" wp14:editId="2F416967">
            <wp:extent cx="5731510" cy="2527743"/>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2527743"/>
                    </a:xfrm>
                    <a:prstGeom prst="rect">
                      <a:avLst/>
                    </a:prstGeom>
                  </pic:spPr>
                </pic:pic>
              </a:graphicData>
            </a:graphic>
          </wp:inline>
        </w:drawing>
      </w:r>
      <w:r w:rsidR="00C75A45">
        <w:rPr>
          <w:noProof/>
        </w:rPr>
        <w:lastRenderedPageBreak/>
        <w:drawing>
          <wp:inline distT="0" distB="0" distL="0" distR="0" wp14:anchorId="6B0AAAFF" wp14:editId="5383B974">
            <wp:extent cx="5731510" cy="4531934"/>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4531934"/>
                    </a:xfrm>
                    <a:prstGeom prst="rect">
                      <a:avLst/>
                    </a:prstGeom>
                  </pic:spPr>
                </pic:pic>
              </a:graphicData>
            </a:graphic>
          </wp:inline>
        </w:drawing>
      </w:r>
      <w:r w:rsidR="00C75A45">
        <w:rPr>
          <w:noProof/>
        </w:rPr>
        <w:drawing>
          <wp:inline distT="0" distB="0" distL="0" distR="0" wp14:anchorId="614675A9" wp14:editId="4F38D218">
            <wp:extent cx="5731510" cy="713989"/>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713989"/>
                    </a:xfrm>
                    <a:prstGeom prst="rect">
                      <a:avLst/>
                    </a:prstGeom>
                  </pic:spPr>
                </pic:pic>
              </a:graphicData>
            </a:graphic>
          </wp:inline>
        </w:drawing>
      </w:r>
      <w:r w:rsidR="003B26D0">
        <w:rPr>
          <w:noProof/>
        </w:rPr>
        <w:lastRenderedPageBreak/>
        <w:drawing>
          <wp:inline distT="0" distB="0" distL="0" distR="0" wp14:anchorId="75DD8FC1" wp14:editId="7FE423C1">
            <wp:extent cx="4676775" cy="4772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76775" cy="4772025"/>
                    </a:xfrm>
                    <a:prstGeom prst="rect">
                      <a:avLst/>
                    </a:prstGeom>
                  </pic:spPr>
                </pic:pic>
              </a:graphicData>
            </a:graphic>
          </wp:inline>
        </w:drawing>
      </w:r>
      <w:r w:rsidR="00013B13">
        <w:rPr>
          <w:noProof/>
        </w:rPr>
        <w:lastRenderedPageBreak/>
        <w:drawing>
          <wp:inline distT="0" distB="0" distL="0" distR="0" wp14:anchorId="5C10DF24" wp14:editId="499DEFBA">
            <wp:extent cx="4562475" cy="5057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62475" cy="5057775"/>
                    </a:xfrm>
                    <a:prstGeom prst="rect">
                      <a:avLst/>
                    </a:prstGeom>
                  </pic:spPr>
                </pic:pic>
              </a:graphicData>
            </a:graphic>
          </wp:inline>
        </w:drawing>
      </w:r>
    </w:p>
    <w:sectPr w:rsidR="009A08D4" w:rsidSect="001B37B8">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C87"/>
    <w:rsid w:val="00013B13"/>
    <w:rsid w:val="000F1BDB"/>
    <w:rsid w:val="001127B3"/>
    <w:rsid w:val="00123C87"/>
    <w:rsid w:val="001B37B8"/>
    <w:rsid w:val="003B26D0"/>
    <w:rsid w:val="004565C0"/>
    <w:rsid w:val="005455A1"/>
    <w:rsid w:val="00724B14"/>
    <w:rsid w:val="009A08D4"/>
    <w:rsid w:val="00AD17CA"/>
    <w:rsid w:val="00C75A45"/>
    <w:rsid w:val="00C9729A"/>
    <w:rsid w:val="00ED0A2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3">
    <w:name w:val="heading 3"/>
    <w:basedOn w:val="Normal"/>
    <w:link w:val="Heading3Char"/>
    <w:uiPriority w:val="9"/>
    <w:qFormat/>
    <w:rsid w:val="000F1BDB"/>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5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5A1"/>
    <w:rPr>
      <w:rFonts w:ascii="Tahoma" w:hAnsi="Tahoma" w:cs="Tahoma"/>
      <w:sz w:val="16"/>
      <w:szCs w:val="16"/>
    </w:rPr>
  </w:style>
  <w:style w:type="character" w:customStyle="1" w:styleId="Heading3Char">
    <w:name w:val="Heading 3 Char"/>
    <w:basedOn w:val="DefaultParagraphFont"/>
    <w:link w:val="Heading3"/>
    <w:uiPriority w:val="9"/>
    <w:rsid w:val="000F1BDB"/>
    <w:rPr>
      <w:rFonts w:ascii="Times New Roman" w:eastAsia="Times New Roman" w:hAnsi="Times New Roman" w:cs="Times New Roman"/>
      <w:b/>
      <w:bCs/>
      <w:sz w:val="27"/>
      <w:szCs w:val="27"/>
    </w:rPr>
  </w:style>
  <w:style w:type="character" w:customStyle="1" w:styleId="mw-headline">
    <w:name w:val="mw-headline"/>
    <w:basedOn w:val="DefaultParagraphFont"/>
    <w:rsid w:val="000F1BDB"/>
  </w:style>
  <w:style w:type="character" w:customStyle="1" w:styleId="mw-editsection">
    <w:name w:val="mw-editsection"/>
    <w:basedOn w:val="DefaultParagraphFont"/>
    <w:rsid w:val="000F1BDB"/>
  </w:style>
  <w:style w:type="character" w:customStyle="1" w:styleId="mw-editsection-bracket">
    <w:name w:val="mw-editsection-bracket"/>
    <w:basedOn w:val="DefaultParagraphFont"/>
    <w:rsid w:val="000F1BDB"/>
  </w:style>
  <w:style w:type="character" w:styleId="Hyperlink">
    <w:name w:val="Hyperlink"/>
    <w:basedOn w:val="DefaultParagraphFont"/>
    <w:uiPriority w:val="99"/>
    <w:semiHidden/>
    <w:unhideWhenUsed/>
    <w:rsid w:val="000F1BDB"/>
    <w:rPr>
      <w:color w:val="0000FF"/>
      <w:u w:val="single"/>
    </w:rPr>
  </w:style>
  <w:style w:type="paragraph" w:styleId="NormalWeb">
    <w:name w:val="Normal (Web)"/>
    <w:basedOn w:val="Normal"/>
    <w:uiPriority w:val="99"/>
    <w:semiHidden/>
    <w:unhideWhenUsed/>
    <w:rsid w:val="000F1BDB"/>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3">
    <w:name w:val="heading 3"/>
    <w:basedOn w:val="Normal"/>
    <w:link w:val="Heading3Char"/>
    <w:uiPriority w:val="9"/>
    <w:qFormat/>
    <w:rsid w:val="000F1BDB"/>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5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5A1"/>
    <w:rPr>
      <w:rFonts w:ascii="Tahoma" w:hAnsi="Tahoma" w:cs="Tahoma"/>
      <w:sz w:val="16"/>
      <w:szCs w:val="16"/>
    </w:rPr>
  </w:style>
  <w:style w:type="character" w:customStyle="1" w:styleId="Heading3Char">
    <w:name w:val="Heading 3 Char"/>
    <w:basedOn w:val="DefaultParagraphFont"/>
    <w:link w:val="Heading3"/>
    <w:uiPriority w:val="9"/>
    <w:rsid w:val="000F1BDB"/>
    <w:rPr>
      <w:rFonts w:ascii="Times New Roman" w:eastAsia="Times New Roman" w:hAnsi="Times New Roman" w:cs="Times New Roman"/>
      <w:b/>
      <w:bCs/>
      <w:sz w:val="27"/>
      <w:szCs w:val="27"/>
    </w:rPr>
  </w:style>
  <w:style w:type="character" w:customStyle="1" w:styleId="mw-headline">
    <w:name w:val="mw-headline"/>
    <w:basedOn w:val="DefaultParagraphFont"/>
    <w:rsid w:val="000F1BDB"/>
  </w:style>
  <w:style w:type="character" w:customStyle="1" w:styleId="mw-editsection">
    <w:name w:val="mw-editsection"/>
    <w:basedOn w:val="DefaultParagraphFont"/>
    <w:rsid w:val="000F1BDB"/>
  </w:style>
  <w:style w:type="character" w:customStyle="1" w:styleId="mw-editsection-bracket">
    <w:name w:val="mw-editsection-bracket"/>
    <w:basedOn w:val="DefaultParagraphFont"/>
    <w:rsid w:val="000F1BDB"/>
  </w:style>
  <w:style w:type="character" w:styleId="Hyperlink">
    <w:name w:val="Hyperlink"/>
    <w:basedOn w:val="DefaultParagraphFont"/>
    <w:uiPriority w:val="99"/>
    <w:semiHidden/>
    <w:unhideWhenUsed/>
    <w:rsid w:val="000F1BDB"/>
    <w:rPr>
      <w:color w:val="0000FF"/>
      <w:u w:val="single"/>
    </w:rPr>
  </w:style>
  <w:style w:type="paragraph" w:styleId="NormalWeb">
    <w:name w:val="Normal (Web)"/>
    <w:basedOn w:val="Normal"/>
    <w:uiPriority w:val="99"/>
    <w:semiHidden/>
    <w:unhideWhenUsed/>
    <w:rsid w:val="000F1BD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3520">
      <w:bodyDiv w:val="1"/>
      <w:marLeft w:val="0"/>
      <w:marRight w:val="0"/>
      <w:marTop w:val="0"/>
      <w:marBottom w:val="0"/>
      <w:divBdr>
        <w:top w:val="none" w:sz="0" w:space="0" w:color="auto"/>
        <w:left w:val="none" w:sz="0" w:space="0" w:color="auto"/>
        <w:bottom w:val="none" w:sz="0" w:space="0" w:color="auto"/>
        <w:right w:val="none" w:sz="0" w:space="0" w:color="auto"/>
      </w:divBdr>
    </w:div>
    <w:div w:id="56782689">
      <w:bodyDiv w:val="1"/>
      <w:marLeft w:val="0"/>
      <w:marRight w:val="0"/>
      <w:marTop w:val="0"/>
      <w:marBottom w:val="0"/>
      <w:divBdr>
        <w:top w:val="none" w:sz="0" w:space="0" w:color="auto"/>
        <w:left w:val="none" w:sz="0" w:space="0" w:color="auto"/>
        <w:bottom w:val="none" w:sz="0" w:space="0" w:color="auto"/>
        <w:right w:val="none" w:sz="0" w:space="0" w:color="auto"/>
      </w:divBdr>
    </w:div>
    <w:div w:id="1365594507">
      <w:bodyDiv w:val="1"/>
      <w:marLeft w:val="0"/>
      <w:marRight w:val="0"/>
      <w:marTop w:val="0"/>
      <w:marBottom w:val="0"/>
      <w:divBdr>
        <w:top w:val="none" w:sz="0" w:space="0" w:color="auto"/>
        <w:left w:val="none" w:sz="0" w:space="0" w:color="auto"/>
        <w:bottom w:val="none" w:sz="0" w:space="0" w:color="auto"/>
        <w:right w:val="none" w:sz="0" w:space="0" w:color="auto"/>
      </w:divBdr>
    </w:div>
    <w:div w:id="1454011746">
      <w:bodyDiv w:val="1"/>
      <w:marLeft w:val="0"/>
      <w:marRight w:val="0"/>
      <w:marTop w:val="0"/>
      <w:marBottom w:val="0"/>
      <w:divBdr>
        <w:top w:val="none" w:sz="0" w:space="0" w:color="auto"/>
        <w:left w:val="none" w:sz="0" w:space="0" w:color="auto"/>
        <w:bottom w:val="none" w:sz="0" w:space="0" w:color="auto"/>
        <w:right w:val="none" w:sz="0" w:space="0" w:color="auto"/>
      </w:divBdr>
    </w:div>
    <w:div w:id="1545557054">
      <w:bodyDiv w:val="1"/>
      <w:marLeft w:val="0"/>
      <w:marRight w:val="0"/>
      <w:marTop w:val="0"/>
      <w:marBottom w:val="0"/>
      <w:divBdr>
        <w:top w:val="none" w:sz="0" w:space="0" w:color="auto"/>
        <w:left w:val="none" w:sz="0" w:space="0" w:color="auto"/>
        <w:bottom w:val="none" w:sz="0" w:space="0" w:color="auto"/>
        <w:right w:val="none" w:sz="0" w:space="0" w:color="auto"/>
      </w:divBdr>
    </w:div>
    <w:div w:id="161783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wikipedia.org/wiki/%D8%B2%D8%A8%D8%A7%D9%86_%D8%A7%D9%86%DA%AF%D9%84%DB%8C%D8%B3%DB%8C" TargetMode="External"/><Relationship Id="rId18" Type="http://schemas.openxmlformats.org/officeDocument/2006/relationships/hyperlink" Target="https://en.wikipedia.org/wiki/Fire_point" TargetMode="External"/><Relationship Id="rId26" Type="http://schemas.openxmlformats.org/officeDocument/2006/relationships/hyperlink" Target="https://en.wikipedia.org/wiki/Liquid" TargetMode="External"/><Relationship Id="rId39"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fa.wikipedia.org/wiki/%D8%AF%D9%85%D8%A7" TargetMode="External"/><Relationship Id="rId34" Type="http://schemas.openxmlformats.org/officeDocument/2006/relationships/hyperlink" Target="https://en.wikipedia.org/wiki/Pour_point" TargetMode="External"/><Relationship Id="rId42" Type="http://schemas.openxmlformats.org/officeDocument/2006/relationships/image" Target="media/image9.png"/><Relationship Id="rId47" Type="http://schemas.openxmlformats.org/officeDocument/2006/relationships/image" Target="media/image14.png"/><Relationship Id="rId7" Type="http://schemas.openxmlformats.org/officeDocument/2006/relationships/hyperlink" Target="https://en.wikipedia.org/wiki/Lubricant" TargetMode="External"/><Relationship Id="rId12" Type="http://schemas.openxmlformats.org/officeDocument/2006/relationships/hyperlink" Target="https://en.wikipedia.org/wiki/Honey" TargetMode="External"/><Relationship Id="rId17" Type="http://schemas.openxmlformats.org/officeDocument/2006/relationships/hyperlink" Target="https://en.wikipedia.org/wiki/Autoignition_temperature" TargetMode="External"/><Relationship Id="rId25" Type="http://schemas.openxmlformats.org/officeDocument/2006/relationships/hyperlink" Target="https://fa.wikipedia.org/wiki/%D8%B1%D9%88%D8%A7%D9%86%E2%80%8C%DA%A9%D9%86%D9%86%D8%AF%D9%87" TargetMode="External"/><Relationship Id="rId33" Type="http://schemas.openxmlformats.org/officeDocument/2006/relationships/hyperlink" Target="https://en.wikipedia.org/w/index.php?title=Pour_point&amp;action=edit&amp;section=3" TargetMode="External"/><Relationship Id="rId38" Type="http://schemas.openxmlformats.org/officeDocument/2006/relationships/image" Target="media/image5.png"/><Relationship Id="rId46"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hyperlink" Target="https://en.wikipedia.org/wiki/Combustion" TargetMode="External"/><Relationship Id="rId20" Type="http://schemas.openxmlformats.org/officeDocument/2006/relationships/hyperlink" Target="https://fa.wikipedia.org/wiki/%D9%85%D8%A7%DB%8C%D8%B9" TargetMode="External"/><Relationship Id="rId29" Type="http://schemas.openxmlformats.org/officeDocument/2006/relationships/hyperlink" Target="https://en.wikipedia.org/wiki/Kerosene" TargetMode="External"/><Relationship Id="rId41"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en.wikipedia.org/wiki/Viscosity" TargetMode="External"/><Relationship Id="rId11" Type="http://schemas.openxmlformats.org/officeDocument/2006/relationships/hyperlink" Target="https://en.wikipedia.org/wiki/Lubricant" TargetMode="External"/><Relationship Id="rId24" Type="http://schemas.openxmlformats.org/officeDocument/2006/relationships/hyperlink" Target="https://fa.wikipedia.org/wiki/%D9%86%D9%81%D8%AA" TargetMode="External"/><Relationship Id="rId32" Type="http://schemas.openxmlformats.org/officeDocument/2006/relationships/hyperlink" Target="https://en.wikipedia.org/wiki/Viscosity"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hyperlink" Target="https://en.wikipedia.org/wiki/Temperature" TargetMode="External"/><Relationship Id="rId23" Type="http://schemas.openxmlformats.org/officeDocument/2006/relationships/hyperlink" Target="https://fa.wikipedia.org/wiki/%D9%BE%D8%A7%D8%B1%D8%A7%D9%81%DB%8C%D9%86" TargetMode="External"/><Relationship Id="rId28" Type="http://schemas.openxmlformats.org/officeDocument/2006/relationships/hyperlink" Target="https://en.wikipedia.org/wiki/Crude_oil" TargetMode="External"/><Relationship Id="rId36" Type="http://schemas.openxmlformats.org/officeDocument/2006/relationships/image" Target="media/image3.png"/><Relationship Id="rId49" Type="http://schemas.openxmlformats.org/officeDocument/2006/relationships/theme" Target="theme/theme1.xml"/><Relationship Id="rId10" Type="http://schemas.openxmlformats.org/officeDocument/2006/relationships/hyperlink" Target="https://en.wikipedia.org/wiki/Fluid_bearing" TargetMode="External"/><Relationship Id="rId19" Type="http://schemas.openxmlformats.org/officeDocument/2006/relationships/hyperlink" Target="https://en.wikipedia.org/wiki/Flash_point" TargetMode="External"/><Relationship Id="rId31" Type="http://schemas.openxmlformats.org/officeDocument/2006/relationships/hyperlink" Target="https://en.wikipedia.org/wiki/Paraffin_wax" TargetMode="External"/><Relationship Id="rId44"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en.wikipedia.org/wiki/Friction" TargetMode="External"/><Relationship Id="rId14" Type="http://schemas.openxmlformats.org/officeDocument/2006/relationships/hyperlink" Target="https://en.wikipedia.org/wiki/Volatility_(chemistry)" TargetMode="External"/><Relationship Id="rId22" Type="http://schemas.openxmlformats.org/officeDocument/2006/relationships/hyperlink" Target="https://fa.wikipedia.org/wiki/%D8%B1%D9%88%D8%BA%D9%86" TargetMode="External"/><Relationship Id="rId27" Type="http://schemas.openxmlformats.org/officeDocument/2006/relationships/hyperlink" Target="https://en.wikipedia.org/wiki/Temperature" TargetMode="External"/><Relationship Id="rId30" Type="http://schemas.openxmlformats.org/officeDocument/2006/relationships/hyperlink" Target="https://en.wikipedia.org/wiki/Kerogen"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hyperlink" Target="https://en.wikipedia.org/wiki/Lubrica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1</Pages>
  <Words>1390</Words>
  <Characters>7924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behnam</dc:creator>
  <cp:keywords/>
  <dc:description/>
  <cp:lastModifiedBy>behnam</cp:lastModifiedBy>
  <cp:revision>3</cp:revision>
  <dcterms:created xsi:type="dcterms:W3CDTF">2018-09-03T07:44:00Z</dcterms:created>
  <dcterms:modified xsi:type="dcterms:W3CDTF">2018-09-03T10:19:00Z</dcterms:modified>
</cp:coreProperties>
</file>