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183" w:rsidRDefault="00214183" w:rsidP="00214183">
      <w:pPr>
        <w:pStyle w:val="NormalWeb"/>
        <w:bidi/>
        <w:jc w:val="center"/>
      </w:pPr>
      <w:r>
        <w:rPr>
          <w:rFonts w:ascii="Traditional Arabic" w:hAnsi="Traditional Arabic" w:cs="Traditional Arabic" w:hint="cs"/>
          <w:b/>
          <w:bCs/>
          <w:color w:val="552B2B"/>
          <w:sz w:val="32"/>
          <w:szCs w:val="32"/>
          <w:rtl/>
        </w:rPr>
        <w:t>دايرة المعارف قرآن كريم    ج‏2    250</w:t>
      </w:r>
    </w:p>
    <w:p w:rsidR="00214183" w:rsidRDefault="00214183" w:rsidP="00214183">
      <w:pPr>
        <w:pStyle w:val="NormalWeb"/>
        <w:bidi/>
        <w:rPr>
          <w:rFonts w:hint="cs"/>
          <w:rtl/>
        </w:rPr>
      </w:pPr>
      <w:r>
        <w:rPr>
          <w:rFonts w:ascii="Traditional Arabic" w:hAnsi="Traditional Arabic" w:cs="Traditional Arabic" w:hint="cs"/>
          <w:color w:val="465BFF"/>
          <w:sz w:val="30"/>
          <w:szCs w:val="30"/>
          <w:rtl/>
        </w:rPr>
        <w:t>وعده يارى و پيروزى در جنگ:</w:t>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از برخى آيات استفاده مى‏شود كه خداوند، پيش از احُد به مسلمانان وعده يارى و پيروزى در اين جنگ را داده بود</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و تا آن زمان كه مؤمنان از دستورهاى پيامبر صلى الله عليه و آله پيروى مى‏كردند، به وعده‏</w:t>
      </w:r>
    </w:p>
    <w:p w:rsidR="00214183" w:rsidRDefault="00214183" w:rsidP="0021418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دايرة المعارف قرآن كريم، ج‏2، ص: 251</w:t>
      </w:r>
    </w:p>
    <w:p w:rsidR="00214183" w:rsidRDefault="00214183" w:rsidP="0021418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خويش وفا كرد؛</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امّا سستى و نافرمانى مسلمانان باعث تغيير سرنوشت جنگ شد:</w:t>
      </w:r>
      <w:r>
        <w:rPr>
          <w:rFonts w:ascii="Traditional Arabic" w:hAnsi="Traditional Arabic" w:cs="Traditional Arabic" w:hint="cs"/>
          <w:color w:val="006A0F"/>
          <w:sz w:val="30"/>
          <w:szCs w:val="30"/>
          <w:rtl/>
        </w:rPr>
        <w:t xml:space="preserve"> «وَ لَقَدْ صَدَقَكُمُ اللَّهُ وَعْدَهُ إِذْ تَحُسُّونَهُمْ بِإِذْنِهِ حَتَّى إِذا فَشِلْتُمْ وَ تَنازَعْتُمْ فِي الْأَمْرِ وَ عَصَيْتُمْ مِنْ بَعْدِ ما أَراكُمْ ما تُحِبُّونَ مِنْكُمْ مَنْ يُرِيدُ الدُّنْيا وَ مِنْكُمْ مَنْ يُرِيدُ الْآخِرَةَ ...»</w:t>
      </w:r>
      <w:r>
        <w:rPr>
          <w:rFonts w:ascii="Traditional Arabic" w:hAnsi="Traditional Arabic" w:cs="Traditional Arabic" w:hint="cs"/>
          <w:color w:val="000000"/>
          <w:sz w:val="30"/>
          <w:szCs w:val="30"/>
          <w:rtl/>
        </w:rPr>
        <w:t>. (آل‏عمران/ 3، 152) به گفته مشهور مفسّران، خداوند تا آن هنگام كه پاسداران كوه عينين سنگرشان را رها نكردند، به وعده‏اش عمل كرد.</w:t>
      </w:r>
      <w:r>
        <w:rPr>
          <w:rStyle w:val="FootnoteReference"/>
          <w:rFonts w:ascii="Traditional Arabic" w:hAnsi="Traditional Arabic" w:cs="Traditional Arabic"/>
          <w:color w:val="000000"/>
          <w:sz w:val="30"/>
          <w:szCs w:val="30"/>
          <w:rtl/>
        </w:rPr>
        <w:footnoteReference w:id="3"/>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درباره اين‏كه خداوند در كجا به مسلمانان چنين وعده‏اى داده چند نظر است:</w:t>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1. از آيات متعدّدى استفاده مى‏شود كه خداوند، مؤمنان و كسانى كه او را يارى كنند، يارى مى‏كند. (محمد/ 47، 7؛ حج/ 22، 40 و ...)</w:t>
      </w:r>
      <w:r>
        <w:rPr>
          <w:rStyle w:val="FootnoteReference"/>
          <w:rFonts w:ascii="Traditional Arabic" w:hAnsi="Traditional Arabic" w:cs="Traditional Arabic"/>
          <w:color w:val="000000"/>
          <w:sz w:val="30"/>
          <w:szCs w:val="30"/>
          <w:rtl/>
        </w:rPr>
        <w:footnoteReference w:id="4"/>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2. رسول خدا پيش از جنگ، به مسلمانان وعده پيروزى داده بود و وعده رسول خدا، همان وعده الهى است.</w:t>
      </w:r>
      <w:r>
        <w:rPr>
          <w:rStyle w:val="FootnoteReference"/>
          <w:rFonts w:ascii="Traditional Arabic" w:hAnsi="Traditional Arabic" w:cs="Traditional Arabic"/>
          <w:color w:val="000000"/>
          <w:sz w:val="30"/>
          <w:szCs w:val="30"/>
          <w:rtl/>
        </w:rPr>
        <w:footnoteReference w:id="5"/>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3. خداوند پيش از جنگ با نازل كردن آياتى بر پيامبرش، به مؤمنان در اين جنگ وعده يارى داده بود. برحسب بعضى نقل‏ها، آن هنگام كه مؤمنان مشركان را مشاهده كردند، به پيامبر گفتند:</w:t>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آيا خداوند ما را در اين جنگ يارى نمى‏كند آن‏طور كه در غزوه بدر كمك كرد؟ حضرت فرمود</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w:t>
      </w:r>
    </w:p>
    <w:p w:rsidR="00214183" w:rsidRDefault="00214183" w:rsidP="00214183">
      <w:pPr>
        <w:pStyle w:val="NormalWeb"/>
        <w:bidi/>
        <w:rPr>
          <w:rFonts w:hint="cs"/>
          <w:rtl/>
        </w:rPr>
      </w:pPr>
      <w:r>
        <w:rPr>
          <w:rFonts w:ascii="Traditional Arabic" w:hAnsi="Traditional Arabic" w:cs="Traditional Arabic" w:hint="cs"/>
          <w:color w:val="006A0F"/>
          <w:sz w:val="30"/>
          <w:szCs w:val="30"/>
          <w:rtl/>
        </w:rPr>
        <w:t>«... أَ لَنْ يَكْفِيَكُمْ أَنْ يُمِدَّكُمْ رَبُّكُمْ بِثَلاثَةِ آلافٍ مِنَ الْمَلائِكَةِ مُنْزَلِينَ»</w:t>
      </w:r>
      <w:r>
        <w:rPr>
          <w:rFonts w:ascii="Traditional Arabic" w:hAnsi="Traditional Arabic" w:cs="Traditional Arabic" w:hint="cs"/>
          <w:color w:val="000000"/>
          <w:sz w:val="30"/>
          <w:szCs w:val="30"/>
          <w:rtl/>
        </w:rPr>
        <w:t xml:space="preserve"> (آل‏عمران/ 3، 124)، و همچنين در آيه 125 خداوند به مؤمنان وعده يارى و كمك داده است به شرط آن‏كه تقوا و صبر را پيشه كنند</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«بَلى‏ إِنْ تَصْبِرُوا وَ تَتَّقُوا وَ </w:t>
      </w:r>
      <w:r>
        <w:rPr>
          <w:rFonts w:ascii="Traditional Arabic" w:hAnsi="Traditional Arabic" w:cs="Traditional Arabic" w:hint="cs"/>
          <w:color w:val="006A0F"/>
          <w:sz w:val="30"/>
          <w:szCs w:val="30"/>
          <w:rtl/>
        </w:rPr>
        <w:lastRenderedPageBreak/>
        <w:t>يَأْتُوكُمْ مِنْ فَوْرِهِمْ هذا يُمْدِدْكُمْ رَبُّكُمْ بِخَمْسَةِ آلافٍ مِنَ الْمَلائِكَةِ ...».</w:t>
      </w:r>
      <w:r>
        <w:rPr>
          <w:rFonts w:ascii="Traditional Arabic" w:hAnsi="Traditional Arabic" w:cs="Traditional Arabic" w:hint="cs"/>
          <w:color w:val="000000"/>
          <w:sz w:val="30"/>
          <w:szCs w:val="30"/>
          <w:rtl/>
        </w:rPr>
        <w:t xml:space="preserve"> به گفته بعضى از مفسّران وعده يارى خداوند به وسيله ملائكه در اين آيات به غزوه احُد مربوط است؛ امّا از آن‏جا كه مسلمانان از جنگ گريختند، خداوند به آن‏ها كمك نكرد.</w:t>
      </w:r>
      <w:r>
        <w:rPr>
          <w:rStyle w:val="FootnoteReference"/>
          <w:rFonts w:ascii="Traditional Arabic" w:hAnsi="Traditional Arabic" w:cs="Traditional Arabic"/>
          <w:color w:val="000000"/>
          <w:sz w:val="30"/>
          <w:szCs w:val="30"/>
          <w:rtl/>
        </w:rPr>
        <w:footnoteReference w:id="8"/>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برحسب نقلى ديگر فقط وعده يارى به وسيله 5000 فرشته در آيه 125 آل‏عمران به احد مربوط است و وعده يارى به وسيله 3000 فرشته به غزوه بدر ارتباط دارد.</w:t>
      </w:r>
      <w:r>
        <w:rPr>
          <w:rStyle w:val="FootnoteReference"/>
          <w:rFonts w:ascii="Traditional Arabic" w:hAnsi="Traditional Arabic" w:cs="Traditional Arabic"/>
          <w:color w:val="000000"/>
          <w:sz w:val="30"/>
          <w:szCs w:val="30"/>
          <w:rtl/>
        </w:rPr>
        <w:footnoteReference w:id="9"/>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گرچه وعده يارى مؤمنان به وسيله ملائكه در احد از آيات استفاده مى‏شود، به گفته ابن‏عبّاس، ملائكه* جنگ نكردند، مگر در غزوه بدر.</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 xml:space="preserve"> از طرفى ديگر، عدم نزول ملائكه در احد مورد اتّفاق مفسّران نيست. به گفته مجاهد، ملائكه در احد نازل شدند؛ امّا نجنگيدند.</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 xml:space="preserve"> در اين خصوص، به‏</w:t>
      </w:r>
    </w:p>
    <w:p w:rsidR="00214183" w:rsidRDefault="00214183" w:rsidP="0021418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دايرة المعارف قرآن كريم، ج‏2، ص: 252</w:t>
      </w:r>
    </w:p>
    <w:p w:rsidR="00214183" w:rsidRDefault="00214183" w:rsidP="0021418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رواياتى هم استشهاد شده است.</w:t>
      </w:r>
      <w:r>
        <w:rPr>
          <w:rStyle w:val="FootnoteReference"/>
          <w:rFonts w:ascii="Traditional Arabic" w:hAnsi="Traditional Arabic" w:cs="Traditional Arabic"/>
          <w:color w:val="000000"/>
          <w:sz w:val="30"/>
          <w:szCs w:val="30"/>
          <w:rtl/>
        </w:rPr>
        <w:footnoteReference w:id="12"/>
      </w:r>
    </w:p>
    <w:p w:rsidR="00214183" w:rsidRDefault="00214183">
      <w:pPr>
        <w:rPr>
          <w:rtl/>
        </w:rPr>
      </w:pPr>
    </w:p>
    <w:p w:rsidR="00214183" w:rsidRDefault="00214183" w:rsidP="00214183">
      <w:pPr>
        <w:pStyle w:val="NormalWeb"/>
        <w:bidi/>
        <w:jc w:val="center"/>
      </w:pPr>
      <w:r>
        <w:rPr>
          <w:rFonts w:ascii="Traditional Arabic" w:hAnsi="Traditional Arabic" w:cs="Traditional Arabic" w:hint="cs"/>
          <w:b/>
          <w:bCs/>
          <w:color w:val="552B2B"/>
          <w:sz w:val="32"/>
          <w:szCs w:val="32"/>
          <w:rtl/>
        </w:rPr>
        <w:t>دايرة المعارف قرآن كريم    ج‏8    536</w:t>
      </w:r>
    </w:p>
    <w:p w:rsidR="00214183" w:rsidRDefault="00214183" w:rsidP="00214183">
      <w:pPr>
        <w:pStyle w:val="NormalWeb"/>
        <w:bidi/>
        <w:rPr>
          <w:rFonts w:hint="cs"/>
          <w:rtl/>
        </w:rPr>
      </w:pPr>
      <w:r>
        <w:rPr>
          <w:rFonts w:ascii="Traditional Arabic" w:hAnsi="Traditional Arabic" w:cs="Traditional Arabic" w:hint="cs"/>
          <w:color w:val="465BFF"/>
          <w:sz w:val="30"/>
          <w:szCs w:val="30"/>
          <w:rtl/>
        </w:rPr>
        <w:t>د. وعده پيروزى اسلام بر اديان:</w:t>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وعده پيروزى اسلام بر همه اديان به روشنى در قرآن آمده است:</w:t>
      </w:r>
      <w:r>
        <w:rPr>
          <w:rFonts w:ascii="Traditional Arabic" w:hAnsi="Traditional Arabic" w:cs="Traditional Arabic" w:hint="cs"/>
          <w:color w:val="006A0F"/>
          <w:sz w:val="30"/>
          <w:szCs w:val="30"/>
          <w:rtl/>
        </w:rPr>
        <w:t xml:space="preserve"> «هُوَ الَّذِي أَرْسَلَ رَسُولَهُ بِالْهُدى‏ وَ دِينِ الْحَقِّ لِيُظْهِرَهُ عَلَى الدِّينِ كُلِّهِ ...».</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 xml:space="preserve"> (توبه/ 9، 33؛ صفّ/ 61، 9؛ فتح/ 48، 28؛ نيز ر. ك:</w:t>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نور/ 24، 55) در برخى روايات نيز آيه 33 توبه/ 9 درباره قائم آل محمد، حضرت مهدى معرفى شده است.</w:t>
      </w:r>
      <w:r>
        <w:rPr>
          <w:rStyle w:val="FootnoteReference"/>
          <w:rFonts w:ascii="Traditional Arabic" w:hAnsi="Traditional Arabic" w:cs="Traditional Arabic"/>
          <w:color w:val="000000"/>
          <w:sz w:val="30"/>
          <w:szCs w:val="30"/>
          <w:rtl/>
        </w:rPr>
        <w:footnoteReference w:id="14"/>
      </w:r>
      <w:r>
        <w:rPr>
          <w:rFonts w:ascii="Traditional Arabic" w:hAnsi="Traditional Arabic" w:cs="Traditional Arabic" w:hint="cs"/>
          <w:color w:val="000000"/>
          <w:sz w:val="30"/>
          <w:szCs w:val="30"/>
          <w:rtl/>
        </w:rPr>
        <w:t xml:space="preserve"> علامه طباطبايى معتقد است كه جامعه آرمانى ترسيم شده در آيه 55 نور/ 24 جز بر مجتمع موعود دوران ظهور منطبق نيست.</w:t>
      </w:r>
      <w:r>
        <w:rPr>
          <w:rStyle w:val="FootnoteReference"/>
          <w:rFonts w:ascii="Traditional Arabic" w:hAnsi="Traditional Arabic" w:cs="Traditional Arabic"/>
          <w:color w:val="000000"/>
          <w:sz w:val="30"/>
          <w:szCs w:val="30"/>
          <w:rtl/>
        </w:rPr>
        <w:footnoteReference w:id="15"/>
      </w:r>
      <w:r>
        <w:rPr>
          <w:rFonts w:ascii="Traditional Arabic" w:hAnsi="Traditional Arabic" w:cs="Traditional Arabic" w:hint="cs"/>
          <w:color w:val="000000"/>
          <w:sz w:val="30"/>
          <w:szCs w:val="30"/>
          <w:rtl/>
        </w:rPr>
        <w:t xml:space="preserve"> اين آيه در رواياتى فراوان درباره ظهور حضرت مهدى معرفى شده است.</w:t>
      </w:r>
      <w:r>
        <w:rPr>
          <w:rStyle w:val="FootnoteReference"/>
          <w:rFonts w:ascii="Traditional Arabic" w:hAnsi="Traditional Arabic" w:cs="Traditional Arabic"/>
          <w:color w:val="000000"/>
          <w:sz w:val="30"/>
          <w:szCs w:val="30"/>
          <w:rtl/>
        </w:rPr>
        <w:footnoteReference w:id="16"/>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lastRenderedPageBreak/>
        <w:t>وعده پيروزى اسلام بر ساير اديان در نامه رسول اكرم صلى الله عليه و آله به حاكم مسيحى يمامه‏</w:t>
      </w:r>
      <w:r>
        <w:rPr>
          <w:rStyle w:val="FootnoteReference"/>
          <w:rFonts w:ascii="Traditional Arabic" w:hAnsi="Traditional Arabic" w:cs="Traditional Arabic"/>
          <w:color w:val="000000"/>
          <w:sz w:val="30"/>
          <w:szCs w:val="30"/>
          <w:rtl/>
        </w:rPr>
        <w:footnoteReference w:id="17"/>
      </w:r>
      <w:r>
        <w:rPr>
          <w:rFonts w:ascii="Traditional Arabic" w:hAnsi="Traditional Arabic" w:cs="Traditional Arabic" w:hint="cs"/>
          <w:color w:val="000000"/>
          <w:sz w:val="30"/>
          <w:szCs w:val="30"/>
          <w:rtl/>
        </w:rPr>
        <w:t xml:space="preserve"> و در سخنان على عليه السلام در مناظره با عالمى يهودى‏</w:t>
      </w:r>
      <w:r>
        <w:rPr>
          <w:rStyle w:val="FootnoteReference"/>
          <w:rFonts w:ascii="Traditional Arabic" w:hAnsi="Traditional Arabic" w:cs="Traditional Arabic"/>
          <w:color w:val="000000"/>
          <w:sz w:val="30"/>
          <w:szCs w:val="30"/>
          <w:rtl/>
        </w:rPr>
        <w:footnoteReference w:id="18"/>
      </w:r>
      <w:r>
        <w:rPr>
          <w:rFonts w:ascii="Traditional Arabic" w:hAnsi="Traditional Arabic" w:cs="Traditional Arabic" w:hint="cs"/>
          <w:color w:val="000000"/>
          <w:sz w:val="30"/>
          <w:szCs w:val="30"/>
          <w:rtl/>
        </w:rPr>
        <w:t xml:space="preserve"> و در پاسخ مشاوره عُمَر درباره جنگ با ايران‏</w:t>
      </w:r>
      <w:r>
        <w:rPr>
          <w:rStyle w:val="FootnoteReference"/>
          <w:rFonts w:ascii="Traditional Arabic" w:hAnsi="Traditional Arabic" w:cs="Traditional Arabic"/>
          <w:color w:val="000000"/>
          <w:sz w:val="30"/>
          <w:szCs w:val="30"/>
          <w:rtl/>
        </w:rPr>
        <w:footnoteReference w:id="19"/>
      </w:r>
      <w:r>
        <w:rPr>
          <w:rFonts w:ascii="Traditional Arabic" w:hAnsi="Traditional Arabic" w:cs="Traditional Arabic" w:hint="cs"/>
          <w:color w:val="000000"/>
          <w:sz w:val="30"/>
          <w:szCs w:val="30"/>
          <w:rtl/>
        </w:rPr>
        <w:t xml:space="preserve"> نيز آمده است.</w:t>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برخى، احتمال داده‏اند كه ضمير در</w:t>
      </w:r>
      <w:r>
        <w:rPr>
          <w:rFonts w:ascii="Traditional Arabic" w:hAnsi="Traditional Arabic" w:cs="Traditional Arabic" w:hint="cs"/>
          <w:color w:val="006A0F"/>
          <w:sz w:val="30"/>
          <w:szCs w:val="30"/>
          <w:rtl/>
        </w:rPr>
        <w:t xml:space="preserve"> «لِيُظْهِرَهُ»</w:t>
      </w:r>
      <w:r>
        <w:rPr>
          <w:rFonts w:ascii="Traditional Arabic" w:hAnsi="Traditional Arabic" w:cs="Traditional Arabic" w:hint="cs"/>
          <w:color w:val="000000"/>
          <w:sz w:val="30"/>
          <w:szCs w:val="30"/>
          <w:rtl/>
        </w:rPr>
        <w:t xml:space="preserve"> به پيامبر اكرم صلى الله عليه و آله بازمى‏گردد.</w:t>
      </w:r>
      <w:r>
        <w:rPr>
          <w:rStyle w:val="FootnoteReference"/>
          <w:rFonts w:ascii="Traditional Arabic" w:hAnsi="Traditional Arabic" w:cs="Traditional Arabic"/>
          <w:color w:val="000000"/>
          <w:sz w:val="30"/>
          <w:szCs w:val="30"/>
          <w:rtl/>
        </w:rPr>
        <w:footnoteReference w:id="20"/>
      </w:r>
      <w:r>
        <w:rPr>
          <w:rFonts w:ascii="Traditional Arabic" w:hAnsi="Traditional Arabic" w:cs="Traditional Arabic" w:hint="cs"/>
          <w:color w:val="000000"/>
          <w:sz w:val="30"/>
          <w:szCs w:val="30"/>
          <w:rtl/>
        </w:rPr>
        <w:t xml:space="preserve"> در اين صورت آيه بدين معناست كه خدا، علم همه اديان را به رسول خود بياموزد. اين معنا را شيخ طوسى از ابن عباس نقل كرده است.</w:t>
      </w:r>
      <w:r>
        <w:rPr>
          <w:rStyle w:val="FootnoteReference"/>
          <w:rFonts w:ascii="Traditional Arabic" w:hAnsi="Traditional Arabic" w:cs="Traditional Arabic"/>
          <w:color w:val="000000"/>
          <w:sz w:val="30"/>
          <w:szCs w:val="30"/>
          <w:rtl/>
        </w:rPr>
        <w:footnoteReference w:id="21"/>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پاسخ اين است كه اولًا چنان‏كه خود ايشان گفته «غلبه» ظاهرترين معناى متبادر به ذهن از فعل‏</w:t>
      </w:r>
      <w:r>
        <w:rPr>
          <w:rFonts w:ascii="Traditional Arabic" w:hAnsi="Traditional Arabic" w:cs="Traditional Arabic" w:hint="cs"/>
          <w:color w:val="006A0F"/>
          <w:sz w:val="30"/>
          <w:szCs w:val="30"/>
          <w:rtl/>
        </w:rPr>
        <w:t xml:space="preserve"> «لِيُظْهِرَهُ»</w:t>
      </w:r>
      <w:r>
        <w:rPr>
          <w:rFonts w:ascii="Traditional Arabic" w:hAnsi="Traditional Arabic" w:cs="Traditional Arabic" w:hint="cs"/>
          <w:color w:val="000000"/>
          <w:sz w:val="30"/>
          <w:szCs w:val="30"/>
          <w:rtl/>
        </w:rPr>
        <w:t xml:space="preserve"> است.</w:t>
      </w:r>
      <w:r>
        <w:rPr>
          <w:rStyle w:val="FootnoteReference"/>
          <w:rFonts w:ascii="Traditional Arabic" w:hAnsi="Traditional Arabic" w:cs="Traditional Arabic"/>
          <w:color w:val="000000"/>
          <w:sz w:val="30"/>
          <w:szCs w:val="30"/>
          <w:rtl/>
        </w:rPr>
        <w:footnoteReference w:id="22"/>
      </w:r>
      <w:r>
        <w:rPr>
          <w:rFonts w:ascii="Traditional Arabic" w:hAnsi="Traditional Arabic" w:cs="Traditional Arabic" w:hint="cs"/>
          <w:color w:val="000000"/>
          <w:sz w:val="30"/>
          <w:szCs w:val="30"/>
          <w:rtl/>
        </w:rPr>
        <w:t xml:space="preserve"> ثانياً معناى علم و آگاهى براى‏</w:t>
      </w:r>
      <w:r>
        <w:rPr>
          <w:rFonts w:ascii="Traditional Arabic" w:hAnsi="Traditional Arabic" w:cs="Traditional Arabic" w:hint="cs"/>
          <w:color w:val="006A0F"/>
          <w:sz w:val="30"/>
          <w:szCs w:val="30"/>
          <w:rtl/>
        </w:rPr>
        <w:t xml:space="preserve"> «لِيُظْهِرَهُ»</w:t>
      </w:r>
      <w:r>
        <w:rPr>
          <w:rFonts w:ascii="Traditional Arabic" w:hAnsi="Traditional Arabic" w:cs="Traditional Arabic" w:hint="cs"/>
          <w:color w:val="000000"/>
          <w:sz w:val="30"/>
          <w:szCs w:val="30"/>
          <w:rtl/>
        </w:rPr>
        <w:t xml:space="preserve"> با ذيل آيه 33 توبه/ 9:</w:t>
      </w:r>
      <w:r>
        <w:rPr>
          <w:rFonts w:ascii="Traditional Arabic" w:hAnsi="Traditional Arabic" w:cs="Traditional Arabic" w:hint="cs"/>
          <w:color w:val="006A0F"/>
          <w:sz w:val="30"/>
          <w:szCs w:val="30"/>
          <w:rtl/>
        </w:rPr>
        <w:t xml:space="preserve"> «وَ لَوْ كَرِهَ الْمُشْرِكُونَ»</w:t>
      </w:r>
      <w:r>
        <w:rPr>
          <w:rFonts w:ascii="Traditional Arabic" w:hAnsi="Traditional Arabic" w:cs="Traditional Arabic" w:hint="cs"/>
          <w:color w:val="000000"/>
          <w:sz w:val="30"/>
          <w:szCs w:val="30"/>
          <w:rtl/>
        </w:rPr>
        <w:t xml:space="preserve"> سازگار نيست، زيرا آنچه مورد خشم مشركان و كافران است، پيروزى اسلام بر ديگر اديان است نه آگاهى پيامبر اكرم صلى الله عليه و آله از اديان. ثالثاً حتى اگر ضمير</w:t>
      </w:r>
      <w:r>
        <w:rPr>
          <w:rFonts w:ascii="Traditional Arabic" w:hAnsi="Traditional Arabic" w:cs="Traditional Arabic" w:hint="cs"/>
          <w:color w:val="006A0F"/>
          <w:sz w:val="30"/>
          <w:szCs w:val="30"/>
          <w:rtl/>
        </w:rPr>
        <w:t xml:space="preserve"> «لِيُظْهِرَهُ»</w:t>
      </w:r>
      <w:r>
        <w:rPr>
          <w:rFonts w:ascii="Traditional Arabic" w:hAnsi="Traditional Arabic" w:cs="Traditional Arabic" w:hint="cs"/>
          <w:color w:val="000000"/>
          <w:sz w:val="30"/>
          <w:szCs w:val="30"/>
          <w:rtl/>
        </w:rPr>
        <w:t xml:space="preserve"> به رسول خدا صلى الله عليه و آله باز گردد مى‏توان معناى تفوق اسلام بر ديگر اديان را از آن استفاده كرد، زيرا مى‏تواند بدين معنا باشد كه «خداوند رسول خود را بر همه پيروان اديان غالب گردانَد»، چنان كه زمخشرى آن را برگزيده است.</w:t>
      </w:r>
      <w:r>
        <w:rPr>
          <w:rStyle w:val="FootnoteReference"/>
          <w:rFonts w:ascii="Traditional Arabic" w:hAnsi="Traditional Arabic" w:cs="Traditional Arabic"/>
          <w:color w:val="000000"/>
          <w:sz w:val="30"/>
          <w:szCs w:val="30"/>
          <w:rtl/>
        </w:rPr>
        <w:footnoteReference w:id="23"/>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چنانچه اديان در عرض هم از حقانيت برخوردار باشند، غلبه يك دين بر ديگر اديان هيچ توجيهى ندارد.</w:t>
      </w:r>
    </w:p>
    <w:p w:rsidR="00214183" w:rsidRDefault="00214183" w:rsidP="00214183">
      <w:pPr>
        <w:pStyle w:val="NormalWeb"/>
        <w:bidi/>
        <w:rPr>
          <w:rFonts w:hint="cs"/>
          <w:rtl/>
        </w:rPr>
      </w:pPr>
      <w:r>
        <w:rPr>
          <w:rFonts w:ascii="Traditional Arabic" w:hAnsi="Traditional Arabic" w:cs="Traditional Arabic" w:hint="cs"/>
          <w:color w:val="000000"/>
          <w:sz w:val="30"/>
          <w:szCs w:val="30"/>
          <w:rtl/>
        </w:rPr>
        <w:t>منسوخ شمردن آيين‏هاى اهل كتاب و ابطال‏</w:t>
      </w:r>
    </w:p>
    <w:p w:rsidR="00214183" w:rsidRDefault="00214183" w:rsidP="0021418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دايرة المعارف قرآن كريم، ج‏8، ص: 537</w:t>
      </w:r>
    </w:p>
    <w:p w:rsidR="00214183" w:rsidRDefault="00214183" w:rsidP="0021418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پلوراليسم دينى به صورت روشن در روايات اهل بيت عليهم السلام آمده است.</w:t>
      </w:r>
      <w:r>
        <w:rPr>
          <w:rStyle w:val="FootnoteReference"/>
          <w:rFonts w:ascii="Traditional Arabic" w:hAnsi="Traditional Arabic" w:cs="Traditional Arabic"/>
          <w:color w:val="000000"/>
          <w:sz w:val="30"/>
          <w:szCs w:val="30"/>
          <w:rtl/>
        </w:rPr>
        <w:footnoteReference w:id="24"/>
      </w:r>
      <w:r>
        <w:rPr>
          <w:rStyle w:val="FootnoteReference"/>
          <w:rFonts w:ascii="Traditional Arabic" w:hAnsi="Traditional Arabic" w:cs="Traditional Arabic"/>
          <w:color w:val="000000"/>
          <w:sz w:val="30"/>
          <w:szCs w:val="30"/>
          <w:rtl/>
        </w:rPr>
        <w:footnoteReference w:id="25"/>
      </w:r>
    </w:p>
    <w:p w:rsidR="00214183" w:rsidRDefault="00214183">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C07" w:rsidRDefault="00147C07" w:rsidP="00214183">
      <w:pPr>
        <w:spacing w:after="0" w:line="240" w:lineRule="auto"/>
      </w:pPr>
      <w:r>
        <w:separator/>
      </w:r>
    </w:p>
  </w:endnote>
  <w:endnote w:type="continuationSeparator" w:id="0">
    <w:p w:rsidR="00147C07" w:rsidRDefault="00147C07" w:rsidP="00214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C07" w:rsidRDefault="00147C07" w:rsidP="00214183">
      <w:pPr>
        <w:spacing w:after="0" w:line="240" w:lineRule="auto"/>
      </w:pPr>
      <w:r>
        <w:separator/>
      </w:r>
    </w:p>
  </w:footnote>
  <w:footnote w:type="continuationSeparator" w:id="0">
    <w:p w:rsidR="00147C07" w:rsidRDefault="00147C07" w:rsidP="00214183">
      <w:pPr>
        <w:spacing w:after="0" w:line="240" w:lineRule="auto"/>
      </w:pPr>
      <w:r>
        <w:continuationSeparator/>
      </w:r>
    </w:p>
  </w:footnote>
  <w:footnote w:id="1">
    <w:p w:rsidR="00214183" w:rsidRDefault="00214183" w:rsidP="00214183">
      <w:pPr>
        <w:pStyle w:val="FootnoteText"/>
        <w:rPr>
          <w:rFonts w:hint="cs"/>
          <w:rtl/>
        </w:rPr>
      </w:pPr>
      <w:r>
        <w:rPr>
          <w:rStyle w:val="FootnoteReference"/>
        </w:rPr>
        <w:footnoteRef/>
      </w:r>
      <w:r>
        <w:rPr>
          <w:rtl/>
        </w:rPr>
        <w:t xml:space="preserve"> </w:t>
      </w:r>
      <w:r>
        <w:rPr>
          <w:rtl/>
          <w:lang w:bidi="fa-IR"/>
        </w:rPr>
        <w:t>( 10). تفسير ابن كثير، ج 1، ص 420</w:t>
      </w:r>
    </w:p>
  </w:footnote>
  <w:footnote w:id="2">
    <w:p w:rsidR="00214183" w:rsidRDefault="00214183" w:rsidP="00214183">
      <w:pPr>
        <w:pStyle w:val="FootnoteText"/>
        <w:rPr>
          <w:rtl/>
        </w:rPr>
      </w:pPr>
      <w:r>
        <w:rPr>
          <w:rStyle w:val="FootnoteReference"/>
        </w:rPr>
        <w:footnoteRef/>
      </w:r>
      <w:r>
        <w:rPr>
          <w:rtl/>
        </w:rPr>
        <w:t xml:space="preserve"> </w:t>
      </w:r>
      <w:r>
        <w:rPr>
          <w:rtl/>
          <w:lang w:bidi="fa-IR"/>
        </w:rPr>
        <w:t>( 1). جامع البيان، مج 3، ج 4، ص 169</w:t>
      </w:r>
    </w:p>
  </w:footnote>
  <w:footnote w:id="3">
    <w:p w:rsidR="00214183" w:rsidRDefault="00214183" w:rsidP="00214183">
      <w:pPr>
        <w:pStyle w:val="FootnoteText"/>
        <w:rPr>
          <w:rtl/>
        </w:rPr>
      </w:pPr>
      <w:r>
        <w:rPr>
          <w:rStyle w:val="FootnoteReference"/>
        </w:rPr>
        <w:footnoteRef/>
      </w:r>
      <w:r>
        <w:rPr>
          <w:rtl/>
        </w:rPr>
        <w:t xml:space="preserve"> </w:t>
      </w:r>
      <w:r>
        <w:rPr>
          <w:rtl/>
          <w:lang w:bidi="fa-IR"/>
        </w:rPr>
        <w:t>( 2). جوامع‏الجامع، ج 1، ص 211؛ جامع‏البيان، مج 3، ج 4، ص 169 و 171</w:t>
      </w:r>
    </w:p>
  </w:footnote>
  <w:footnote w:id="4">
    <w:p w:rsidR="00214183" w:rsidRDefault="00214183" w:rsidP="00214183">
      <w:pPr>
        <w:pStyle w:val="FootnoteText"/>
        <w:rPr>
          <w:rtl/>
        </w:rPr>
      </w:pPr>
      <w:r>
        <w:rPr>
          <w:rStyle w:val="FootnoteReference"/>
        </w:rPr>
        <w:footnoteRef/>
      </w:r>
      <w:r>
        <w:rPr>
          <w:rtl/>
        </w:rPr>
        <w:t xml:space="preserve"> </w:t>
      </w:r>
      <w:r>
        <w:rPr>
          <w:rtl/>
          <w:lang w:bidi="fa-IR"/>
        </w:rPr>
        <w:t>( 3). المنار، ج 4، ص 181</w:t>
      </w:r>
    </w:p>
  </w:footnote>
  <w:footnote w:id="5">
    <w:p w:rsidR="00214183" w:rsidRDefault="00214183" w:rsidP="00214183">
      <w:pPr>
        <w:pStyle w:val="FootnoteText"/>
        <w:rPr>
          <w:rtl/>
        </w:rPr>
      </w:pPr>
      <w:r>
        <w:rPr>
          <w:rStyle w:val="FootnoteReference"/>
        </w:rPr>
        <w:footnoteRef/>
      </w:r>
      <w:r>
        <w:rPr>
          <w:rtl/>
        </w:rPr>
        <w:t xml:space="preserve"> </w:t>
      </w:r>
      <w:r>
        <w:rPr>
          <w:rtl/>
          <w:lang w:bidi="fa-IR"/>
        </w:rPr>
        <w:t>( 4). مجمع‏البيان، ج 2، ص 858؛ جامع‏البيان، مج 3، ج 4، ص 166؛ تاريخ طبرى، ج 2، ص 60</w:t>
      </w:r>
    </w:p>
  </w:footnote>
  <w:footnote w:id="6">
    <w:p w:rsidR="00214183" w:rsidRDefault="00214183" w:rsidP="00214183">
      <w:pPr>
        <w:pStyle w:val="FootnoteText"/>
        <w:rPr>
          <w:rtl/>
        </w:rPr>
      </w:pPr>
      <w:r>
        <w:rPr>
          <w:rStyle w:val="FootnoteReference"/>
        </w:rPr>
        <w:footnoteRef/>
      </w:r>
      <w:r>
        <w:rPr>
          <w:rtl/>
        </w:rPr>
        <w:t xml:space="preserve"> </w:t>
      </w:r>
      <w:r>
        <w:rPr>
          <w:rtl/>
          <w:lang w:bidi="fa-IR"/>
        </w:rPr>
        <w:t>( 5). جامع‏البيان، مج 3، ج 4، ص 105</w:t>
      </w:r>
    </w:p>
  </w:footnote>
  <w:footnote w:id="7">
    <w:p w:rsidR="00214183" w:rsidRDefault="00214183" w:rsidP="00214183">
      <w:pPr>
        <w:pStyle w:val="FootnoteText"/>
        <w:rPr>
          <w:rtl/>
        </w:rPr>
      </w:pPr>
      <w:r>
        <w:rPr>
          <w:rStyle w:val="FootnoteReference"/>
        </w:rPr>
        <w:footnoteRef/>
      </w:r>
      <w:r>
        <w:rPr>
          <w:rtl/>
        </w:rPr>
        <w:t xml:space="preserve"> </w:t>
      </w:r>
      <w:r>
        <w:rPr>
          <w:rtl/>
          <w:lang w:bidi="fa-IR"/>
        </w:rPr>
        <w:t>( 6). مجمع البيان، ج 2، ص 858</w:t>
      </w:r>
    </w:p>
  </w:footnote>
  <w:footnote w:id="8">
    <w:p w:rsidR="00214183" w:rsidRDefault="00214183" w:rsidP="00214183">
      <w:pPr>
        <w:pStyle w:val="FootnoteText"/>
        <w:rPr>
          <w:rtl/>
        </w:rPr>
      </w:pPr>
      <w:r>
        <w:rPr>
          <w:rStyle w:val="FootnoteReference"/>
        </w:rPr>
        <w:footnoteRef/>
      </w:r>
      <w:r>
        <w:rPr>
          <w:rtl/>
        </w:rPr>
        <w:t xml:space="preserve"> </w:t>
      </w:r>
      <w:r>
        <w:rPr>
          <w:rtl/>
          <w:lang w:bidi="fa-IR"/>
        </w:rPr>
        <w:t>( 7). جامع‏البيان، مج 3، ج 4، ص 105</w:t>
      </w:r>
    </w:p>
  </w:footnote>
  <w:footnote w:id="9">
    <w:p w:rsidR="00214183" w:rsidRDefault="00214183" w:rsidP="00214183">
      <w:pPr>
        <w:pStyle w:val="FootnoteText"/>
        <w:rPr>
          <w:rtl/>
        </w:rPr>
      </w:pPr>
      <w:r>
        <w:rPr>
          <w:rStyle w:val="FootnoteReference"/>
        </w:rPr>
        <w:footnoteRef/>
      </w:r>
      <w:r>
        <w:rPr>
          <w:rtl/>
        </w:rPr>
        <w:t xml:space="preserve"> </w:t>
      </w:r>
      <w:r>
        <w:rPr>
          <w:rtl/>
          <w:lang w:bidi="fa-IR"/>
        </w:rPr>
        <w:t>( 8). التبيان، ج 2، ص 579</w:t>
      </w:r>
    </w:p>
  </w:footnote>
  <w:footnote w:id="10">
    <w:p w:rsidR="00214183" w:rsidRDefault="00214183" w:rsidP="00214183">
      <w:pPr>
        <w:pStyle w:val="FootnoteText"/>
        <w:rPr>
          <w:rtl/>
        </w:rPr>
      </w:pPr>
      <w:r>
        <w:rPr>
          <w:rStyle w:val="FootnoteReference"/>
        </w:rPr>
        <w:footnoteRef/>
      </w:r>
      <w:r>
        <w:rPr>
          <w:rtl/>
        </w:rPr>
        <w:t xml:space="preserve"> </w:t>
      </w:r>
      <w:r>
        <w:rPr>
          <w:rtl/>
          <w:lang w:bidi="fa-IR"/>
        </w:rPr>
        <w:t>( 9). مجمع البيان، ج 2، ص 828</w:t>
      </w:r>
    </w:p>
  </w:footnote>
  <w:footnote w:id="11">
    <w:p w:rsidR="00214183" w:rsidRDefault="00214183" w:rsidP="00214183">
      <w:pPr>
        <w:pStyle w:val="FootnoteText"/>
        <w:rPr>
          <w:rtl/>
        </w:rPr>
      </w:pPr>
      <w:r>
        <w:rPr>
          <w:rStyle w:val="FootnoteReference"/>
        </w:rPr>
        <w:footnoteRef/>
      </w:r>
      <w:r>
        <w:rPr>
          <w:rtl/>
        </w:rPr>
        <w:t xml:space="preserve"> </w:t>
      </w:r>
      <w:r>
        <w:rPr>
          <w:rtl/>
          <w:lang w:bidi="fa-IR"/>
        </w:rPr>
        <w:t>( 10). المغازى، ج 1، ص 235؛ البحرالمحيط، ج 3، ص 331</w:t>
      </w:r>
    </w:p>
  </w:footnote>
  <w:footnote w:id="12">
    <w:p w:rsidR="00214183" w:rsidRDefault="00214183" w:rsidP="00214183">
      <w:pPr>
        <w:pStyle w:val="FootnoteText"/>
        <w:rPr>
          <w:rtl/>
        </w:rPr>
      </w:pPr>
      <w:r>
        <w:rPr>
          <w:rStyle w:val="FootnoteReference"/>
        </w:rPr>
        <w:footnoteRef/>
      </w:r>
      <w:r>
        <w:rPr>
          <w:rtl/>
        </w:rPr>
        <w:t xml:space="preserve"> </w:t>
      </w:r>
      <w:r>
        <w:rPr>
          <w:rtl/>
          <w:lang w:bidi="fa-IR"/>
        </w:rPr>
        <w:t>مركز فرهنگ و معارف قرآن، دايرة المعارف قرآن كريم، 10جلد، بوستان كتاب قم (انتشارات دفتر تبليغات اسلامى حوزه علميه قم) - ايران - قم، چاپ: 3، 1382 ه.ش.</w:t>
      </w:r>
    </w:p>
  </w:footnote>
  <w:footnote w:id="13">
    <w:p w:rsidR="00214183" w:rsidRDefault="00214183" w:rsidP="00214183">
      <w:pPr>
        <w:pStyle w:val="FootnoteText"/>
        <w:rPr>
          <w:rFonts w:hint="cs"/>
          <w:rtl/>
        </w:rPr>
      </w:pPr>
      <w:r>
        <w:rPr>
          <w:rStyle w:val="FootnoteReference"/>
        </w:rPr>
        <w:footnoteRef/>
      </w:r>
      <w:r>
        <w:rPr>
          <w:rtl/>
        </w:rPr>
        <w:t xml:space="preserve"> </w:t>
      </w:r>
      <w:r>
        <w:rPr>
          <w:rtl/>
          <w:lang w:bidi="fa-IR"/>
        </w:rPr>
        <w:t>( 2). الميزان، ج 9، ص 247</w:t>
      </w:r>
    </w:p>
  </w:footnote>
  <w:footnote w:id="14">
    <w:p w:rsidR="00214183" w:rsidRDefault="00214183" w:rsidP="00214183">
      <w:pPr>
        <w:pStyle w:val="FootnoteText"/>
        <w:rPr>
          <w:rtl/>
        </w:rPr>
      </w:pPr>
      <w:r>
        <w:rPr>
          <w:rStyle w:val="FootnoteReference"/>
        </w:rPr>
        <w:footnoteRef/>
      </w:r>
      <w:r>
        <w:rPr>
          <w:rtl/>
        </w:rPr>
        <w:t xml:space="preserve"> </w:t>
      </w:r>
      <w:r>
        <w:rPr>
          <w:rtl/>
          <w:lang w:bidi="fa-IR"/>
        </w:rPr>
        <w:t>( 3). تفسير قمى، ج 1، ص 289؛ البرهان، ج 2، ص 770؛ بحارالانوار، ج 24، ص 336</w:t>
      </w:r>
    </w:p>
  </w:footnote>
  <w:footnote w:id="15">
    <w:p w:rsidR="00214183" w:rsidRDefault="00214183" w:rsidP="00214183">
      <w:pPr>
        <w:pStyle w:val="FootnoteText"/>
        <w:rPr>
          <w:rtl/>
        </w:rPr>
      </w:pPr>
      <w:r>
        <w:rPr>
          <w:rStyle w:val="FootnoteReference"/>
        </w:rPr>
        <w:footnoteRef/>
      </w:r>
      <w:r>
        <w:rPr>
          <w:rtl/>
        </w:rPr>
        <w:t xml:space="preserve"> </w:t>
      </w:r>
      <w:r>
        <w:rPr>
          <w:rtl/>
          <w:lang w:bidi="fa-IR"/>
        </w:rPr>
        <w:t>( 4). الميزان، ج 15، ص 155-/ 156</w:t>
      </w:r>
    </w:p>
  </w:footnote>
  <w:footnote w:id="16">
    <w:p w:rsidR="00214183" w:rsidRDefault="00214183" w:rsidP="00214183">
      <w:pPr>
        <w:pStyle w:val="FootnoteText"/>
        <w:rPr>
          <w:rtl/>
        </w:rPr>
      </w:pPr>
      <w:r>
        <w:rPr>
          <w:rStyle w:val="FootnoteReference"/>
        </w:rPr>
        <w:footnoteRef/>
      </w:r>
      <w:r>
        <w:rPr>
          <w:rtl/>
        </w:rPr>
        <w:t xml:space="preserve"> </w:t>
      </w:r>
      <w:r>
        <w:rPr>
          <w:rtl/>
          <w:lang w:bidi="fa-IR"/>
        </w:rPr>
        <w:t>( 5). البرهان، ج 4، ص 89؛ الصافى، ج 3، ص 444؛ الميزان، ج 15، ص 160</w:t>
      </w:r>
    </w:p>
  </w:footnote>
  <w:footnote w:id="17">
    <w:p w:rsidR="00214183" w:rsidRDefault="00214183" w:rsidP="00214183">
      <w:pPr>
        <w:pStyle w:val="FootnoteText"/>
        <w:rPr>
          <w:rtl/>
        </w:rPr>
      </w:pPr>
      <w:r>
        <w:rPr>
          <w:rStyle w:val="FootnoteReference"/>
        </w:rPr>
        <w:footnoteRef/>
      </w:r>
      <w:r>
        <w:rPr>
          <w:rtl/>
        </w:rPr>
        <w:t xml:space="preserve"> </w:t>
      </w:r>
      <w:r>
        <w:rPr>
          <w:rtl/>
          <w:lang w:bidi="fa-IR"/>
        </w:rPr>
        <w:t>( 6). مكاتيب الرسول، ج 2، ص 343</w:t>
      </w:r>
    </w:p>
  </w:footnote>
  <w:footnote w:id="18">
    <w:p w:rsidR="00214183" w:rsidRDefault="00214183" w:rsidP="00214183">
      <w:pPr>
        <w:pStyle w:val="FootnoteText"/>
        <w:rPr>
          <w:rtl/>
        </w:rPr>
      </w:pPr>
      <w:r>
        <w:rPr>
          <w:rStyle w:val="FootnoteReference"/>
        </w:rPr>
        <w:footnoteRef/>
      </w:r>
      <w:r>
        <w:rPr>
          <w:rtl/>
        </w:rPr>
        <w:t xml:space="preserve"> </w:t>
      </w:r>
      <w:r>
        <w:rPr>
          <w:rtl/>
          <w:lang w:bidi="fa-IR"/>
        </w:rPr>
        <w:t>( 7). بحارالانوار، ج 10، ص 44؛ ج 16، ص 347، بااندكى تفاوت</w:t>
      </w:r>
    </w:p>
  </w:footnote>
  <w:footnote w:id="19">
    <w:p w:rsidR="00214183" w:rsidRDefault="00214183" w:rsidP="00214183">
      <w:pPr>
        <w:pStyle w:val="FootnoteText"/>
        <w:rPr>
          <w:rtl/>
        </w:rPr>
      </w:pPr>
      <w:r>
        <w:rPr>
          <w:rStyle w:val="FootnoteReference"/>
        </w:rPr>
        <w:footnoteRef/>
      </w:r>
      <w:r>
        <w:rPr>
          <w:rtl/>
        </w:rPr>
        <w:t xml:space="preserve"> </w:t>
      </w:r>
      <w:r>
        <w:rPr>
          <w:rtl/>
          <w:lang w:bidi="fa-IR"/>
        </w:rPr>
        <w:t>( 8). نهج البلاغه، خطبه 146. نيز ر. ك: الميزان، ج 15، ص 160، با اندكى تفاوت</w:t>
      </w:r>
    </w:p>
  </w:footnote>
  <w:footnote w:id="20">
    <w:p w:rsidR="00214183" w:rsidRDefault="00214183" w:rsidP="00214183">
      <w:pPr>
        <w:pStyle w:val="FootnoteText"/>
        <w:rPr>
          <w:rtl/>
        </w:rPr>
      </w:pPr>
      <w:r>
        <w:rPr>
          <w:rStyle w:val="FootnoteReference"/>
        </w:rPr>
        <w:footnoteRef/>
      </w:r>
      <w:r>
        <w:rPr>
          <w:rtl/>
        </w:rPr>
        <w:t xml:space="preserve"> </w:t>
      </w:r>
      <w:r>
        <w:rPr>
          <w:rtl/>
          <w:lang w:bidi="fa-IR"/>
        </w:rPr>
        <w:t>( 9). قرآن پژوهى، ص 546</w:t>
      </w:r>
    </w:p>
  </w:footnote>
  <w:footnote w:id="21">
    <w:p w:rsidR="00214183" w:rsidRDefault="00214183" w:rsidP="00214183">
      <w:pPr>
        <w:pStyle w:val="FootnoteText"/>
        <w:rPr>
          <w:rtl/>
        </w:rPr>
      </w:pPr>
      <w:r>
        <w:rPr>
          <w:rStyle w:val="FootnoteReference"/>
        </w:rPr>
        <w:footnoteRef/>
      </w:r>
      <w:r>
        <w:rPr>
          <w:rtl/>
        </w:rPr>
        <w:t xml:space="preserve"> </w:t>
      </w:r>
      <w:r>
        <w:rPr>
          <w:rtl/>
          <w:lang w:bidi="fa-IR"/>
        </w:rPr>
        <w:t>( 10). التبيان، ج 5، ص 209</w:t>
      </w:r>
    </w:p>
  </w:footnote>
  <w:footnote w:id="22">
    <w:p w:rsidR="00214183" w:rsidRDefault="00214183" w:rsidP="00214183">
      <w:pPr>
        <w:pStyle w:val="FootnoteText"/>
        <w:rPr>
          <w:rtl/>
        </w:rPr>
      </w:pPr>
      <w:r>
        <w:rPr>
          <w:rStyle w:val="FootnoteReference"/>
        </w:rPr>
        <w:footnoteRef/>
      </w:r>
      <w:r>
        <w:rPr>
          <w:rtl/>
        </w:rPr>
        <w:t xml:space="preserve"> </w:t>
      </w:r>
      <w:r>
        <w:rPr>
          <w:rtl/>
          <w:lang w:bidi="fa-IR"/>
        </w:rPr>
        <w:t>( 11). قرآن پژوهى، ص 546</w:t>
      </w:r>
    </w:p>
  </w:footnote>
  <w:footnote w:id="23">
    <w:p w:rsidR="00214183" w:rsidRDefault="00214183" w:rsidP="00214183">
      <w:pPr>
        <w:pStyle w:val="FootnoteText"/>
        <w:rPr>
          <w:rtl/>
        </w:rPr>
      </w:pPr>
      <w:r>
        <w:rPr>
          <w:rStyle w:val="FootnoteReference"/>
        </w:rPr>
        <w:footnoteRef/>
      </w:r>
      <w:r>
        <w:rPr>
          <w:rtl/>
        </w:rPr>
        <w:t xml:space="preserve"> </w:t>
      </w:r>
      <w:r>
        <w:rPr>
          <w:rtl/>
          <w:lang w:bidi="fa-IR"/>
        </w:rPr>
        <w:t>( 12). الكشاف، ج 2، ص 265</w:t>
      </w:r>
    </w:p>
  </w:footnote>
  <w:footnote w:id="24">
    <w:p w:rsidR="00214183" w:rsidRDefault="00214183" w:rsidP="00214183">
      <w:pPr>
        <w:pStyle w:val="FootnoteText"/>
        <w:rPr>
          <w:rtl/>
        </w:rPr>
      </w:pPr>
      <w:r>
        <w:rPr>
          <w:rStyle w:val="FootnoteReference"/>
        </w:rPr>
        <w:footnoteRef/>
      </w:r>
      <w:r>
        <w:rPr>
          <w:rtl/>
        </w:rPr>
        <w:t xml:space="preserve"> </w:t>
      </w:r>
      <w:r>
        <w:rPr>
          <w:rtl/>
          <w:lang w:bidi="fa-IR"/>
        </w:rPr>
        <w:t>( 1). براى نمونه ر. ك: الكافى، ج 5، ص 351؛ الاستبصار، ج 4، ص 254؛ وسائل الشيعه، ج 28، ص 325؛ كنزالعمال، ج 1، ص 90؛ السنن الكبرى، ج 12، ص 396؛ مجمع الزوائد، ج 6، ص 261؛ المحلى بالآثار، ج 11، ص 188</w:t>
      </w:r>
    </w:p>
  </w:footnote>
  <w:footnote w:id="25">
    <w:p w:rsidR="00214183" w:rsidRDefault="00214183" w:rsidP="00214183">
      <w:pPr>
        <w:pStyle w:val="FootnoteText"/>
        <w:rPr>
          <w:rtl/>
        </w:rPr>
      </w:pPr>
      <w:r>
        <w:rPr>
          <w:rStyle w:val="FootnoteReference"/>
        </w:rPr>
        <w:footnoteRef/>
      </w:r>
      <w:r>
        <w:rPr>
          <w:rtl/>
        </w:rPr>
        <w:t xml:space="preserve"> </w:t>
      </w:r>
      <w:r>
        <w:rPr>
          <w:rtl/>
          <w:lang w:bidi="fa-IR"/>
        </w:rPr>
        <w:t>مركز فرهنگ و معارف قرآن، دايرة المعارف قرآن كريم، 10جلد، بوستان كتاب قم (انتشارات دفتر تبليغات اسلامى حوزه علميه قم) - ايران - قم، چاپ: 3، 1382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183"/>
    <w:rsid w:val="00147C07"/>
    <w:rsid w:val="00214183"/>
    <w:rsid w:val="00474D82"/>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14183"/>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214183"/>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214183"/>
    <w:rPr>
      <w:vertAlign w:val="superscript"/>
    </w:rPr>
  </w:style>
  <w:style w:type="paragraph" w:styleId="NormalWeb">
    <w:name w:val="Normal (Web)"/>
    <w:basedOn w:val="Normal"/>
    <w:uiPriority w:val="99"/>
    <w:semiHidden/>
    <w:unhideWhenUsed/>
    <w:rsid w:val="00214183"/>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14183"/>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214183"/>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214183"/>
    <w:rPr>
      <w:vertAlign w:val="superscript"/>
    </w:rPr>
  </w:style>
  <w:style w:type="paragraph" w:styleId="NormalWeb">
    <w:name w:val="Normal (Web)"/>
    <w:basedOn w:val="Normal"/>
    <w:uiPriority w:val="99"/>
    <w:semiHidden/>
    <w:unhideWhenUsed/>
    <w:rsid w:val="0021418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705318">
      <w:bodyDiv w:val="1"/>
      <w:marLeft w:val="0"/>
      <w:marRight w:val="0"/>
      <w:marTop w:val="0"/>
      <w:marBottom w:val="0"/>
      <w:divBdr>
        <w:top w:val="none" w:sz="0" w:space="0" w:color="auto"/>
        <w:left w:val="none" w:sz="0" w:space="0" w:color="auto"/>
        <w:bottom w:val="none" w:sz="0" w:space="0" w:color="auto"/>
        <w:right w:val="none" w:sz="0" w:space="0" w:color="auto"/>
      </w:divBdr>
    </w:div>
    <w:div w:id="198504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612</Words>
  <Characters>3494</Characters>
  <Application>Microsoft Office Word</Application>
  <DocSecurity>0</DocSecurity>
  <Lines>29</Lines>
  <Paragraphs>8</Paragraphs>
  <ScaleCrop>false</ScaleCrop>
  <Company>MRT www.Win2Farsi.com</Company>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2018-10-12T09:07:00Z</dcterms:created>
  <dcterms:modified xsi:type="dcterms:W3CDTF">2018-10-12T09:08:00Z</dcterms:modified>
</cp:coreProperties>
</file>