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DE" w:rsidRDefault="000571DE" w:rsidP="000571DE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الصحيفة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السجادية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ص62</w:t>
      </w:r>
    </w:p>
    <w:p w:rsidR="000571DE" w:rsidRDefault="000571DE" w:rsidP="000571DE">
      <w:pPr>
        <w:pStyle w:val="a6"/>
        <w:bidi/>
        <w:rPr>
          <w:rFonts w:hint="cs"/>
          <w:rtl/>
        </w:rPr>
      </w:pP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(11) (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كَانَ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دُعَائِهِ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عَلَيْهِ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السَّلَامُ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بِخَوَاتِمِ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الْخَيْرِ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:)</w:t>
      </w:r>
    </w:p>
    <w:bookmarkEnd w:id="0"/>
    <w:p w:rsidR="000571DE" w:rsidRDefault="000571DE" w:rsidP="000571DE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(1)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ذِكْرُهُ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شَرَفٌ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لِلذَّاكِرِينَ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شُكْرُهُ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فَوْزٌ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لِلشَّاكِرِينَ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طَاعَتُهُ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نَجَاةٌ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لِلْمُطِيعِينَ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صَلِّ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مُحَمَّدٍ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آلِهِ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اشْغَلْ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قُلُوبَنَا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بِذِكْرِكَ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ذِكْرٍ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أَلْسِنَتَنَا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بِشُكْرِكَ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شُكْرٍ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جَوَارِحَنَا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بِطَاعَتِكَ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طَاعَةٍ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. (2)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فَإِنْ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قَدَّرْتَ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فَرَاغاً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شُغْلٍ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فَاجْعَلْهُ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فَرَاغَ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سَلَامَةٍ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تُدْرِكُنَا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فِيهِ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تَبِعَةٌ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تَلْحَقُنَا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فِيهِ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سَأْمَةٌ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حَتَّى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يَنْصَرِفَ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عَنَّا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كُتَّابُ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السَّيِّئَاتِ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بِصَحِيفَةٍ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خَالِيَةٍ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ذِكْرِ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سَيِّئَاتِنَا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يَتَوَلَّى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كُتَّابُ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الْحَسَنَاتِ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عَنَّا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مَسْرُورِينَ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كَتَبُوا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حَسَنَاتِنَا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(3)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إِذَا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انْقَضَتْ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أَيَّامُ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حَيَاتِنَا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تَصَرَّمَتْ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مُدَدُ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أَعْمَارِنَا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اسْتَحْضَرَتْنَا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دَعْوَتُكَ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الَّتِي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بُدَّ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مِنْهَا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مِنْ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إِجَابَتِهَا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فَصَلِّ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مُحَمَّدٍ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آلِهِ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اجْعَلْ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خِتَامَ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تُحْصِي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عَلَيْنَا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كَتَبَةُ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أَعْمَالِنَا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تَوْبَةً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مَقْبُولَةً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تُوقِفُنَا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بَعْدَهَا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ذَنْبٍ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اجْتَرَحْنَاهُ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مَعْصِيَةٍ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اقْتَرَفْنَاهَا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. (4)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تَكْشِفْ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عَنَّا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سِتْراً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سَتَرْتَهُ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عَلَى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رُءُوسِ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الْأَشْهَادِ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يَوْمَ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تَبْلُو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أَخْبَارَ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عِبَادِكَ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. (5)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إِنَّكَ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رَحِيمٌ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بِمَنْ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دَعَاكَ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مُسْتَجِيبٌ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لِمَنْ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نَادَاكَ</w:t>
      </w:r>
      <w:proofErr w:type="spellEnd"/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.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0571DE" w:rsidRDefault="000571DE">
      <w:pPr>
        <w:rPr>
          <w:rtl/>
        </w:rPr>
      </w:pPr>
    </w:p>
    <w:p w:rsidR="00296BF0" w:rsidRDefault="00296BF0" w:rsidP="00296BF0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الصحيفة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السجادية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/ ترجمه و شرح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فيض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الإسلام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ص90</w:t>
      </w:r>
    </w:p>
    <w:p w:rsidR="00296BF0" w:rsidRDefault="00296BF0" w:rsidP="00296BF0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دعاى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يازدهم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دعاهاى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امام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است در عاقبت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بخيريها</w:t>
      </w:r>
      <w:proofErr w:type="spellEnd"/>
    </w:p>
    <w:p w:rsidR="00296BF0" w:rsidRDefault="00296BF0" w:rsidP="00296BF0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(حضرت صادق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فرموده: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اشقياء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«مرد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پاكدامن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ناروا بجا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ميآورد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»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بطوريكه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ميگويند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شباهت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پس از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نيكبختى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سعداء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«مرد نا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نيكبختان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ميآورد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»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بطوريكه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ميگويند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شباهت دارد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بلكه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پس از آن بد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محقّقا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سعيد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گردانيده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 چند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دنيا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بجا نماند جز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باندازه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بچّه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شتر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دوشيدن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مادر،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نيكبختى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بنابر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سائر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پيدا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قضاء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مشروط است دعا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عاقبت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بخيرى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مهمّترين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درخواستها است):-] [1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(بزبان و دل و اندام مانند قرآن خواندن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انديشه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مخلوقات و نماز بجا آوردن)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296BF0" w:rsidRDefault="00296BF0" w:rsidP="00296BF0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الصحيفة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السجادية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و شرح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فيض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الإسلام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ص: 91</w:t>
      </w:r>
    </w:p>
    <w:p w:rsidR="00296BF0" w:rsidRDefault="00296BF0" w:rsidP="00296BF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شرافت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بزرگى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(نه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منّتى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داشته باشند)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سپاسگزارى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سپاسگزاران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(بر نعمتها) است،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فرمانبردارى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فرمانبرداران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رهائى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(از بد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دنيا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آخرت) است، بر محمّد و آل او درود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فرست،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از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زبانهامان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بسپاس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از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سپاسى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اندامهامان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بطاعت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از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طاعتى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آر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فناء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مينامند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باينمقام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عالم وجود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جز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نمى‏بيند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نظرش او است، نه جز او، چون از عالم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كثرت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تجاوز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را پشت سر انداخته و از آن فراموش نموده،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وحدت وجود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همه متّحد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محال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است)-] [2 و اگر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فراغتى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مقدّر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باشى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 آن را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سلامتى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(از آفات) قرار 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(از انجام اوامر تو چشم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نپوشيده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گناهى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را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نيابد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خستگى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نياورد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فرشتگان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نويسنده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بديها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نامه‏اى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گناهانمان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نويسندگان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نيكيهاى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ما بر اثر آنچه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نيكيهامان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نوشته‏اند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شادمان برگردند-] [3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هنگاميكه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روزهاى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سپرى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 و اوقات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عمرمان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دعوت تو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آن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چاره‏اى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را احضار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بر محمّد و آل او درود فرست،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نويسندگان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كردارهامان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(روز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)</w:t>
      </w:r>
    </w:p>
    <w:p w:rsidR="00296BF0" w:rsidRDefault="00296BF0" w:rsidP="00296BF0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الصحيفة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السجادية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و شرح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فيض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الإسلام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ص: 92</w:t>
      </w:r>
    </w:p>
    <w:p w:rsidR="00296BF0" w:rsidRDefault="00296BF0" w:rsidP="00296BF0">
      <w:pPr>
        <w:rPr>
          <w:rFonts w:ascii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ميشمارند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قرار 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 از آن ما را بر گناه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بجا آورده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نافرمانى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ندارى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توبيخ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سرزنشمان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فرمائى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)-] [4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روزيكه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بندگانت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آزمايش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بحسابشان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مينمائى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 در برابر گواهان (فرشتگان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انبياء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ائمّه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پرده‏اى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(گناهان را)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بآن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پوشانده‏اى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برمدار (ناگفته نماند: قبول توبه از گناه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رسيدن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معاينه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برزخى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است، و پس از مشاهده آن اجماع بر آنست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نخواهد شد،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چنانكه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شريف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«س 4 ى 18»: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لَيْسَتِ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التَّوْبَةُ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لِلَّذِينَ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يَعْمَلُونَ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السَّيِّئاتِ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حَتَّى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إِذا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حَضَرَ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أَحَدَهُمُ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الْمَوْتُ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قالَ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إِنِّي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تُبْتُ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الْآنَ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الَّذِينَ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يَمُوتُونَ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كُفَّارٌ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أُولئِكَ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أَعْتَدْنا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لَهُمْ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عَذاباً</w:t>
      </w:r>
      <w:proofErr w:type="spellEnd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أَلِيماً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«و توبه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گناهان بجا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ميآورند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برسد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توبه نمودم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نه توبه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حال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كفر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ميميرند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آنانكه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عذاب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دردناك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ساخته‏ايم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» ابن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وهب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حضرت صادق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هر گاه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نصوح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توبه‏اى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تصميم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نشكستن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داشته باشد»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او را دوست داشته گناهان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ميپوشاند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گفتم: چگونه گناهان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ميپوشاند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؟ فرمود: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گناهانى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فرشته بر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مينويسند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ميبرد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باعضاى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و قطعات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گناهانش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بر او پنهان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نمايند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هنگامى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پيشگاه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ميآيد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بگناهى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گناهان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دهد)-]</w:t>
      </w:r>
    </w:p>
    <w:p w:rsidR="00296BF0" w:rsidRDefault="00296BF0" w:rsidP="00296BF0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الصحيفة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السجادية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و شرح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فيض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الإسلام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ص: 93</w:t>
      </w:r>
    </w:p>
    <w:p w:rsidR="00296BF0" w:rsidRDefault="00296BF0" w:rsidP="00296BF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[5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توئيكه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بخواند مهربان و بهر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 را آواز دهد (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بخواهد،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درخواستش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را) روا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(حضرت صادق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فرمود: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ده 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اللَّهُ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باو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لبّيك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حاجتك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البتّه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بخواسته‏ات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حاجتت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؟).-]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296BF0" w:rsidRDefault="00296BF0" w:rsidP="00296BF0">
      <w:pPr>
        <w:rPr>
          <w:rtl/>
        </w:rPr>
      </w:pPr>
    </w:p>
    <w:p w:rsidR="00296BF0" w:rsidRDefault="00296BF0" w:rsidP="00296BF0"/>
    <w:p w:rsidR="00C020D8" w:rsidRDefault="00C020D8">
      <w:pPr>
        <w:rPr>
          <w:rFonts w:hint="cs"/>
        </w:rPr>
      </w:pP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F85" w:rsidRDefault="002F2F85" w:rsidP="000571DE">
      <w:pPr>
        <w:spacing w:after="0" w:line="240" w:lineRule="auto"/>
      </w:pPr>
      <w:r>
        <w:separator/>
      </w:r>
    </w:p>
  </w:endnote>
  <w:endnote w:type="continuationSeparator" w:id="0">
    <w:p w:rsidR="002F2F85" w:rsidRDefault="002F2F85" w:rsidP="0005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F85" w:rsidRDefault="002F2F85" w:rsidP="000571DE">
      <w:pPr>
        <w:spacing w:after="0" w:line="240" w:lineRule="auto"/>
      </w:pPr>
      <w:r>
        <w:separator/>
      </w:r>
    </w:p>
  </w:footnote>
  <w:footnote w:type="continuationSeparator" w:id="0">
    <w:p w:rsidR="002F2F85" w:rsidRDefault="002F2F85" w:rsidP="000571DE">
      <w:pPr>
        <w:spacing w:after="0" w:line="240" w:lineRule="auto"/>
      </w:pPr>
      <w:r>
        <w:continuationSeparator/>
      </w:r>
    </w:p>
  </w:footnote>
  <w:footnote w:id="1">
    <w:p w:rsidR="000571DE" w:rsidRDefault="000571DE" w:rsidP="000571DE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 بن </w:t>
      </w:r>
      <w:proofErr w:type="spellStart"/>
      <w:r>
        <w:rPr>
          <w:rtl/>
          <w:lang w:bidi="fa-IR"/>
        </w:rPr>
        <w:t>الحسين</w:t>
      </w:r>
      <w:proofErr w:type="spellEnd"/>
      <w:r>
        <w:rPr>
          <w:rtl/>
          <w:lang w:bidi="fa-IR"/>
        </w:rPr>
        <w:t xml:space="preserve">، امام چهارم </w:t>
      </w:r>
      <w:proofErr w:type="spellStart"/>
      <w:r>
        <w:rPr>
          <w:rtl/>
          <w:lang w:bidi="fa-IR"/>
        </w:rPr>
        <w:t>عليه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السلام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الصحيفة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السجادية</w:t>
      </w:r>
      <w:proofErr w:type="spellEnd"/>
      <w:r>
        <w:rPr>
          <w:rtl/>
          <w:lang w:bidi="fa-IR"/>
        </w:rPr>
        <w:t xml:space="preserve"> - قم، چاپ: اول، 1376ش.</w:t>
      </w:r>
    </w:p>
  </w:footnote>
  <w:footnote w:id="2">
    <w:p w:rsidR="00296BF0" w:rsidRDefault="00296BF0" w:rsidP="00296BF0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 بن </w:t>
      </w:r>
      <w:proofErr w:type="spellStart"/>
      <w:r>
        <w:rPr>
          <w:rtl/>
          <w:lang w:bidi="fa-IR"/>
        </w:rPr>
        <w:t>الحسين</w:t>
      </w:r>
      <w:proofErr w:type="spellEnd"/>
      <w:r>
        <w:rPr>
          <w:rtl/>
          <w:lang w:bidi="fa-IR"/>
        </w:rPr>
        <w:t xml:space="preserve">، امام چهارم </w:t>
      </w:r>
      <w:proofErr w:type="spellStart"/>
      <w:r>
        <w:rPr>
          <w:rtl/>
          <w:lang w:bidi="fa-IR"/>
        </w:rPr>
        <w:t>عليه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السلام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الصحيفة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السجادية</w:t>
      </w:r>
      <w:proofErr w:type="spellEnd"/>
      <w:r>
        <w:rPr>
          <w:rtl/>
          <w:lang w:bidi="fa-IR"/>
        </w:rPr>
        <w:t xml:space="preserve"> / ترجمه و شرح </w:t>
      </w:r>
      <w:proofErr w:type="spellStart"/>
      <w:r>
        <w:rPr>
          <w:rtl/>
          <w:lang w:bidi="fa-IR"/>
        </w:rPr>
        <w:t>فيض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الإسلام</w:t>
      </w:r>
      <w:proofErr w:type="spellEnd"/>
      <w:r>
        <w:rPr>
          <w:rtl/>
          <w:lang w:bidi="fa-IR"/>
        </w:rPr>
        <w:t xml:space="preserve"> - تهران، چاپ: دوم، 1376ش.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DE"/>
    <w:rsid w:val="000571DE"/>
    <w:rsid w:val="00296BF0"/>
    <w:rsid w:val="002F2F85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71DE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0571DE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0571DE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0571D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571DE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0571DE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0571DE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0571D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2018-07-12T06:30:00Z</dcterms:created>
  <dcterms:modified xsi:type="dcterms:W3CDTF">2018-07-12T09:42:00Z</dcterms:modified>
</cp:coreProperties>
</file>