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2E" w:rsidRDefault="0076262E" w:rsidP="0076262E">
      <w:pPr>
        <w:pStyle w:val="NormalWeb"/>
        <w:bidi/>
        <w:jc w:val="center"/>
        <w:rPr>
          <w:lang w:bidi="fa-IR"/>
        </w:rPr>
      </w:pPr>
      <w:bookmarkStart w:id="0" w:name="_GoBack"/>
      <w:bookmarkEnd w:id="0"/>
      <w:r>
        <w:rPr>
          <w:rFonts w:ascii="Traditional Arabic" w:cs="Traditional Arabic" w:hint="cs"/>
          <w:b/>
          <w:bCs/>
          <w:color w:val="552B2B"/>
          <w:sz w:val="32"/>
          <w:szCs w:val="32"/>
          <w:rtl/>
          <w:lang w:bidi="fa-IR"/>
        </w:rPr>
        <w:t>تاج العروس ؛ ج‏5 ؛ ص317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[وعد]: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>وعَدَه‏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الأَمْرَ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مُتَعدِّياً بنفسه،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وعَدَه‏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بِهِ.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مُتَعدِّياً بالباءِ و هو رأْيُ كَثيرٍ، و قيل: الباءُ زائدةٌ و مَنَع جَماعَةٌ دُخُولَها مع الثلاثيِّ، قالوا: و إِنما تكون مع الرُّباعيّ،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يَعِدُ عِدَةً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بالكسر، و هو القياس في كُلِّ مِثَالٍ، و رُبَّمَا فُتِح كسَعَةٍ،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وَعْداً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هو من المصادر المَجْموعة، قالوا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الوُعُودُ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حكاها ابنُ جِنِّي، و قوله تعالى: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مَتى‏ هذَا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الْوَعْدُ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إِنْ كُنْتُمْ صادِقِينَ*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1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أَي إِنجاز هذا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الوَعْد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أَرُونَا ذلك. و في التهذيب: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الوَعْدُ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العِدَةُ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يَكُونَانِ مَصْدَراً و اسْماً، فأَمَّا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العِدَةُ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فتُجْمَع‏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عِدَات‏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الوَعْد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لا يُجْمَع، و قال الفراءُ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وَعَدْتُ‏ عِدَةً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يَحذِفون الهاءَ إِذا أَضَافُوا، و أَنشد:</w:t>
      </w:r>
    </w:p>
    <w:tbl>
      <w:tblPr>
        <w:bidiVisual/>
        <w:tblW w:w="45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1"/>
        <w:gridCol w:w="842"/>
        <w:gridCol w:w="3791"/>
      </w:tblGrid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rFonts w:hint="cs"/>
                <w:rtl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إِنَّ الخَلِيطَ أَجَدُّوا البَيْنَ فَانْجَرَدُوا</w:t>
            </w:r>
          </w:p>
        </w:tc>
        <w:tc>
          <w:tcPr>
            <w:tcW w:w="50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و أَخْلَفُوكَ‏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عِدَى‏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الأَمْرِ الذِي‏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وَعَدُوا</w:t>
            </w:r>
          </w:p>
        </w:tc>
      </w:tr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</w:tr>
    </w:tbl>
    <w:p w:rsidR="0076262E" w:rsidRDefault="0076262E" w:rsidP="0076262E">
      <w:pPr>
        <w:pStyle w:val="NormalWeb"/>
        <w:bidi/>
        <w:rPr>
          <w:lang w:bidi="fa-IR"/>
        </w:rPr>
      </w:pP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و قال ابن الأَنبارِيّ و غيرُه: الفَرَّاءُ يقول: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عِدَةٌ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عِدًى‏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قال: و يُكْتَب بالياءِ. و في الصّحاح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العِدَةُ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الوَعْدُ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الهاءُ، عِوَضٌ من الواو، و يُجْمَع على‏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عِدَاتٍ‏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لا يُجْمَع‏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الوَعْد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النِّسْبَةُ إِلى‏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عِدَةٍ عِدِيٌ‏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إِلى زِنَةٍ زِنِيٌّ، فلا تَرُدُّ الواوَ كما تَرُدُّهَا في شِيَةٍ. و الفراءُ يقول: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عِدَوِيٌ‏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زِنَوِيٌ كما يقال شِيَوِيٌّ. قلت: و قوله: و لا يُجْمَع، أَي لكَوْنِه مَصدَراً، و المصادِرُ لا تُجْمَع إِلَّا ما شَذَّ، كالأَشْغَالِ و الحُلُومِ، كما قاله سيبويهِ و غيرُه،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مَوْعِداً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مَوْعِدَةً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قال شيخُنَا: هو أَيضاً مِن المَقِيس في باب المِثَالِ، فيقال فيه مَفْعِلَة بفتح الميم و كسر العين، و ما جَاءَ بالفَتْح فهو علِى خِلافِ القِياسِ كمَوْحَد، و ما مَعَه من الأَلفاظ التي جاءَ بها الجوهريُّ و ذكَرَها ابنُ مالِكٍ و غيرُه من أَئمَّةِ الصرْفِ، و هنا للجوهريِّ مباحثُ و قواعِدُ صَرْفِيَّة أَغفلَها المُصنِّفُ لعدَمِ إِلْمامه بذلك الفَنِّ.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قلْتُ: و سَنَسُوقُ عِبَارَةَ الجَوْهَرِيِّ و سَببَ عُدولِ المُصَنِّف عنها قريباً. و في لسان العرب: و يَكُون‏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المَوْعِدُ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مصدرَ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وَعَدْتُه‏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يكون‏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المَوْعِد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وَقْتاً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لِلْعِدَةِ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المَوْعِدَةُ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أَيضاً اسمٌ‏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لِلْعِدَةِ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.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المِيعادُ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لا يكون إِلَّا وَقْتاً أَو مَوْضِعاً،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الوَعْدُ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مصدَرٌ حَقيقيٌّ،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العِدَةُ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اسمٌ يُوضَع مَوضِعَ المَصْدَر، و كذلك‏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المَوْعِدَةُ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قال اللَّه عزّ و جَلّ: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إِلَّا عَنْ‏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مَوْعِدَةٍ وَعَدَها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إِيَّاهُ‏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2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في الصّحاح: و 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lastRenderedPageBreak/>
        <w:t>كذلك‏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المَوْعِدُ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لأَن ما كَانَ فاءُ الفِعْل منه وَاواً أَو ياءً ثم سَقَطَتَا في المُسْتَقْبَل نحو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يَعِدُ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يَزِنُ و يَهَبُ و يَضَعُ و يَئِلُ‏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3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فإِن المَفْعِلُ منه مَكْسُورٌ في الاسمِ و المَصدرِ جميعاً، و لا تُبَالِ أَ منصوباً كانَ يَفْعل منه أَو مَكْسوراً بَعْدَ أَن تكون الواوُ منه ذاهِبةً، إِلَّا أَحرُفاً جاءَتْ نَوَادِرَ، قالوا: دَخَلُوا مَوْحَدَ مَوْحَدَ، و فلانٌ ابن مَوْرَقٍ، و مَوْكَلٌ اسمُ رجُلٍ أَو مَوْضِعٍ، و مَوْهَبٌ اسمُ رجُلٍ وَ مَوْزَنٌ مَوْضِع، هذا سَمَاعٌ، و القِيَاس فيه الكَسْرُ، فإِن كانت الواوُ مِنْ يَفْعَلُ منه‏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4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ثابِتَةً، نحو يَوْجَل و يَوْجَعُ و يَوْسَنُ ففيه الوَجْهَان، فان أَردَت به المَكَانَ و الاسمَ كَسَرْتَه و إِن أَردت به المَصْدَرَ نَصَبْتَه، فقُلت مَوْجِلٌ و مَوْجَلٌ فإِن كان مع ذلك مُعْتَلَّ الآخِر فالمَفْعَل منه منصوبٌ، ذهَبَت الواوُ في يَفعل أَو ثَبَتَتْ، كقولِك: المَوْلَى و المَوْفَى و المَوْعَى، من يَلِي و يَفِي و يَعِي، قال الإِمام أَبو مُحَمَّد ابن بَرِّيٍّ: قوله في استثنائه: إِلّا أَحْرُفاً جاءَتَ نَوَادِرَ، قالوا: دَخَلُوا مَوْحَدَ مَوْحَدَ. قال: مَوْحَد ليس من هذا الباب، و إِنما هو مَعْدُولٌ عن واحِدٍ، فيمتَنِع من الصَّرْف للعَدْلِ و الصِّفَةِ كأُحَادَ، و مثلُه، مَثْنَى و ثُنَاءَ و مَثْلَث و ثُلَاث و مَرْبَع و رُبَاع، قال: و قال سيبويهِ: مَوْحَد فتَحوه لأَنّه ليس بمصْدَرٍ و لا مكانٍ، و إِنما هو مَعدولٌ عن واحِدٍ، كما أَنّ عُمَرَ معدُولٌ عن عامِرٍ، انتهى. قلت: و لمَّا كان الأَمْرُ فيه ما ذَكَرَه ابنُ بَرِّيٍّ، و أَن بَعْضَ ما استثْنَاهُ مُنَاقَشٌ فيه و مَرْدُودٌ عليه لم يَلْتَفِتْ إِليه المُصنِّف، و زَعَم شيخُنَا سامحه اللَّهُ تعالى أَنه لِجَهْلِه بالقَواعِد الصَّرْفِيَّة، و هو تَحَامُلٌ منه عَجِيبٌ،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وَ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مَوْعُوداً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مَوْعُودَةً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قال ابنُ سِيدَه: هو من المصادر التي جاءَت على مَفْعُولٍ و مَفْعولَةٍ كالمَحْلُوف و المَرْجُوعِ و المَصْدُوقَة و المَكْذُوبَةِ، قال ابنُ جِنِّي: و مما جاءَ مِن المصادِر مجْمُوعاً مُعْمَلًا قولُهم:</w:t>
      </w:r>
    </w:p>
    <w:p w:rsidR="0076262E" w:rsidRDefault="0076262E" w:rsidP="0076262E">
      <w:pPr>
        <w:pStyle w:val="NormalWeb"/>
        <w:bidi/>
        <w:jc w:val="center"/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</w:pPr>
      <w:r>
        <w:rPr>
          <w:rFonts w:ascii="Traditional Arabic" w:cs="Traditional Arabic" w:hint="cs"/>
          <w:color w:val="2A415C"/>
          <w:sz w:val="30"/>
          <w:szCs w:val="30"/>
          <w:rtl/>
          <w:lang w:bidi="fa-IR"/>
        </w:rPr>
        <w:t>تاج العروس، ج‏5، ص: 318</w:t>
      </w:r>
    </w:p>
    <w:p w:rsidR="0076262E" w:rsidRDefault="0076262E" w:rsidP="0076262E">
      <w:pPr>
        <w:bidi/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</w:pPr>
    </w:p>
    <w:tbl>
      <w:tblPr>
        <w:bidiVisual/>
        <w:tblW w:w="45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4"/>
      </w:tblGrid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rFonts w:ascii="Times New Roman" w:cs="Times New Roman" w:hint="cs"/>
                <w:sz w:val="24"/>
                <w:szCs w:val="24"/>
                <w:rtl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مَوَاعِيدَ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عُرْقُوبٍ أَخَاهُ بِيَثْرِبِ‏</w:t>
            </w:r>
            <w:r>
              <w:rPr>
                <w:rStyle w:val="FootnoteReference"/>
                <w:rFonts w:ascii="Traditional Arabic" w:cs="Traditional Arabic"/>
                <w:color w:val="7800FA"/>
                <w:sz w:val="30"/>
                <w:szCs w:val="30"/>
              </w:rPr>
              <w:footnoteReference w:id="5"/>
            </w:r>
          </w:p>
        </w:tc>
      </w:tr>
    </w:tbl>
    <w:p w:rsidR="0076262E" w:rsidRDefault="0076262E" w:rsidP="0076262E">
      <w:pPr>
        <w:bidi/>
        <w:rPr>
          <w:rFonts w:ascii="Times New Roman" w:cs="Times New Roman"/>
          <w:sz w:val="24"/>
          <w:szCs w:val="24"/>
          <w:lang w:bidi="fa-IR"/>
        </w:rPr>
      </w:pP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قال شيخنا: و وُرُود مَفْعُولٍ مَصْدَراً من الثلاثيّ الجُمْهُورُ حَصَرُوه في السَّمَاعِ، وَ قَصْروه على الوارِد، و أَبو الخَطَّابِ الأَخفشُ الكبيرُ في جَمَاعَةٍ قاسُوه في الثُّلاثيِّ، كما قاس الكل اسْمَ مَفعولٍ مَصْدَراً في غيرِ الثلاثيِّ، على ما عُرِف في الصَّرْف.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lastRenderedPageBreak/>
        <w:t>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وَعَدَه‏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خَيْراً و شَرًّا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فَيُنْصَبَانِ على المفعوليَّة المُطلقَة، و قيل، على إِسقَاط الجَارِّ، و الصوابُ الأَوّل، كما حَقَّقَه شيخُنَا، و عبارَة الفَصِيح: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وَعَدْت‏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الرجُلَ خيراً و شَرًّا. قال شُرَّاحُه: أَي مَنَّيْتُه بهما، قال اللَّه تعالى في الخير: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وَعَدَ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اللَّهُ الَّذِينَ آمَنُوا وَ عَمِلُوا الصَّالِحاتِ مِنْهُمْ مَغْفِرَةً وَ أَجْراً عَظِيماً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6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مثلُه كَثِيرٌ، و قال في الشَّرِّ: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قُلْ أَ فَأُنَبِّئُكُمْ بِشَرٍّ مِنْ ذلِكُمُ النَّارُ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وَعَدَهَا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اللَّهُ الَّذِينَ كَفَرُوا وَ بِئْسَ الْمَصِيرُ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7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أَنْشَدُوا:</w:t>
      </w:r>
    </w:p>
    <w:tbl>
      <w:tblPr>
        <w:bidiVisual/>
        <w:tblW w:w="45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1"/>
        <w:gridCol w:w="842"/>
        <w:gridCol w:w="3791"/>
      </w:tblGrid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rFonts w:hint="cs"/>
                <w:rtl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إِذَا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وَعَدَتْ‏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شَرّاً أَتَى قَبْلَ وَقَتِهِ‏</w:t>
            </w:r>
          </w:p>
        </w:tc>
        <w:tc>
          <w:tcPr>
            <w:tcW w:w="50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وَ إِنْ‏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وَعَدَتْ‏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خَيْراً أَرَاثَ و عَتَّمَا</w:t>
            </w:r>
          </w:p>
        </w:tc>
      </w:tr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</w:tr>
    </w:tbl>
    <w:p w:rsidR="0076262E" w:rsidRDefault="0076262E" w:rsidP="0076262E">
      <w:pPr>
        <w:pStyle w:val="NormalWeb"/>
        <w:bidi/>
        <w:rPr>
          <w:lang w:bidi="fa-IR"/>
        </w:rPr>
      </w:pP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قلت: و صَرَّح الزمخشريّ في الأَساس بأَن قولَهم: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>وَعَدْتُه‏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شَرًّا، و كذا قول اللَّه تعالى: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الشَّيْطانُ‏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يَعِدُكُمُ‏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الْفَقْرَ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8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من المَجاز،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فَإِذا أُسْقِطَا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أَي الخير و الشَّرّ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قِيلَ في الخَيْرِ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بلا أَلف،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و في الشَّرِّ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بالأَلف، قاله المُطرّز، و حكاه القُتَيْبِيّ عن الفرَّاءِ، و قال اللَّبْلِيّ في شَرْح الفَصِيح: و هذا هو المَشْهُورُ عند أَئِمَّةِ اللغةِ. و في التهذيب: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كلامُ العَرَب: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وَعَدْتُ‏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الرجُلَ خَيْراً،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وعَدْتُه‏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شَرًّا،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أَوْعَدْتُه‏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خَيْراً،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أَوْعَدْتُه‏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شَرًّا، فإِذا لم يَذْكُرُوا الخَيْرَ قالُوا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وَعَدْتُه‏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لم يُدْخِلُوا أَلِفاً، و إِذا لم يَذْكروا الشّرَّ قَالُوا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أَوْعَدْتُه‏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لم يُسْقِطُوا الأَلف، و أَنْشَدَ لِعَامِرِ بنِ الطفَيْل:</w:t>
      </w:r>
    </w:p>
    <w:tbl>
      <w:tblPr>
        <w:bidiVisual/>
        <w:tblW w:w="45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1"/>
        <w:gridCol w:w="842"/>
        <w:gridCol w:w="3791"/>
      </w:tblGrid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rFonts w:hint="cs"/>
                <w:rtl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وَ إِنِّي وَ إِنْ‏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أَوْعَدْتُه‏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أَوْ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وَعَدْتُهُ‏</w:t>
            </w:r>
          </w:p>
        </w:tc>
        <w:tc>
          <w:tcPr>
            <w:tcW w:w="50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لأَخْلِفُ‏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إِيعَادِي‏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و أُنْجِزُ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مَوْعِدِي‏</w:t>
            </w:r>
          </w:p>
        </w:tc>
      </w:tr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</w:tr>
    </w:tbl>
    <w:p w:rsidR="0076262E" w:rsidRDefault="0076262E" w:rsidP="0076262E">
      <w:pPr>
        <w:pStyle w:val="NormalWeb"/>
        <w:bidi/>
        <w:rPr>
          <w:lang w:bidi="fa-IR"/>
        </w:rPr>
      </w:pP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و قالوا: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أَوْعَدَ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الخَيْرَ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حكاه ابنُ سِيدَه عن ابنِ الأَعرابِيِّ، و هو نادِرٌ، و أَنشد:</w:t>
      </w:r>
    </w:p>
    <w:tbl>
      <w:tblPr>
        <w:bidiVisual/>
        <w:tblW w:w="45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1"/>
        <w:gridCol w:w="842"/>
        <w:gridCol w:w="3791"/>
      </w:tblGrid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rFonts w:hint="cs"/>
                <w:rtl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يَبْسُطُنِي مَرَّةً و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يُوعِدُنِي‏</w:t>
            </w:r>
          </w:p>
        </w:tc>
        <w:tc>
          <w:tcPr>
            <w:tcW w:w="50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فَضْلًا طَرِيفاً إِلى أَيَادِيه‏</w:t>
            </w:r>
          </w:p>
        </w:tc>
      </w:tr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</w:tr>
    </w:tbl>
    <w:p w:rsidR="0076262E" w:rsidRDefault="0076262E" w:rsidP="0076262E">
      <w:pPr>
        <w:pStyle w:val="NormalWeb"/>
        <w:bidi/>
        <w:rPr>
          <w:lang w:bidi="fa-IR"/>
        </w:rPr>
      </w:pP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أَوْعَدَه‏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بالشَّرِّ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أَي إِذا أدخلوا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9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الباءَ لم يكن إِلَّا في الشَّرِّ، كقولك: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أَوْعَدْتُه‏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بالضَّرْبِ، و عبارةُ الفَصِيحِ: فإِذا أَدْخَلْتَ الباءَ قُلْتَ: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أَوْعَدْتُه‏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بِكَذا و كَذَا، تَعْنِي مِن‏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الوَعِيد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قال شُرَّاحُه: معناه أَنهم إِذا أَدْخَلوا الباءَ أَتَوْا بالأَلفِ مَعَهَا، فقالوا،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أَوْعَدْتُه‏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: بِكَذَا، و لا تَدْخُلُ البَاءُ في‏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بغيرِ أَلِفٍ، فلا تَقُلْ‏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وَعَدْتُه‏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بِخَيْرٍ و بِشَرٍّ و على هذا القولِ أَكثَرُ أَهلِ اللغةِ. قلت: و في المحكم: و في الخَيْرِ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الوَعْدُ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العِدَةُ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في الشرِّ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الإِيعادُ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الوَعِيدُ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فإِذا قالوا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أَوْعَدْتُه‏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بالشرّ أَثبتُوا الأَلِفَ مع الباءِ، و أَنْشَد لبعْضِ الرُّجَّازِ:</w:t>
      </w:r>
    </w:p>
    <w:tbl>
      <w:tblPr>
        <w:bidiVisual/>
        <w:tblW w:w="45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1"/>
        <w:gridCol w:w="842"/>
        <w:gridCol w:w="3791"/>
      </w:tblGrid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rFonts w:hint="cs"/>
                <w:rtl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أَوْعَدَنِي‏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بِالسِّجْنِ و الأَدَاهِمِ‏</w:t>
            </w:r>
          </w:p>
        </w:tc>
        <w:tc>
          <w:tcPr>
            <w:tcW w:w="50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رِجْلِي وَ رِجْلِي شَثْنَةُ المَنَاسِمِ‏</w:t>
            </w:r>
          </w:p>
        </w:tc>
      </w:tr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</w:tr>
    </w:tbl>
    <w:p w:rsidR="0076262E" w:rsidRDefault="0076262E" w:rsidP="0076262E">
      <w:pPr>
        <w:pStyle w:val="NormalWeb"/>
        <w:bidi/>
        <w:rPr>
          <w:lang w:bidi="fa-IR"/>
        </w:rPr>
      </w:pP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قال الجوهريُّ: تقديرُه‏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أَوْعَدَني‏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بالسِّجْنِ،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رِجْلِي بالأَدَاهِم، و رِجْلي شَثْنَةٌ، أَي قَوِيَّة على القَيْدِ. قلت، و حكَى ابنُ القُوطِيَّة،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وَعَدْتُهُ‏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خَيْراً و شَرًّا، و بِخَيْر و بِشَرٍّ، فعلى هذا لا تَخْتَصُّ الباءُ بأَوْعَدَ، بل تكون مَعَهَا و مع‏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فتقول: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أَوْعَدْته‏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بِشرٍّ،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وعَدْته‏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بِخَيْرٍ، لكن الأَكْثَر ما مَرَّ.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و حكى قُطْرُب في كِتاب فَعَلْت و أَفعلْت: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وَعَدْت‏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الرَّجُلَ خَيْراً،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أَوْعَدْته‏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خَيْراً،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وَعَدْتُه‏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شَرًّا،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أَوْعَدْتُه‏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شَرًّا.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المِيعَادُ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: وَقْتُه و مَوْضِعُه‏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كذا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المُواعَدَةُ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يكون وقتاً و مَوْضِعاً، قال الجوهَرِيُّ، و كذلك‏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المَوْعِدُ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أَي يكون وَفْتاً و مَوْضِعاً و في الأساس: و هذا الوَقْتُ و المَكَانُ‏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مِيعَادُهم‏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مَوْعِدُهُم‏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تَوَاعَدُوا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اتَّعَدُوا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بمعنًى واحدٍ،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أَو الأُولَى في الخَيْرِ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و الثانِيةُ في الشَّرِّ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هذا الفَرْقُ هو المَشْهورُ الذي عليه الجُمهُورُ، ففي اللّسَانِ: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اتَّعَدْت‏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الرَّجُلَ، إِذا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أَوْعَدْتَه‏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قال الأَعْشي:</w:t>
      </w:r>
    </w:p>
    <w:tbl>
      <w:tblPr>
        <w:bidiVisual/>
        <w:tblW w:w="45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4"/>
      </w:tblGrid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rFonts w:hint="cs"/>
                <w:rtl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فَإِنْ‏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تَتَّعِدْنِي‏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أَتَّعِدْكَ‏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بِمِثْلِهَا</w:t>
            </w:r>
            <w:r>
              <w:rPr>
                <w:rStyle w:val="FootnoteReference"/>
                <w:rFonts w:ascii="Traditional Arabic" w:cs="Traditional Arabic"/>
                <w:color w:val="7800FA"/>
                <w:sz w:val="30"/>
                <w:szCs w:val="30"/>
              </w:rPr>
              <w:footnoteReference w:id="10"/>
            </w:r>
          </w:p>
        </w:tc>
      </w:tr>
    </w:tbl>
    <w:p w:rsidR="0076262E" w:rsidRDefault="0076262E" w:rsidP="0076262E">
      <w:pPr>
        <w:pStyle w:val="NormalWeb"/>
        <w:bidi/>
        <w:rPr>
          <w:lang w:bidi="fa-IR"/>
        </w:rPr>
      </w:pP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lastRenderedPageBreak/>
        <w:t>و قال أَبو الهيثم: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أَوْعَدْت‏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الرجُلَ‏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أُوعِدُه‏ إِيعَاداً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تَوَعَّدْتُه‏ تَوَعُّداً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.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اتَّعَدْت‏ اتِّعَاداً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وَاعَدَه‏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الوَقْتَ و المَوْضِعَ.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واعَدَه‏ فَوَعَدَه‏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: كَانَ أَكْثَرَ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وَعْداً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مِنه‏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قال أَبو مُعاذٍ: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وَاعَدْتُ‏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زَيْداً،</w:t>
      </w:r>
    </w:p>
    <w:p w:rsidR="0076262E" w:rsidRDefault="0076262E" w:rsidP="0076262E">
      <w:pPr>
        <w:pStyle w:val="NormalWeb"/>
        <w:bidi/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</w:pPr>
    </w:p>
    <w:p w:rsidR="0076262E" w:rsidRDefault="0076262E" w:rsidP="0076262E">
      <w:pPr>
        <w:pStyle w:val="NormalWeb"/>
        <w:bidi/>
        <w:jc w:val="center"/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</w:pPr>
      <w:r>
        <w:rPr>
          <w:rFonts w:ascii="Traditional Arabic" w:cs="Traditional Arabic" w:hint="cs"/>
          <w:color w:val="2A415C"/>
          <w:sz w:val="30"/>
          <w:szCs w:val="30"/>
          <w:rtl/>
          <w:lang w:bidi="fa-IR"/>
        </w:rPr>
        <w:t>تاج العروس، ج‏5، ص: 319</w:t>
      </w:r>
    </w:p>
    <w:p w:rsidR="0076262E" w:rsidRDefault="0076262E" w:rsidP="0076262E">
      <w:pPr>
        <w:bidi/>
        <w:rPr>
          <w:rFonts w:ascii="Times New Roman" w:cs="Times New Roman" w:hint="cs"/>
          <w:sz w:val="24"/>
          <w:szCs w:val="24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إِذا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وَعَدَك‏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وَ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وَعَدْتَه‏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وَعَدْتُ‏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زَيْداً، إِذا كان‏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الوَعْدُ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منك خاصَّةً.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و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من المَجاز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فَرَسٌ‏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وَاعِدٌ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يَعِدُكَ‏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جَرْياً بعْدَ جَرْيٍ‏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عبارَةُ الأَساس: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يَعِدُ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11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الجَرْيَ.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من المَجاز أَيضاً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سَحَابٌ‏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واعِدٌ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كأَنَّهُ‏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وَعَدَ</w:t>
      </w:r>
      <w:r>
        <w:rPr>
          <w:rStyle w:val="FootnoteReference"/>
          <w:rFonts w:ascii="Traditional Arabic" w:cs="Traditional Arabic"/>
          <w:color w:val="6D0033"/>
          <w:sz w:val="30"/>
          <w:szCs w:val="30"/>
          <w:rtl/>
          <w:lang w:bidi="fa-IR"/>
        </w:rPr>
        <w:footnoteReference w:id="12"/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بالمَطَرِ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من المَجاز أَيضاً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يَوْمٌ‏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واعِدٌ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يَعِدُ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بالحَرِّ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كذا عَامٌ‏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واعِدٌ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أَو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يَوْمٌ‏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واعِدٌ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يَعِدُك‏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بالبَرْدِ أَوَّلُه‏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يقال: يَوْمُنَا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يَعِدُ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بَرْداً، و يَوْمٌ‏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واعِدٌ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إِذا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أَوَّلُه بِحَرٍّ أَو بَرْدٍ، كذا في اللسان.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و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من المَجاز أَيضاً: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أَرْضٌ‏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واعِدَةٌ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: رُجِيَ خَيْرُهَا مِن النَّبْتِ‏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قال الأَصمعيُّ: مَرَرْتُ بأَرْضِ بني فُلانٍ غِبَّ مَطَرٍ وَقَعَ بها فرأَيْتُهَا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وَاعِدَةً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إِذا رُجِيَ خَيْرُهَا و تَمَامُ نَبْتِها في أَوَّلِ ما يَظْهَرُ النَّبْتُ، قال سُوَيْدُ بن كُرّاع:</w:t>
      </w:r>
    </w:p>
    <w:tbl>
      <w:tblPr>
        <w:bidiVisual/>
        <w:tblW w:w="45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1"/>
        <w:gridCol w:w="842"/>
        <w:gridCol w:w="3791"/>
      </w:tblGrid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rFonts w:hint="cs"/>
                <w:rtl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رَعَى غَيْرَ مَذْعُورٍ بِهِنَّ ورَاقَهُ‏</w:t>
            </w:r>
          </w:p>
        </w:tc>
        <w:tc>
          <w:tcPr>
            <w:tcW w:w="50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لُعَاعٌ تَهَادَاهُ الدَّكَادِكُ‏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وَاعِدُ</w:t>
            </w:r>
          </w:p>
        </w:tc>
      </w:tr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</w:tr>
    </w:tbl>
    <w:p w:rsidR="0076262E" w:rsidRDefault="0076262E" w:rsidP="0076262E">
      <w:pPr>
        <w:pStyle w:val="NormalWeb"/>
        <w:bidi/>
        <w:rPr>
          <w:lang w:bidi="fa-IR"/>
        </w:rPr>
      </w:pP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و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اشتدّ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الوَعِيدُ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هو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التَّهْدِيد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قد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أَوْعَدَه‏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قال يَعقُوبُ عن الفَرَّاءِ: و في الخَيْرِ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الوَعْدُ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العِدَةُ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في الشَّرّ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الإِيعادُ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الوَعِيدُ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حكاه أَيضاً صاحِبُ المُوعب، قال: و قالوا: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الجَنَّةُ لِمَن خَافَ‏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وِعِيدَ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اللَّهِ، كسروا الواو.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و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من المَجاز: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الوَعِيدُ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: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هَدِيرُ الفَحْلِ‏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إِذا هَمَّ أَن يَصُولَ.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و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780000"/>
          <w:sz w:val="30"/>
          <w:szCs w:val="30"/>
          <w:rtl/>
          <w:lang w:bidi="fa-IR"/>
        </w:rPr>
        <w:lastRenderedPageBreak/>
        <w:t>في الحديث‏</w:t>
      </w:r>
      <w:r>
        <w:rPr>
          <w:rFonts w:ascii="Traditional Arabic" w:cs="Traditional Arabic" w:hint="cs"/>
          <w:color w:val="242887"/>
          <w:sz w:val="30"/>
          <w:szCs w:val="30"/>
          <w:rtl/>
          <w:lang w:bidi="fa-IR"/>
        </w:rPr>
        <w:t xml:space="preserve"> «دَخَلَ حَائِطاً مِنْ حِيطَانِ المَدِينَةِ فإِذا فيه جَمَلَانِ يَصْرِفَانِ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يُوعِدَانِ‏</w:t>
      </w:r>
      <w:r>
        <w:rPr>
          <w:rFonts w:ascii="Traditional Arabic" w:cs="Traditional Arabic" w:hint="cs"/>
          <w:color w:val="242887"/>
          <w:sz w:val="30"/>
          <w:szCs w:val="30"/>
          <w:rtl/>
          <w:lang w:bidi="fa-IR"/>
        </w:rPr>
        <w:t>».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أَي يَهْدِرَانِ، و قد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أَوْعَدَ يُوعِدُ إِيعاداً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التَّوَعُّد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: التَّهْدُّد، كالإِيعادِ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قد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أَوْعَدَه‏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تَوَعَّدَهُ‏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. و قال أَبو الهيثم: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أَوْعَدْتُ‏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الرجُلَ‏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أُوعِدُه‏ إِيعَاداً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تَوَعَّدْتُه‏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.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تَوَعُّداً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اتَّعَدْت‏ اتِّعَاداً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نقلَ ابنُ مَنْظُورٍ عن الزَّجَّاجِ: أَنَّ العَامَّة تُخْطِي‏ء و تقول‏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أَوْعَدَنِي‏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فُلَانٌ‏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مَوْعِداً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أَقِفُ عَلَيْه.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الاتِّعَادُ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: قَبُولُ‏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العِدَةِ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13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و أَصلُه الاوتِعَادُ، قَلَبُوا الوَاوَ تَاءً و أَدْغَمُوا، و ناسٌ يَقُولون: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ائْتَعَد يَأْتَعِد ائْتِعَاداً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فهو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مُؤْتَعِدٌ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</w:t>
      </w: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 xml:space="preserve"> بالهَمْز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كما قالوا: يَأْتَسِرُ في ائْتِسارِ الجَزُورِ، قال ابنُ بَرِّي: صَوَابُه‏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ايتَعَدَ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يَاتَعِدُ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فهو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مُوتَعِدٌ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من غير همزٍ، و كذلك ايتَسَرَ، يَاتَسِرُ، فهو مُوتَسِرٌ، بغير هَمْزٍ، و كذلك ذَكَرَه سِيبويهِ، و أَصْحَابُه يُعِلُّونَه على حَرَكَةِ ما قَبْلَ الحَرْفِ المُعْتَلِّ، فيجعَلُونَه يَاءً إِن انْكَسَرَ مَا قَبْلَها، و أَلِفاٌ إِن انفتح ما قَبلهَا، و واواً إِن انضمّ ما قَبْلَها، [قال‏]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14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لا يَجُوز بالهمز، لأَنه لا أْصْلَ له في باب‏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الوَعْد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اليسْرِ، و على ذلك نَصَّ سِيبويهِ و جميعُ النحويِّينَ البصرِيِّينَ، كذا في اللسان.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* و مما يستدرك عليه: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>المَوْعِدُ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: العَهْدُ، و به فسّرَ مُجَاهِدٌ قولَه تعالى: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ما أَخْلَفْنا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مَوْعِدَكَ‏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بِمَلْكِنا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15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كذلك قوله: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فَأَخْلَفْتُمْ‏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مَوْعِدِي‏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16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قال: عَهْدِي.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و يقال للدّابَّة و الماشِيَةِ إِذا رُجِيَ خَيْرُهَا و إِقْبَالُها: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واعِدٌ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هو مَجازٌ.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و يقال: هذا غُلامٌ‏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تَعِدُ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مَخايِلُه كَرَماً، و شِيَمُه‏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تَعِدُ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جَلَداً و صَرَامَةً، و هو مَجَازٌ، و قال بعضُهم: فُلان‏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يَتَّعِدُ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إِذا وَثِقَ‏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بِعِدَتِك‏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قال:</w:t>
      </w:r>
    </w:p>
    <w:tbl>
      <w:tblPr>
        <w:bidiVisual/>
        <w:tblW w:w="45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1"/>
        <w:gridCol w:w="842"/>
        <w:gridCol w:w="3791"/>
      </w:tblGrid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rFonts w:hint="cs"/>
                <w:rtl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إِنِّي ائْتَمَمْتُ أَبَا الصَّبَّاحِ‏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فَاتَّعِدِي‏</w:t>
            </w:r>
          </w:p>
        </w:tc>
        <w:tc>
          <w:tcPr>
            <w:tcW w:w="50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وَ اسْتَبْشِرِي بِنَوَالٍ غَيْرٍ مَنْزُورِ</w:t>
            </w:r>
          </w:p>
        </w:tc>
      </w:tr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</w:tr>
    </w:tbl>
    <w:p w:rsidR="0076262E" w:rsidRDefault="0076262E" w:rsidP="0076262E">
      <w:pPr>
        <w:pStyle w:val="NormalWeb"/>
        <w:bidi/>
        <w:rPr>
          <w:lang w:bidi="fa-IR"/>
        </w:rPr>
      </w:pP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lastRenderedPageBreak/>
        <w:t>وَ الْيَوْمِ‏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الْمَوْعُودِ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17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يومِ القيامة، كقوله تعالى: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>مِيقاتِ يَوْمٍ مَعْلُومٍ‏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18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في الأَمْثَال: «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>العِدَةُ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عَطِيَّةٌ» أَي‏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تُعِدُّ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لَها أَو يَقْبُح إِخْلَافُهَا كاستِرْجَاعِ العَطِيَّةِ، و قولهم: «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>وَعَدَه‏ عِدَةَ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الثُّرَيَّا بالقَمَرِ»، لأَنهما يَلْتَقِيَانِ في كُلِّ شَهْرٍ مَرَّةً، قاله الميدانيُّ.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و الطَّائِفَةُ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الوَعِيدِيَّةُ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فِرْقَةٌ من الخَوَارِج أَفْرَطوا في‏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الوَعِيدِ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فقالوا بِخُلودِ الفُسَّاق في النّار.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تذييل: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قال اللَّه تعالى: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وَ إِذْ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واعَدْنا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مُوسى‏ أَرْبَعِينَ لَيْلَةً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19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قرأَ أَبو عَمْرٍو: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وَعَدْنَا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. بغيرِ أَلفٍ، و قرأَ ابنُ كَثِيرٍ و نَافِعٌ و ابنُ عامِرٍ و عاصِمٌ و حَمْزَةُ و الكِسَائيُّ: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واعَدْنا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>*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بالأَلفِ، قال أَبو</w:t>
      </w:r>
    </w:p>
    <w:p w:rsidR="0076262E" w:rsidRDefault="0076262E" w:rsidP="0076262E">
      <w:pPr>
        <w:pStyle w:val="NormalWeb"/>
        <w:bidi/>
        <w:jc w:val="center"/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</w:pPr>
      <w:r>
        <w:rPr>
          <w:rFonts w:ascii="Traditional Arabic" w:cs="Traditional Arabic" w:hint="cs"/>
          <w:color w:val="2A415C"/>
          <w:sz w:val="30"/>
          <w:szCs w:val="30"/>
          <w:rtl/>
          <w:lang w:bidi="fa-IR"/>
        </w:rPr>
        <w:t>تاج العروس، ج‏5، ص: 320</w:t>
      </w:r>
    </w:p>
    <w:p w:rsidR="0076262E" w:rsidRDefault="0076262E" w:rsidP="0076262E">
      <w:pPr>
        <w:bidi/>
        <w:rPr>
          <w:rFonts w:ascii="Times New Roman" w:cs="Times New Roman" w:hint="cs"/>
          <w:sz w:val="24"/>
          <w:szCs w:val="24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إِسحَاقَ، اخْتَارَ جَمَاعَةٌ مِن أَهلِ اللغةِ: «و إِذا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وَعَدْنَا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» بغير أَلفٍ و قالوا: إِنما اخْتَرْنَا هذا لأَن‏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المُوَاعَدَة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إِنما تَكُونُ مِن الآدمِيّينَ، فاختارُوا «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>وَعَدْنا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» و قالُوا: دليلنا قولُ اللَّه تعالى: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>إِنَّ اللَّهَ‏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وَعَدَكُمْ‏ وَعْدَ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الْحَقِ‏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20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ما أَشبَهَه، قال: و هذا الذي ذَكَرُوه ليس مِثْلَ هذا. و أَمّا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واعَدْنا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>*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هذا فَجيِّدٌ، لأَن الطَّاعَةَ في القَبُولِ بمَنْزِلةِ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المُوَاعَدَةِ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فهو من اللَّه‏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وَعْدٌ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مِن مُوسى قَبُولٌ و اتِّبَاعٌ، فَجَرَى مَجْرَى‏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المُواعَدَة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و قد أَشارَ له في التهذيبِ و المُحكم، و نُقِل مثلُ ذلك عن ثَعْلَبٍ.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تكميل: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قالوا: إِذا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خَيْراً فلم يَفْعَلْه قالوا: أَخْلَفَ فُلانٌ، و هو العَيْبُ الفاحِش، و إِذا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لم يَفْعَلْ فذلك عندهم العَفْوُ و الكَرَمُ، و لا يُسَمُّون هذا خُلْفاً، فإِن فَعَلَ فهو حَقُّه، قال ثَعلبٌ: ما رَأَيْنَا أَحَداً إِلَّا و قولُه إِن اللَّهَ جلَّ وَ عَلَا إِذا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وَفَى و إِذا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أَوْعَدَ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عَفَا، و له أن يُعَذِّب. قاله المُطرّز في الياقُوت، و حَكَى صاحبُ المُوعب عن أَبي عمرِو بنِ العَلَاءِ أَنه قال لعَمْرِو بن عُبَيْدٍ إِنّك جاهِلٌ بلُغةِ العَرَب، إِنهم لا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يَعُدُّونَ‏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العَافِيَ مُخْلِفاً، إِنما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يَعُدُّون‏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مَن‏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خَيْراً فلم يَفْعَلْ مُخْلِفاً، و لا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يَعُدُّونَ‏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مَن‏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شَرًّا فعَفَا مُخْلِفاً، أَمَا سَمِعْت قولَ الشاعرِ:</w:t>
      </w:r>
    </w:p>
    <w:tbl>
      <w:tblPr>
        <w:bidiVisual/>
        <w:tblW w:w="45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1"/>
        <w:gridCol w:w="842"/>
        <w:gridCol w:w="3791"/>
      </w:tblGrid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rFonts w:hint="cs"/>
                <w:rtl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lastRenderedPageBreak/>
              <w:t>وَ لَا يَرْهَبُ المَوْلَى و لَا العَبْدُ صَوْلَتِي‏</w:t>
            </w:r>
          </w:p>
        </w:tc>
        <w:tc>
          <w:tcPr>
            <w:tcW w:w="50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وَ لَا اخْتَتِي مِنْ صَوْلَةِ المُتَهَدِّدِ</w:t>
            </w:r>
          </w:p>
        </w:tc>
      </w:tr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و أَنِّي و إِنْ‏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أَوْعَدْتُه‏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أَوْ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وَعَدْتُه‏</w:t>
            </w:r>
          </w:p>
        </w:tc>
        <w:tc>
          <w:tcPr>
            <w:tcW w:w="50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لَمُخْلِف‏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إِيعَادِي‏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وَ مُنْجِزُ</w:t>
            </w:r>
            <w:r>
              <w:rPr>
                <w:rFonts w:ascii="Traditional Arabic" w:cs="Traditional Arabic"/>
                <w:color w:val="7800FA"/>
                <w:sz w:val="30"/>
                <w:szCs w:val="30"/>
              </w:rPr>
              <w:t xml:space="preserve"> </w:t>
            </w:r>
            <w:r>
              <w:rPr>
                <w:rFonts w:ascii="Traditional Arabic" w:cs="Traditional Arabic"/>
                <w:color w:val="7800FA"/>
                <w:sz w:val="30"/>
                <w:szCs w:val="30"/>
                <w:rtl/>
              </w:rPr>
              <w:t>مَوْعِدِي‏</w:t>
            </w:r>
          </w:p>
        </w:tc>
      </w:tr>
      <w:tr w:rsidR="0076262E" w:rsidT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262E" w:rsidRDefault="0076262E">
            <w:pPr>
              <w:bidi/>
              <w:rPr>
                <w:sz w:val="20"/>
                <w:szCs w:val="20"/>
              </w:rPr>
            </w:pPr>
          </w:p>
        </w:tc>
      </w:tr>
    </w:tbl>
    <w:p w:rsidR="0076262E" w:rsidRDefault="0076262E" w:rsidP="0076262E">
      <w:pPr>
        <w:pStyle w:val="NormalWeb"/>
        <w:bidi/>
        <w:rPr>
          <w:lang w:bidi="fa-IR"/>
        </w:rPr>
      </w:pP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و قد أَوْسَع فيه صاحبُ المُجْمل في رِسَالةٍ مُخْتَصَّةٍ بالفَرْق بين‏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الوَعْد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الوَعِيد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فراجِعْهَا.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و اختُلِف في حُكْم الوفَاءِ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بالوَعْد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، هل هو واجِبٌ أَو سُنَّة؟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أَقوالٌ. قال شيخُنَا: و أَكثرُ العلماءِ على وُجوبِ الوفَاءِ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بالوَعْدِ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تَحْرِيمِ الخُلْفِ فيه، و كانَت العرَبُ تَستَعِيبه و تَسْتقْبِحه، و قالوا: إِخْلافُ‏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الوَعْد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من أَخلاق الوَغْد، و قيل: الوَفَاءُ سُنَّة، و الإِخلاف مكروهٌ، و استَشْكَلَه بعضُ العلماءِ، و قال القاضي أَبو بكر بن العَرَبيّ بعد سَرْدِ كلامٍ: و خُلْفُ‏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الوَعدِ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كَذِبٌ و نِفاقٌ، و إِن قَلَّ فهو مَعْصِيَةٌ، و قد أَلَّف الحافِظُ السَّخَاويُّ في ذلك رِسَالَةً مستقِلَّة سمَّاهَا «الْتِمَاس السَّعْد في الوَفَاءِ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بالوَعْد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» جمعَ فيها فأَوْعَى، و كذَا الفقيه أَحمد بن حَجَر المَكِّيّ أَلَمَّ على هذا البَحْثِ في «الزَّواحر»، و نَقلَ حاصِلَ كلامِ السَّخاوِيّ بِرُمَّتِه، فراجِعْه، ثم قال شيخُنَا: و أَمَّا الإِخْلافُ في‏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الإِيعاد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الذي هو كَرَمٌ و عَفْوٌ فمُتَّفَقٌ على تَخَلُّفِه و التَمدُّحِ بِترْكه، و إِنما اختَلَفوا في تَخَلُّفِ‏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الوَعِيدِ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بالنِّسْبَة إِليه تَعَالَى، فأَجَازَه جَماعَة و قالُوا: هو من العَفْوِ و الكَرَمِ اللائقِ به سُبْحَانَه. و مَنَعَه آخَرُونَ، و قالوا: هو كَذِبٌ و مخَالِفٌ لِقَوْلهِ تَعالى: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ما يُبَدَّلُ الْقَوْلُ لَدَيَ‏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21"/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 فيه نَسْخُ الخَبَرِ، و غير ذلك، و صُحِّح الأَوَّلُ و قد أَورَدَهَا مبْسُوطَةً أَبو المُعِين النَّسفيّ في التَّبْصِرَة، فراجِعْهَا، و اللَّه أَعلَمُ.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footnoteReference w:id="22"/>
      </w:r>
    </w:p>
    <w:p w:rsidR="0076262E" w:rsidRDefault="0076262E"/>
    <w:p w:rsidR="0076262E" w:rsidRDefault="0076262E" w:rsidP="0076262E">
      <w:pPr>
        <w:pStyle w:val="NormalWeb"/>
        <w:bidi/>
        <w:rPr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نام كتاب: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تاج العروس من جواهر القاموس‏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پديدآور: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مرتضى زبيدى، محمد بن محمد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تاريخ وفات پديدآور: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1205 ه. ق‏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محقق/ مصحح: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شيرى، على‏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lastRenderedPageBreak/>
        <w:t>موضوع: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معجم لفظى‏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زبان: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عربى‏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تعداد جلد: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20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ناشر: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دار الفكر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مكان چاپ: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بيروت‏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سال چاپ: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1414 ه. ق‏</w:t>
      </w:r>
    </w:p>
    <w:p w:rsidR="0076262E" w:rsidRDefault="0076262E" w:rsidP="0076262E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نوبت چاپ: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اول‏</w:t>
      </w:r>
    </w:p>
    <w:p w:rsidR="0076262E" w:rsidRDefault="0076262E"/>
    <w:p w:rsidR="00CB5EFD" w:rsidRDefault="00CB5EFD"/>
    <w:sectPr w:rsidR="00CB5E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058" w:rsidRDefault="00AD4058" w:rsidP="0076262E">
      <w:pPr>
        <w:spacing w:after="0" w:line="240" w:lineRule="auto"/>
      </w:pPr>
      <w:r>
        <w:separator/>
      </w:r>
    </w:p>
  </w:endnote>
  <w:endnote w:type="continuationSeparator" w:id="0">
    <w:p w:rsidR="00AD4058" w:rsidRDefault="00AD4058" w:rsidP="00762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B2"/>
    <w:family w:val="auto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058" w:rsidRDefault="00AD4058" w:rsidP="0076262E">
      <w:pPr>
        <w:spacing w:after="0" w:line="240" w:lineRule="auto"/>
      </w:pPr>
      <w:r>
        <w:separator/>
      </w:r>
    </w:p>
  </w:footnote>
  <w:footnote w:type="continuationSeparator" w:id="0">
    <w:p w:rsidR="00AD4058" w:rsidRDefault="00AD4058" w:rsidP="0076262E">
      <w:pPr>
        <w:spacing w:after="0" w:line="240" w:lineRule="auto"/>
      </w:pPr>
      <w:r>
        <w:continuationSeparator/>
      </w:r>
    </w:p>
  </w:footnote>
  <w:footnote w:id="1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( 2) سورة الأنبياء الآية 38 و سورة يونس الآية 48 و سورة سبأ الآية 29.</w:t>
      </w:r>
    </w:p>
  </w:footnote>
  <w:footnote w:id="2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( 3) سورة التوبة الآية 114.</w:t>
      </w:r>
    </w:p>
  </w:footnote>
  <w:footnote w:id="3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( 4) يئِلُ ماضيه و ألَ.</w:t>
      </w:r>
    </w:p>
  </w:footnote>
  <w:footnote w:id="4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( 5) الصحاح: فيه.</w:t>
      </w:r>
    </w:p>
  </w:footnote>
  <w:footnote w:id="5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( 1) البيت في معجم البلدان( يترب) و صدره:</w:t>
      </w:r>
    </w:p>
    <w:tbl>
      <w:tblPr>
        <w:bidiVisual/>
        <w:tblW w:w="45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4"/>
      </w:tblGrid>
      <w:tr w:rsid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rFonts w:hint="cs"/>
                <w:rtl/>
              </w:rPr>
            </w:pPr>
            <w:r>
              <w:rPr>
                <w:rFonts w:eastAsia="Times New Roman"/>
                <w:color w:val="242887"/>
                <w:sz w:val="30"/>
                <w:szCs w:val="30"/>
                <w:rtl/>
              </w:rPr>
              <w:t>وعدتِ و كان الخلف منك سجيةً</w:t>
            </w:r>
            <w:r>
              <w:rPr>
                <w:rFonts w:eastAsia="Times New Roman"/>
                <w:color w:val="242887"/>
                <w:sz w:val="30"/>
                <w:szCs w:val="30"/>
              </w:rPr>
              <w:t>.</w:t>
            </w:r>
          </w:p>
        </w:tc>
      </w:tr>
    </w:tbl>
  </w:footnote>
  <w:footnote w:id="6">
    <w:p w:rsidR="0076262E" w:rsidRDefault="0076262E" w:rsidP="0076262E">
      <w:pPr>
        <w:pStyle w:val="FootnoteText"/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( 2) سورة الفتح الآية 29.</w:t>
      </w:r>
    </w:p>
  </w:footnote>
  <w:footnote w:id="7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( 3) سورة الحج الآية 72.</w:t>
      </w:r>
    </w:p>
  </w:footnote>
  <w:footnote w:id="8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( 4) سورة البقرة الآية 268.</w:t>
      </w:r>
    </w:p>
  </w:footnote>
  <w:footnote w:id="9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( 5) في المطبوعة الكويتية« أخلوا» تحريف.</w:t>
      </w:r>
    </w:p>
  </w:footnote>
  <w:footnote w:id="10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( 6) ديوانه، و عجزه:</w:t>
      </w:r>
    </w:p>
    <w:tbl>
      <w:tblPr>
        <w:bidiVisual/>
        <w:tblW w:w="45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4"/>
      </w:tblGrid>
      <w:tr w:rsidR="0076262E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6262E" w:rsidRDefault="0076262E">
            <w:pPr>
              <w:bidi/>
              <w:jc w:val="center"/>
              <w:rPr>
                <w:rFonts w:hint="cs"/>
                <w:rtl/>
              </w:rPr>
            </w:pPr>
            <w:r>
              <w:rPr>
                <w:rFonts w:eastAsia="Times New Roman"/>
                <w:color w:val="242887"/>
                <w:sz w:val="30"/>
                <w:szCs w:val="30"/>
                <w:rtl/>
              </w:rPr>
              <w:t>و سوف أزيد الباقيات القوارصا</w:t>
            </w:r>
            <w:r>
              <w:rPr>
                <w:rFonts w:eastAsia="Times New Roman"/>
                <w:color w:val="242887"/>
                <w:sz w:val="30"/>
                <w:szCs w:val="30"/>
              </w:rPr>
              <w:t>.</w:t>
            </w:r>
          </w:p>
        </w:tc>
      </w:tr>
    </w:tbl>
  </w:footnote>
  <w:footnote w:id="11">
    <w:p w:rsidR="0076262E" w:rsidRDefault="0076262E" w:rsidP="0076262E">
      <w:pPr>
        <w:pStyle w:val="FootnoteText"/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( 1) عن الأساس، و بالأصل« بعيد».</w:t>
      </w:r>
    </w:p>
  </w:footnote>
  <w:footnote w:id="12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( 2) في اللسان: يعد.</w:t>
      </w:r>
    </w:p>
  </w:footnote>
  <w:footnote w:id="13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( 3) في الصحاح و اللسان: قبول الوعد.</w:t>
      </w:r>
    </w:p>
  </w:footnote>
  <w:footnote w:id="14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( 4) زيادة عن اللسان.</w:t>
      </w:r>
    </w:p>
  </w:footnote>
  <w:footnote w:id="15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( 5) سورة طه الآية 87.</w:t>
      </w:r>
    </w:p>
  </w:footnote>
  <w:footnote w:id="16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( 6) سورة طه الآية 86.</w:t>
      </w:r>
    </w:p>
  </w:footnote>
  <w:footnote w:id="17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( 7) سورة البروج الآية 2.</w:t>
      </w:r>
    </w:p>
  </w:footnote>
  <w:footnote w:id="18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( 8) سورة الواقعة الآية 50.</w:t>
      </w:r>
    </w:p>
  </w:footnote>
  <w:footnote w:id="19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( 9) سورة البقرة الآية 51.</w:t>
      </w:r>
    </w:p>
  </w:footnote>
  <w:footnote w:id="20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( 1) سورة ابراهيم الآية 22.</w:t>
      </w:r>
    </w:p>
  </w:footnote>
  <w:footnote w:id="21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( 2) سورة ق الآية 29.</w:t>
      </w:r>
    </w:p>
  </w:footnote>
  <w:footnote w:id="22">
    <w:p w:rsidR="0076262E" w:rsidRDefault="0076262E" w:rsidP="0076262E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مرتضى زبيدى، محمد بن محمد، تاج العروس من جواهر القاموس، 20جلد، دار الفكر - بيروت، چاپ: اول، 1414 ه.ق.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62E"/>
    <w:rsid w:val="0076262E"/>
    <w:rsid w:val="00AD4058"/>
    <w:rsid w:val="00CB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FF27B5-6131-4784-884D-1266657A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76262E"/>
    <w:pPr>
      <w:bidi/>
      <w:spacing w:after="0" w:line="240" w:lineRule="auto"/>
      <w:jc w:val="both"/>
    </w:pPr>
    <w:rPr>
      <w:rFonts w:ascii="Traditional Arabic" w:hAnsi="Times New Roman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6262E"/>
    <w:rPr>
      <w:rFonts w:ascii="Traditional Arabic" w:hAnsi="Times New Roman"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262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6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4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2116</Words>
  <Characters>12063</Characters>
  <Application>Microsoft Office Word</Application>
  <DocSecurity>0</DocSecurity>
  <Lines>100</Lines>
  <Paragraphs>28</Paragraphs>
  <ScaleCrop>false</ScaleCrop>
  <Company/>
  <LinksUpToDate>false</LinksUpToDate>
  <CharactersWithSpaces>14151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2018-08-03T19:46:00Z</dcterms:created>
  <dcterms:modified xsi:type="dcterms:W3CDTF">2018-08-03T19:50:00Z</dcterms:modified>
</cp:coreProperties>
</file>