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B17" w:rsidRDefault="00E92B17" w:rsidP="00347B8F">
      <w:pPr>
        <w:rPr>
          <w:rtl/>
        </w:rPr>
      </w:pPr>
      <w:bookmarkStart w:id="0" w:name="_GoBack"/>
      <w:r>
        <w:rPr>
          <w:rFonts w:cs="Arial"/>
          <w:rtl/>
        </w:rPr>
        <w:t>مراد از وعده</w:t>
      </w:r>
      <w:r>
        <w:rPr>
          <w:rFonts w:hint="cs"/>
          <w:rtl/>
        </w:rPr>
        <w:t xml:space="preserve"> </w:t>
      </w:r>
    </w:p>
    <w:bookmarkEnd w:id="0"/>
    <w:p w:rsidR="00347B8F" w:rsidRDefault="00E92B17" w:rsidP="00347B8F">
      <w:pPr>
        <w:rPr>
          <w:rFonts w:cs="Arial"/>
          <w:rtl/>
        </w:rPr>
      </w:pPr>
      <w:r>
        <w:rPr>
          <w:rFonts w:cs="Arial"/>
          <w:rtl/>
        </w:rPr>
        <w:t>بحث درباره (آتِنا ما وعَدتَنا)، در دو مقام است:</w:t>
      </w:r>
    </w:p>
    <w:p w:rsidR="00E92B17" w:rsidRDefault="00E92B17" w:rsidP="00347B8F">
      <w:pPr>
        <w:rPr>
          <w:rtl/>
        </w:rPr>
      </w:pPr>
      <w:r>
        <w:rPr>
          <w:rFonts w:cs="Arial"/>
          <w:rtl/>
        </w:rPr>
        <w:t xml:space="preserve"> 1. درخواست ايتاي وعدهو نيز مسئلت وفا به عهد از خداوندي كه يقيناً خلف وعد و عهد ندارد به چه معناست، با اينكه دليل نقلي: (لايُخلِفُ الميعاد)</w:t>
      </w:r>
      <w:r w:rsidR="00347B8F">
        <w:rPr>
          <w:rStyle w:val="FootnoteReference"/>
          <w:rFonts w:cs="Arial"/>
          <w:rtl/>
        </w:rPr>
        <w:footnoteReference w:id="1"/>
      </w:r>
      <w:r>
        <w:rPr>
          <w:rFonts w:cs="Arial"/>
          <w:rtl/>
        </w:rPr>
        <w:t xml:space="preserve"> مانند دليل عقلي قطعي وجود دارد؟ 2. وعده‏هايي كه انجاز آن‏ها درخواست مي‏شود كدام‏اند؟ البته اين دو مقام قابل ادغام‏اند.</w:t>
      </w:r>
    </w:p>
    <w:p w:rsidR="00E92B17" w:rsidRDefault="00E92B17" w:rsidP="00E92B17">
      <w:pPr>
        <w:rPr>
          <w:rtl/>
        </w:rPr>
      </w:pPr>
      <w:r>
        <w:rPr>
          <w:rFonts w:cs="Arial"/>
          <w:rtl/>
        </w:rPr>
        <w:t>مقام اوّل: هرچند انجاز وعد خدا قطعي است، در اينجا چند وجه مطرح است:</w:t>
      </w:r>
    </w:p>
    <w:p w:rsidR="00E92B17" w:rsidRDefault="00E92B17" w:rsidP="00347B8F">
      <w:pPr>
        <w:rPr>
          <w:rtl/>
        </w:rPr>
      </w:pPr>
      <w:r>
        <w:rPr>
          <w:rFonts w:cs="Arial"/>
          <w:rtl/>
        </w:rPr>
        <w:t>1. مراد تضرّع منقطعانه به سوي او و تعبّد عاجزانه در ساحت وي است؛ نظير (قالَ رَبِّ احكُم بِالحَقّ)</w:t>
      </w:r>
      <w:r w:rsidR="00347B8F">
        <w:rPr>
          <w:rStyle w:val="FootnoteReference"/>
          <w:rFonts w:cs="Arial"/>
          <w:rtl/>
        </w:rPr>
        <w:footnoteReference w:id="2"/>
      </w:r>
      <w:r>
        <w:rPr>
          <w:rFonts w:cs="Arial"/>
          <w:rtl/>
        </w:rPr>
        <w:t xml:space="preserve"> (لاتُحَمِّلنا ما لاطاقَةَ لَنا بِه)</w:t>
      </w:r>
      <w:r w:rsidR="00347B8F">
        <w:rPr>
          <w:rStyle w:val="FootnoteReference"/>
          <w:rFonts w:cs="Arial"/>
          <w:rtl/>
        </w:rPr>
        <w:footnoteReference w:id="3"/>
      </w:r>
      <w:r>
        <w:rPr>
          <w:rFonts w:cs="Arial"/>
          <w:rtl/>
        </w:rPr>
        <w:t xml:space="preserve"> با اينكه يقيناً خداوند به حق حكم مي‏كند و قطعاً فوق طاقتْ چيزي را بر ما حمل نخواهد فرمود.</w:t>
      </w:r>
    </w:p>
    <w:p w:rsidR="00E92B17" w:rsidRDefault="00E92B17" w:rsidP="00347B8F">
      <w:pPr>
        <w:rPr>
          <w:rtl/>
        </w:rPr>
      </w:pPr>
      <w:r>
        <w:rPr>
          <w:rFonts w:cs="Arial"/>
          <w:rtl/>
        </w:rPr>
        <w:t>2. همان‏گونه كه گاهي خبر به معناي انشاست، زماني نيز جمله انشايي در مورد خبر به كار مي‏رود. در اينجا نيز مقصود از دعا و سؤال انشايي در (تَوَفَّنا مَعَ الأبرار)</w:t>
      </w:r>
      <w:r w:rsidR="00347B8F">
        <w:rPr>
          <w:rStyle w:val="FootnoteReference"/>
          <w:rFonts w:cs="Arial"/>
          <w:rtl/>
        </w:rPr>
        <w:footnoteReference w:id="4"/>
      </w:r>
      <w:r>
        <w:rPr>
          <w:rFonts w:cs="Arial"/>
          <w:rtl/>
        </w:rPr>
        <w:t xml:space="preserve"> اين است كه «تو (خدايا) ما را با ابرار بميران تا به وعده‏ات عمل كني و ما را مشمول آن قرار دهي»، به حيثي كه جمله (آتِنا) به معناي «لتؤتينا» باشد.</w:t>
      </w:r>
    </w:p>
    <w:p w:rsidR="00E92B17" w:rsidRDefault="00E92B17" w:rsidP="00347B8F">
      <w:pPr>
        <w:rPr>
          <w:rtl/>
        </w:rPr>
      </w:pPr>
      <w:r>
        <w:rPr>
          <w:rFonts w:cs="Arial"/>
          <w:rtl/>
        </w:rPr>
        <w:t>3. جمله (آتِنا)، در مورد انشايي خود به كار رفته باشد؛ ليكن مراد آن باشد كه «خدايا! ما را از كساني قرارده كه طبق وعده‏ات به آن‏ها كرامت مي‏بخشي».</w:t>
      </w:r>
    </w:p>
    <w:p w:rsidR="00E92B17" w:rsidRDefault="00E92B17" w:rsidP="00347B8F">
      <w:pPr>
        <w:rPr>
          <w:rtl/>
        </w:rPr>
      </w:pPr>
      <w:r>
        <w:rPr>
          <w:rFonts w:cs="Arial"/>
          <w:rtl/>
        </w:rPr>
        <w:t>4. مقصود از اين جمله انشايي، درخواست تعجيل كمك و تسريع نصرت الهي باشد تا بر باطل و مبطل فائق آيند، زيرا خداي سبحان وعده نصرت بدون تعيين اجل داده است نه با تعيين مدّت، از اين‏رو درخواست تسريع بجا خواهد بود. برخي از مفسران، اين وجه چهارم را به قرينه آيه آينده: (فَاستَجابَ لَهُم رَبُّهُم)</w:t>
      </w:r>
      <w:r w:rsidR="00347B8F">
        <w:rPr>
          <w:rStyle w:val="FootnoteReference"/>
          <w:rFonts w:cs="Arial"/>
          <w:rtl/>
        </w:rPr>
        <w:footnoteReference w:id="5"/>
      </w:r>
      <w:r>
        <w:rPr>
          <w:rFonts w:cs="Arial"/>
          <w:rtl/>
        </w:rPr>
        <w:t xml:space="preserve"> ترجيح داده‏اند.</w:t>
      </w:r>
      <w:r w:rsidR="00347B8F">
        <w:rPr>
          <w:rStyle w:val="FootnoteReference"/>
          <w:rFonts w:cs="Arial"/>
          <w:rtl/>
        </w:rPr>
        <w:footnoteReference w:id="6"/>
      </w:r>
    </w:p>
    <w:p w:rsidR="00E92B17" w:rsidRDefault="00E92B17" w:rsidP="00E92B17">
      <w:pPr>
        <w:rPr>
          <w:rtl/>
        </w:rPr>
      </w:pPr>
      <w:r>
        <w:rPr>
          <w:rFonts w:cs="Arial"/>
          <w:rtl/>
        </w:rPr>
        <w:t>تذكّر: چون مقام اوّل با مقام دوم نزديك بود، اهل تفسير اين دو را از هم تفكيك نكرده و اين وجوه چهارگانه و مانند آن را يكجا گردآورده‏اند چنان‏كه اين وجوه چهارگانه كاملاً از يكديگر ممتازند؛ ليكن بر اثر تقارب وجوه از يك‏سو و دقّت تمايز از سوي ديگر، نيل به فرق‏هاي مزبور سهل نيست.</w:t>
      </w:r>
    </w:p>
    <w:p w:rsidR="00E92B17" w:rsidRDefault="00E92B17" w:rsidP="00E92B17">
      <w:pPr>
        <w:rPr>
          <w:rtl/>
        </w:rPr>
      </w:pPr>
      <w:r>
        <w:rPr>
          <w:rFonts w:cs="Arial"/>
          <w:rtl/>
        </w:rPr>
        <w:t>مقام دوم: هرچند برخي از مطالب آن در ضمن مقام اول بيان شد، بعض ديگر آن كه مي‏تواند معناي (رَبَّنا وآتِنا ما وعَدتَنا عَلي رُسُلِك) و بيان وعده‏هايي باشد كه انجاز آن‏ها درخواست مي‏شود بدين شرح است:</w:t>
      </w:r>
    </w:p>
    <w:p w:rsidR="00E92B17" w:rsidRDefault="00E92B17" w:rsidP="00E92B17">
      <w:pPr>
        <w:rPr>
          <w:rtl/>
        </w:rPr>
      </w:pPr>
      <w:r>
        <w:rPr>
          <w:rFonts w:cs="Arial"/>
          <w:rtl/>
        </w:rPr>
        <w:t>1. خدايا! از زبان پيامبرانت به ما وعده دادي كه مؤمن اهل عمل صالح، شايسته دريافت پاداش تو خواهد بود و ما به توفيق تو ايمان آورده و عمل صالح انجام داديم، پس وعده‏هايي را كه به زبان انبيا(عليهم‌السلام) در كتاب‏هاي آسماني به ما دادي، برآورده فرما.</w:t>
      </w:r>
    </w:p>
    <w:p w:rsidR="00E92B17" w:rsidRDefault="00E92B17" w:rsidP="00347B8F">
      <w:pPr>
        <w:rPr>
          <w:rtl/>
        </w:rPr>
      </w:pPr>
      <w:r>
        <w:rPr>
          <w:rFonts w:cs="Arial"/>
          <w:rtl/>
        </w:rPr>
        <w:t xml:space="preserve">2. پروردگارا! </w:t>
      </w:r>
      <w:r w:rsidR="00347B8F">
        <w:rPr>
          <w:rStyle w:val="FootnoteReference"/>
          <w:rFonts w:cs="Arial"/>
          <w:rtl/>
        </w:rPr>
        <w:footnoteReference w:id="7"/>
      </w:r>
      <w:r>
        <w:rPr>
          <w:rFonts w:cs="Arial"/>
          <w:rtl/>
        </w:rPr>
        <w:t>دعاهاي پيامبران پيشين را درباره ما اجابت فرما، پس ما را از كساني قرار ده كه در بيت نبوّت و ولايت حضرت نوح(عليه‌السلام) وارد شويم كه عرض كرد: (رَبِّ اغفِر لي ولِوالِدَيّ ولِمَن دَخَلَ بَيتِي مُؤمِنا)</w:t>
      </w:r>
      <w:r w:rsidR="00347B8F">
        <w:rPr>
          <w:rStyle w:val="FootnoteReference"/>
          <w:rFonts w:cs="Arial"/>
          <w:rtl/>
        </w:rPr>
        <w:footnoteReference w:id="8"/>
      </w:r>
      <w:r>
        <w:rPr>
          <w:rFonts w:cs="Arial"/>
          <w:rtl/>
        </w:rPr>
        <w:t xml:space="preserve"> و نيز ما را كه ازفرزندان ابراهيم خليل الرّحمان معرّفي كرده‏اي: (مِلَّةَ أبيكُم ابراهيم)</w:t>
      </w:r>
      <w:r w:rsidR="00347B8F">
        <w:rPr>
          <w:rStyle w:val="FootnoteReference"/>
          <w:rFonts w:cs="Arial"/>
          <w:rtl/>
        </w:rPr>
        <w:footnoteReference w:id="9"/>
      </w:r>
      <w:r>
        <w:rPr>
          <w:rFonts w:cs="Arial"/>
          <w:rtl/>
        </w:rPr>
        <w:t xml:space="preserve"> از پرستش بت‏ها دور بدار؛ كه دعاي ابراهيم(عليه‌السلام) چنين بود: (واجنُبني وبَنِيّ أن نَعبُدَ الأصنام).</w:t>
      </w:r>
      <w:r w:rsidR="00347B8F">
        <w:rPr>
          <w:rStyle w:val="FootnoteReference"/>
          <w:rFonts w:cs="Arial"/>
          <w:rtl/>
        </w:rPr>
        <w:footnoteReference w:id="10"/>
      </w:r>
    </w:p>
    <w:p w:rsidR="00C020D8" w:rsidRDefault="00C020D8" w:rsidP="00347B8F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CDD" w:rsidRDefault="00053CDD" w:rsidP="00347B8F">
      <w:pPr>
        <w:spacing w:after="0" w:line="240" w:lineRule="auto"/>
      </w:pPr>
      <w:r>
        <w:separator/>
      </w:r>
    </w:p>
  </w:endnote>
  <w:endnote w:type="continuationSeparator" w:id="0">
    <w:p w:rsidR="00053CDD" w:rsidRDefault="00053CDD" w:rsidP="0034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CDD" w:rsidRDefault="00053CDD" w:rsidP="00347B8F">
      <w:pPr>
        <w:spacing w:after="0" w:line="240" w:lineRule="auto"/>
      </w:pPr>
      <w:r>
        <w:separator/>
      </w:r>
    </w:p>
  </w:footnote>
  <w:footnote w:type="continuationSeparator" w:id="0">
    <w:p w:rsidR="00053CDD" w:rsidRDefault="00053CDD" w:rsidP="00347B8F">
      <w:pPr>
        <w:spacing w:after="0" w:line="240" w:lineRule="auto"/>
      </w:pPr>
      <w:r>
        <w:continuationSeparator/>
      </w:r>
    </w:p>
  </w:footnote>
  <w:footnote w:id="1">
    <w:p w:rsidR="00347B8F" w:rsidRDefault="00347B8F" w:rsidP="00347B8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آل عمران، آيه 9.</w:t>
      </w:r>
    </w:p>
  </w:footnote>
  <w:footnote w:id="2">
    <w:p w:rsidR="00347B8F" w:rsidRDefault="00347B8F" w:rsidP="00347B8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انبياء، آيه 112.</w:t>
      </w:r>
    </w:p>
  </w:footnote>
  <w:footnote w:id="3">
    <w:p w:rsidR="00347B8F" w:rsidRDefault="00347B8F" w:rsidP="00347B8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بقره، آيه 286.</w:t>
      </w:r>
    </w:p>
  </w:footnote>
  <w:footnote w:id="4">
    <w:p w:rsidR="00347B8F" w:rsidRDefault="00347B8F" w:rsidP="00347B8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آل عمران، آيه 193.</w:t>
      </w:r>
    </w:p>
  </w:footnote>
  <w:footnote w:id="5">
    <w:p w:rsidR="00347B8F" w:rsidRDefault="00347B8F" w:rsidP="00347B8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آل عمران، آيه 195.</w:t>
      </w:r>
    </w:p>
  </w:footnote>
  <w:footnote w:id="6">
    <w:p w:rsidR="00347B8F" w:rsidRDefault="00347B8F" w:rsidP="00347B8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ن.ك: التبيان، ج3، ص86؛ ن.ك: مجمع البيان، ج1 ـ 2، ص912.</w:t>
      </w:r>
    </w:p>
  </w:footnote>
  <w:footnote w:id="7">
    <w:p w:rsidR="00347B8F" w:rsidRDefault="00347B8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؟</w:t>
      </w:r>
    </w:p>
  </w:footnote>
  <w:footnote w:id="8">
    <w:p w:rsidR="00347B8F" w:rsidRDefault="00347B8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نوح، آيه 28.</w:t>
      </w:r>
    </w:p>
  </w:footnote>
  <w:footnote w:id="9">
    <w:p w:rsidR="00347B8F" w:rsidRDefault="00347B8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؟</w:t>
      </w:r>
    </w:p>
  </w:footnote>
  <w:footnote w:id="10">
    <w:p w:rsidR="00347B8F" w:rsidRDefault="00347B8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تسنيم، جلد 16 -  صفحه 709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17"/>
    <w:rsid w:val="00053CDD"/>
    <w:rsid w:val="00347B8F"/>
    <w:rsid w:val="00C020D8"/>
    <w:rsid w:val="00E333C0"/>
    <w:rsid w:val="00E9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9F5CB"/>
  <w15:docId w15:val="{2E730362-87E8-4281-AA6B-02AE2DE0B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47B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7B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7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2018-07-09T10:08:00Z</dcterms:created>
  <dcterms:modified xsi:type="dcterms:W3CDTF">2018-08-06T06:32:00Z</dcterms:modified>
</cp:coreProperties>
</file>