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30A" w:rsidRDefault="00B9630A" w:rsidP="00B9630A">
      <w:pPr>
        <w:pStyle w:val="NormalWeb"/>
        <w:bidi/>
        <w:jc w:val="center"/>
      </w:pPr>
      <w:r>
        <w:rPr>
          <w:rFonts w:ascii="Traditional Arabic" w:hAnsi="Traditional Arabic" w:cs="Traditional Arabic" w:hint="cs"/>
          <w:b/>
          <w:bCs/>
          <w:color w:val="552B2B"/>
          <w:sz w:val="32"/>
          <w:szCs w:val="32"/>
          <w:rtl/>
        </w:rPr>
        <w:t>اعلام قرآن از دايره المعارف قرآن كريم    ج‏1    565</w:t>
      </w:r>
    </w:p>
    <w:p w:rsidR="00B9630A" w:rsidRDefault="00B9630A" w:rsidP="00B9630A">
      <w:pPr>
        <w:pStyle w:val="NormalWeb"/>
        <w:bidi/>
        <w:rPr>
          <w:rFonts w:hint="cs"/>
          <w:rtl/>
        </w:rPr>
      </w:pPr>
      <w:r>
        <w:rPr>
          <w:rFonts w:ascii="Traditional Arabic" w:hAnsi="Traditional Arabic" w:cs="Traditional Arabic" w:hint="cs"/>
          <w:color w:val="465BFF"/>
          <w:sz w:val="30"/>
          <w:szCs w:val="30"/>
          <w:rtl/>
        </w:rPr>
        <w:t>وعده يارى و پيروزى در جنگ‏</w:t>
      </w:r>
    </w:p>
    <w:p w:rsidR="00B9630A" w:rsidRDefault="00B9630A" w:rsidP="00B9630A">
      <w:pPr>
        <w:pStyle w:val="NormalWeb"/>
        <w:bidi/>
        <w:rPr>
          <w:rFonts w:hint="cs"/>
          <w:rtl/>
        </w:rPr>
      </w:pPr>
      <w:r>
        <w:rPr>
          <w:rFonts w:ascii="Traditional Arabic" w:hAnsi="Traditional Arabic" w:cs="Traditional Arabic" w:hint="cs"/>
          <w:color w:val="000000"/>
          <w:sz w:val="30"/>
          <w:szCs w:val="30"/>
          <w:rtl/>
        </w:rPr>
        <w:t>از برخى آيات استفاده مى‏شود كه خداوند، پيش از احُد به مسلمانان وعده يارى و پيروزى در اين جنگ را داده بود</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و تا آن زمان كه مؤمنان از دستورهاى پيامبر صلى الله عليه و آله پيروى مى‏كردند، به وعده خويش وفا كرد؛</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امّا سستى و نافرمانى مسلمانان باعث تغيير سرنوشت جنگ شد:</w:t>
      </w:r>
      <w:r>
        <w:rPr>
          <w:rFonts w:ascii="Traditional Arabic" w:hAnsi="Traditional Arabic" w:cs="Traditional Arabic" w:hint="cs"/>
          <w:color w:val="006A0F"/>
          <w:sz w:val="30"/>
          <w:szCs w:val="30"/>
          <w:rtl/>
        </w:rPr>
        <w:t xml:space="preserve"> «وَ لَقَدْ صَدَقَكُمُ اللَّهُ وَعْدَهُ إِذْ تَحُسُّونَهُمْ بِإِذْنِهِ حَتَّى إِذا فَشِلْتُمْ وَ تَنازَعْتُمْ فِي الْأَمْرِ وَ عَصَيْتُمْ مِنْ بَعْدِ ما أَراكُمْ ما تُحِبُّونَ مِنْكُمْ مَنْ يُرِيدُ الدُّنْيا وَ مِنْكُمْ مَنْ يُرِيدُ الْآخِرَةَ ...»</w:t>
      </w:r>
      <w:r>
        <w:rPr>
          <w:rFonts w:ascii="Traditional Arabic" w:hAnsi="Traditional Arabic" w:cs="Traditional Arabic" w:hint="cs"/>
          <w:color w:val="000000"/>
          <w:sz w:val="30"/>
          <w:szCs w:val="30"/>
          <w:rtl/>
        </w:rPr>
        <w:t>. (آل‏عمران/ 3، 152) به گفته مشهور مفسّران، خداوند تا آن هنگام كه پاسداران كوه عينين سنگرشان را رها نكردند، به وعده‏اش عمل كرد.</w:t>
      </w:r>
      <w:r>
        <w:rPr>
          <w:rStyle w:val="FootnoteReference"/>
          <w:rFonts w:ascii="Traditional Arabic" w:hAnsi="Traditional Arabic" w:cs="Traditional Arabic"/>
          <w:color w:val="000000"/>
          <w:sz w:val="30"/>
          <w:szCs w:val="30"/>
          <w:rtl/>
        </w:rPr>
        <w:footnoteReference w:id="3"/>
      </w:r>
    </w:p>
    <w:p w:rsidR="00B9630A" w:rsidRDefault="00B9630A" w:rsidP="00B9630A">
      <w:pPr>
        <w:pStyle w:val="NormalWeb"/>
        <w:bidi/>
        <w:rPr>
          <w:rFonts w:hint="cs"/>
          <w:rtl/>
        </w:rPr>
      </w:pPr>
      <w:r>
        <w:rPr>
          <w:rFonts w:ascii="Traditional Arabic" w:hAnsi="Traditional Arabic" w:cs="Traditional Arabic" w:hint="cs"/>
          <w:color w:val="000000"/>
          <w:sz w:val="30"/>
          <w:szCs w:val="30"/>
          <w:rtl/>
        </w:rPr>
        <w:t>درباره اين‏كه خداوند در كجا به مسلمانان چنين وعده‏اى داده چند نظر است:</w:t>
      </w:r>
    </w:p>
    <w:p w:rsidR="00B9630A" w:rsidRDefault="00B9630A" w:rsidP="00B9630A">
      <w:pPr>
        <w:pStyle w:val="NormalWeb"/>
        <w:bidi/>
        <w:rPr>
          <w:rFonts w:hint="cs"/>
          <w:rtl/>
        </w:rPr>
      </w:pPr>
      <w:r>
        <w:rPr>
          <w:rFonts w:ascii="Traditional Arabic" w:hAnsi="Traditional Arabic" w:cs="Traditional Arabic" w:hint="cs"/>
          <w:color w:val="000000"/>
          <w:sz w:val="30"/>
          <w:szCs w:val="30"/>
          <w:rtl/>
        </w:rPr>
        <w:t>1. از آيات متعدّدى استفاده مى‏شود كه خداوند، مؤمنان و كسانى كه او را يارى كنند،</w:t>
      </w:r>
    </w:p>
    <w:p w:rsidR="00B9630A" w:rsidRDefault="00B9630A" w:rsidP="00B9630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اعلام قرآن از دايره المعارف قرآن كريم، ج‏1، ص: 566</w:t>
      </w:r>
    </w:p>
    <w:p w:rsidR="00B9630A" w:rsidRDefault="00B9630A" w:rsidP="00B9630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يارى مى‏كند. (محمد/ 47، 7؛ حج/ 22، 40 و ...)</w:t>
      </w:r>
      <w:r>
        <w:rPr>
          <w:rStyle w:val="FootnoteReference"/>
          <w:rFonts w:ascii="Traditional Arabic" w:hAnsi="Traditional Arabic" w:cs="Traditional Arabic"/>
          <w:color w:val="000000"/>
          <w:sz w:val="30"/>
          <w:szCs w:val="30"/>
          <w:rtl/>
        </w:rPr>
        <w:footnoteReference w:id="4"/>
      </w:r>
    </w:p>
    <w:p w:rsidR="00B9630A" w:rsidRDefault="00B9630A" w:rsidP="00B9630A">
      <w:pPr>
        <w:pStyle w:val="NormalWeb"/>
        <w:bidi/>
        <w:rPr>
          <w:rFonts w:hint="cs"/>
          <w:rtl/>
        </w:rPr>
      </w:pPr>
      <w:r>
        <w:rPr>
          <w:rFonts w:ascii="Traditional Arabic" w:hAnsi="Traditional Arabic" w:cs="Traditional Arabic" w:hint="cs"/>
          <w:color w:val="000000"/>
          <w:sz w:val="30"/>
          <w:szCs w:val="30"/>
          <w:rtl/>
        </w:rPr>
        <w:t>2. رسول خدا پيش از جنگ، به مسلمانان وعده پيروزى داده بود و وعده رسول خدا، همان وعده الهى است.</w:t>
      </w:r>
      <w:r>
        <w:rPr>
          <w:rStyle w:val="FootnoteReference"/>
          <w:rFonts w:ascii="Traditional Arabic" w:hAnsi="Traditional Arabic" w:cs="Traditional Arabic"/>
          <w:color w:val="000000"/>
          <w:sz w:val="30"/>
          <w:szCs w:val="30"/>
          <w:rtl/>
        </w:rPr>
        <w:footnoteReference w:id="5"/>
      </w:r>
    </w:p>
    <w:p w:rsidR="00B9630A" w:rsidRDefault="00B9630A" w:rsidP="00B9630A">
      <w:pPr>
        <w:pStyle w:val="NormalWeb"/>
        <w:bidi/>
        <w:rPr>
          <w:rFonts w:hint="cs"/>
          <w:rtl/>
        </w:rPr>
      </w:pPr>
      <w:r>
        <w:rPr>
          <w:rFonts w:ascii="Traditional Arabic" w:hAnsi="Traditional Arabic" w:cs="Traditional Arabic" w:hint="cs"/>
          <w:color w:val="000000"/>
          <w:sz w:val="30"/>
          <w:szCs w:val="30"/>
          <w:rtl/>
        </w:rPr>
        <w:t>3. خداوند پيش از جنگ با نازل كردن آياتى بر پيامبرش، به مؤمنان در اين جنگ وعده يارى داده بود. برحسب بعضى نقل‏ها، آن هنگام كه مؤمنان مشركان را مشاهده كردند، به پيامبر گفتند: آيا خداوند ما را در اين جنگ يارى نمى‏كند آن‏طور كه در غزوه بدر كمك كرد؟ حضرت فرمود</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 أَ لَنْ يَكْفِيَكُمْ أَنْ يُمِدَّكُمْ رَبُّكُمْ بِثَلاثَةِ آلافٍ مِنَ الْمَلائِكَةِ مُنْزَلِينَ»</w:t>
      </w:r>
      <w:r>
        <w:rPr>
          <w:rFonts w:ascii="Traditional Arabic" w:hAnsi="Traditional Arabic" w:cs="Traditional Arabic" w:hint="cs"/>
          <w:color w:val="000000"/>
          <w:sz w:val="30"/>
          <w:szCs w:val="30"/>
          <w:rtl/>
        </w:rPr>
        <w:t xml:space="preserve"> (آل‏عمران/ 3، 124)، و همچنين در آيه 125 خداوند به مؤمنان وعده يارى و كمك داده است به شرط آن‏كه تقوا و صبر را پيشه كنند</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«بَلى‏ إِنْ تَصْبِرُوا وَ تَتَّقُوا وَ يَأْتُوكُمْ مِنْ فَوْرِهِمْ هذا يُمْدِدْكُمْ رَبُّكُمْ بِخَمْسَةِ آلافٍ </w:t>
      </w:r>
      <w:r>
        <w:rPr>
          <w:rFonts w:ascii="Traditional Arabic" w:hAnsi="Traditional Arabic" w:cs="Traditional Arabic" w:hint="cs"/>
          <w:color w:val="006A0F"/>
          <w:sz w:val="30"/>
          <w:szCs w:val="30"/>
          <w:rtl/>
        </w:rPr>
        <w:lastRenderedPageBreak/>
        <w:t>مِنَ الْمَلائِكَةِ ...».</w:t>
      </w:r>
      <w:r>
        <w:rPr>
          <w:rFonts w:ascii="Traditional Arabic" w:hAnsi="Traditional Arabic" w:cs="Traditional Arabic" w:hint="cs"/>
          <w:color w:val="000000"/>
          <w:sz w:val="30"/>
          <w:szCs w:val="30"/>
          <w:rtl/>
        </w:rPr>
        <w:t xml:space="preserve"> به گفته بعضى از مفسّران وعده يارى خداوند به وسيله ملائكه در اين آيات به غزوه احُد مربوط است؛ امّا از آن‏جا كه مسلمانان از جنگ گريختند، خداوند به آن‏ها كمك نكرد.</w:t>
      </w:r>
      <w:r>
        <w:rPr>
          <w:rStyle w:val="FootnoteReference"/>
          <w:rFonts w:ascii="Traditional Arabic" w:hAnsi="Traditional Arabic" w:cs="Traditional Arabic"/>
          <w:color w:val="000000"/>
          <w:sz w:val="30"/>
          <w:szCs w:val="30"/>
          <w:rtl/>
        </w:rPr>
        <w:footnoteReference w:id="8"/>
      </w:r>
    </w:p>
    <w:p w:rsidR="00B9630A" w:rsidRDefault="00B9630A" w:rsidP="00B9630A">
      <w:pPr>
        <w:pStyle w:val="NormalWeb"/>
        <w:bidi/>
        <w:rPr>
          <w:rFonts w:hint="cs"/>
          <w:rtl/>
        </w:rPr>
      </w:pPr>
      <w:r>
        <w:rPr>
          <w:rFonts w:ascii="Traditional Arabic" w:hAnsi="Traditional Arabic" w:cs="Traditional Arabic" w:hint="cs"/>
          <w:color w:val="000000"/>
          <w:sz w:val="30"/>
          <w:szCs w:val="30"/>
          <w:rtl/>
        </w:rPr>
        <w:t>برحسب نقلى ديگر فقط وعده يارى به وسيله 5000 فرشته در آيه 125 آل‏عمران به احد مربوط است و وعده يارى به وسيله 3000 فرشته به غزوه بدر ارتباط دارد.</w:t>
      </w:r>
      <w:r>
        <w:rPr>
          <w:rStyle w:val="FootnoteReference"/>
          <w:rFonts w:ascii="Traditional Arabic" w:hAnsi="Traditional Arabic" w:cs="Traditional Arabic"/>
          <w:color w:val="000000"/>
          <w:sz w:val="30"/>
          <w:szCs w:val="30"/>
          <w:rtl/>
        </w:rPr>
        <w:footnoteReference w:id="9"/>
      </w:r>
    </w:p>
    <w:p w:rsidR="00B9630A" w:rsidRDefault="00B9630A" w:rsidP="00B9630A">
      <w:pPr>
        <w:pStyle w:val="NormalWeb"/>
        <w:bidi/>
        <w:rPr>
          <w:rFonts w:hint="cs"/>
          <w:rtl/>
        </w:rPr>
      </w:pPr>
      <w:r>
        <w:rPr>
          <w:rFonts w:ascii="Traditional Arabic" w:hAnsi="Traditional Arabic" w:cs="Traditional Arabic" w:hint="cs"/>
          <w:color w:val="000000"/>
          <w:sz w:val="30"/>
          <w:szCs w:val="30"/>
          <w:rtl/>
        </w:rPr>
        <w:t>گرچه وعده يارى مؤمنان به وسيله ملائكه در احد از آيات استفاده مى‏شود، به گفته ابن‏عبّاس، ملائكه* جنگ نكردند، مگر در غزوه بدر.</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 xml:space="preserve"> از طرفى ديگر، عدم نزول ملائكه در احد مورد اتّفاق مفسّران نيست. به گفته مجاهد، ملائكه در احد نازل شدند؛ امّا نجنگيدند.</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xml:space="preserve"> در اين خصوص، به رواياتى هم استشهاد شده است.</w:t>
      </w:r>
    </w:p>
    <w:p w:rsidR="00B9630A" w:rsidRDefault="00B9630A" w:rsidP="00B9630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اعلام قرآن از دايره المعارف قرآن كريم، ج‏1، ص: 567</w:t>
      </w:r>
    </w:p>
    <w:p w:rsidR="00B9630A" w:rsidRDefault="00B9630A" w:rsidP="00B9630A">
      <w:pPr>
        <w:rPr>
          <w:rFonts w:ascii="Times New Roman" w:hAnsi="Times New Roman" w:cs="Times New Roman" w:hint="cs"/>
          <w:sz w:val="24"/>
          <w:szCs w:val="24"/>
          <w:rtl/>
        </w:rPr>
      </w:pPr>
      <w:r>
        <w:rPr>
          <w:rStyle w:val="FootnoteReference"/>
          <w:rFonts w:ascii="Traditional Arabic" w:hAnsi="Traditional Arabic" w:cs="Traditional Arabic"/>
          <w:color w:val="000000"/>
          <w:sz w:val="30"/>
          <w:szCs w:val="30"/>
          <w:rtl/>
        </w:rPr>
        <w:footnoteReference w:id="12"/>
      </w:r>
    </w:p>
    <w:p w:rsidR="00B9630A" w:rsidRDefault="00B9630A">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4BC" w:rsidRDefault="007E54BC" w:rsidP="00B9630A">
      <w:pPr>
        <w:spacing w:after="0" w:line="240" w:lineRule="auto"/>
      </w:pPr>
      <w:r>
        <w:separator/>
      </w:r>
    </w:p>
  </w:endnote>
  <w:endnote w:type="continuationSeparator" w:id="0">
    <w:p w:rsidR="007E54BC" w:rsidRDefault="007E54BC" w:rsidP="00B96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4BC" w:rsidRDefault="007E54BC" w:rsidP="00B9630A">
      <w:pPr>
        <w:spacing w:after="0" w:line="240" w:lineRule="auto"/>
      </w:pPr>
      <w:r>
        <w:separator/>
      </w:r>
    </w:p>
  </w:footnote>
  <w:footnote w:type="continuationSeparator" w:id="0">
    <w:p w:rsidR="007E54BC" w:rsidRDefault="007E54BC" w:rsidP="00B9630A">
      <w:pPr>
        <w:spacing w:after="0" w:line="240" w:lineRule="auto"/>
      </w:pPr>
      <w:r>
        <w:continuationSeparator/>
      </w:r>
    </w:p>
  </w:footnote>
  <w:footnote w:id="1">
    <w:p w:rsidR="00B9630A" w:rsidRDefault="00B9630A" w:rsidP="00B9630A">
      <w:pPr>
        <w:pStyle w:val="FootnoteText"/>
        <w:rPr>
          <w:rFonts w:hint="cs"/>
          <w:rtl/>
        </w:rPr>
      </w:pPr>
      <w:r>
        <w:rPr>
          <w:rStyle w:val="FootnoteReference"/>
        </w:rPr>
        <w:footnoteRef/>
      </w:r>
      <w:r>
        <w:rPr>
          <w:rtl/>
        </w:rPr>
        <w:t xml:space="preserve"> </w:t>
      </w:r>
      <w:r>
        <w:rPr>
          <w:rtl/>
          <w:lang w:bidi="fa-IR"/>
        </w:rPr>
        <w:t>( 3). تفسير ابن كثير، ج 1، ص 420</w:t>
      </w:r>
    </w:p>
  </w:footnote>
  <w:footnote w:id="2">
    <w:p w:rsidR="00B9630A" w:rsidRDefault="00B9630A" w:rsidP="00B9630A">
      <w:pPr>
        <w:pStyle w:val="FootnoteText"/>
        <w:rPr>
          <w:rtl/>
        </w:rPr>
      </w:pPr>
      <w:r>
        <w:rPr>
          <w:rStyle w:val="FootnoteReference"/>
        </w:rPr>
        <w:footnoteRef/>
      </w:r>
      <w:r>
        <w:rPr>
          <w:rtl/>
        </w:rPr>
        <w:t xml:space="preserve"> </w:t>
      </w:r>
      <w:r>
        <w:rPr>
          <w:rtl/>
          <w:lang w:bidi="fa-IR"/>
        </w:rPr>
        <w:t>( 4). جامع البيان، مج 3، ج 4، ص 169</w:t>
      </w:r>
    </w:p>
  </w:footnote>
  <w:footnote w:id="3">
    <w:p w:rsidR="00B9630A" w:rsidRDefault="00B9630A" w:rsidP="00B9630A">
      <w:pPr>
        <w:pStyle w:val="FootnoteText"/>
        <w:rPr>
          <w:rtl/>
        </w:rPr>
      </w:pPr>
      <w:r>
        <w:rPr>
          <w:rStyle w:val="FootnoteReference"/>
        </w:rPr>
        <w:footnoteRef/>
      </w:r>
      <w:r>
        <w:rPr>
          <w:rtl/>
        </w:rPr>
        <w:t xml:space="preserve"> </w:t>
      </w:r>
      <w:r>
        <w:rPr>
          <w:rtl/>
          <w:lang w:bidi="fa-IR"/>
        </w:rPr>
        <w:t>( 5). جوامع‏الجامع، ج 1، ص 211؛ جامع‏البيان، مج 3، ج 4، ص 169 و 171</w:t>
      </w:r>
    </w:p>
  </w:footnote>
  <w:footnote w:id="4">
    <w:p w:rsidR="00B9630A" w:rsidRDefault="00B9630A" w:rsidP="00B9630A">
      <w:pPr>
        <w:pStyle w:val="FootnoteText"/>
        <w:rPr>
          <w:rtl/>
        </w:rPr>
      </w:pPr>
      <w:r>
        <w:rPr>
          <w:rStyle w:val="FootnoteReference"/>
        </w:rPr>
        <w:footnoteRef/>
      </w:r>
      <w:r>
        <w:rPr>
          <w:rtl/>
        </w:rPr>
        <w:t xml:space="preserve"> </w:t>
      </w:r>
      <w:r>
        <w:rPr>
          <w:rtl/>
          <w:lang w:bidi="fa-IR"/>
        </w:rPr>
        <w:t>( 1). المنار، ج 4، ص 181</w:t>
      </w:r>
    </w:p>
  </w:footnote>
  <w:footnote w:id="5">
    <w:p w:rsidR="00B9630A" w:rsidRDefault="00B9630A" w:rsidP="00B9630A">
      <w:pPr>
        <w:pStyle w:val="FootnoteText"/>
        <w:rPr>
          <w:rtl/>
        </w:rPr>
      </w:pPr>
      <w:r>
        <w:rPr>
          <w:rStyle w:val="FootnoteReference"/>
        </w:rPr>
        <w:footnoteRef/>
      </w:r>
      <w:r>
        <w:rPr>
          <w:rtl/>
        </w:rPr>
        <w:t xml:space="preserve"> </w:t>
      </w:r>
      <w:r>
        <w:rPr>
          <w:rtl/>
          <w:lang w:bidi="fa-IR"/>
        </w:rPr>
        <w:t>( 2). مجمع‏البيان، ج 2، ص 858؛ جامع‏البيان، مج 3، ج 4، ص 166؛ تاريخ طبرى، ج 2، ص 60</w:t>
      </w:r>
    </w:p>
  </w:footnote>
  <w:footnote w:id="6">
    <w:p w:rsidR="00B9630A" w:rsidRDefault="00B9630A" w:rsidP="00B9630A">
      <w:pPr>
        <w:pStyle w:val="FootnoteText"/>
        <w:rPr>
          <w:rtl/>
        </w:rPr>
      </w:pPr>
      <w:r>
        <w:rPr>
          <w:rStyle w:val="FootnoteReference"/>
        </w:rPr>
        <w:footnoteRef/>
      </w:r>
      <w:r>
        <w:rPr>
          <w:rtl/>
        </w:rPr>
        <w:t xml:space="preserve"> </w:t>
      </w:r>
      <w:r>
        <w:rPr>
          <w:rtl/>
          <w:lang w:bidi="fa-IR"/>
        </w:rPr>
        <w:t>( 3). جامع‏البيان، مج 3، ج 4، ص 105</w:t>
      </w:r>
    </w:p>
  </w:footnote>
  <w:footnote w:id="7">
    <w:p w:rsidR="00B9630A" w:rsidRDefault="00B9630A" w:rsidP="00B9630A">
      <w:pPr>
        <w:pStyle w:val="FootnoteText"/>
        <w:rPr>
          <w:rtl/>
        </w:rPr>
      </w:pPr>
      <w:r>
        <w:rPr>
          <w:rStyle w:val="FootnoteReference"/>
        </w:rPr>
        <w:footnoteRef/>
      </w:r>
      <w:r>
        <w:rPr>
          <w:rtl/>
        </w:rPr>
        <w:t xml:space="preserve"> </w:t>
      </w:r>
      <w:r>
        <w:rPr>
          <w:rtl/>
          <w:lang w:bidi="fa-IR"/>
        </w:rPr>
        <w:t>( 4). مجمع البيان، ج 2، ص 858</w:t>
      </w:r>
    </w:p>
  </w:footnote>
  <w:footnote w:id="8">
    <w:p w:rsidR="00B9630A" w:rsidRDefault="00B9630A" w:rsidP="00B9630A">
      <w:pPr>
        <w:pStyle w:val="FootnoteText"/>
        <w:rPr>
          <w:rtl/>
        </w:rPr>
      </w:pPr>
      <w:r>
        <w:rPr>
          <w:rStyle w:val="FootnoteReference"/>
        </w:rPr>
        <w:footnoteRef/>
      </w:r>
      <w:r>
        <w:rPr>
          <w:rtl/>
        </w:rPr>
        <w:t xml:space="preserve"> </w:t>
      </w:r>
      <w:r>
        <w:rPr>
          <w:rtl/>
          <w:lang w:bidi="fa-IR"/>
        </w:rPr>
        <w:t>( 5). جامع‏البيان، مج 3، ج 4، ص 105</w:t>
      </w:r>
    </w:p>
  </w:footnote>
  <w:footnote w:id="9">
    <w:p w:rsidR="00B9630A" w:rsidRDefault="00B9630A" w:rsidP="00B9630A">
      <w:pPr>
        <w:pStyle w:val="FootnoteText"/>
        <w:rPr>
          <w:rtl/>
        </w:rPr>
      </w:pPr>
      <w:r>
        <w:rPr>
          <w:rStyle w:val="FootnoteReference"/>
        </w:rPr>
        <w:footnoteRef/>
      </w:r>
      <w:r>
        <w:rPr>
          <w:rtl/>
        </w:rPr>
        <w:t xml:space="preserve"> </w:t>
      </w:r>
      <w:r>
        <w:rPr>
          <w:rtl/>
          <w:lang w:bidi="fa-IR"/>
        </w:rPr>
        <w:t>( 6). التبيان، ج 2، ص 579</w:t>
      </w:r>
    </w:p>
  </w:footnote>
  <w:footnote w:id="10">
    <w:p w:rsidR="00B9630A" w:rsidRDefault="00B9630A" w:rsidP="00B9630A">
      <w:pPr>
        <w:pStyle w:val="FootnoteText"/>
        <w:rPr>
          <w:rtl/>
        </w:rPr>
      </w:pPr>
      <w:r>
        <w:rPr>
          <w:rStyle w:val="FootnoteReference"/>
        </w:rPr>
        <w:footnoteRef/>
      </w:r>
      <w:r>
        <w:rPr>
          <w:rtl/>
        </w:rPr>
        <w:t xml:space="preserve"> </w:t>
      </w:r>
      <w:r>
        <w:rPr>
          <w:rtl/>
          <w:lang w:bidi="fa-IR"/>
        </w:rPr>
        <w:t>( 7). مجمع البيان، ج 2، ص 828</w:t>
      </w:r>
    </w:p>
  </w:footnote>
  <w:footnote w:id="11">
    <w:p w:rsidR="00B9630A" w:rsidRDefault="00B9630A" w:rsidP="00B9630A">
      <w:pPr>
        <w:pStyle w:val="FootnoteText"/>
        <w:rPr>
          <w:rtl/>
        </w:rPr>
      </w:pPr>
      <w:r>
        <w:rPr>
          <w:rStyle w:val="FootnoteReference"/>
        </w:rPr>
        <w:footnoteRef/>
      </w:r>
      <w:r>
        <w:rPr>
          <w:rtl/>
        </w:rPr>
        <w:t xml:space="preserve"> </w:t>
      </w:r>
      <w:r>
        <w:rPr>
          <w:rtl/>
          <w:lang w:bidi="fa-IR"/>
        </w:rPr>
        <w:t>( 8). المغازى، ج 1، ص 235؛ البحرالمحيط، ج 3، ص 331</w:t>
      </w:r>
    </w:p>
  </w:footnote>
  <w:footnote w:id="12">
    <w:p w:rsidR="00B9630A" w:rsidRDefault="00B9630A" w:rsidP="00B9630A">
      <w:pPr>
        <w:pStyle w:val="FootnoteText"/>
        <w:rPr>
          <w:rtl/>
        </w:rPr>
      </w:pPr>
      <w:r>
        <w:rPr>
          <w:rStyle w:val="FootnoteReference"/>
        </w:rPr>
        <w:footnoteRef/>
      </w:r>
      <w:r>
        <w:rPr>
          <w:rtl/>
        </w:rPr>
        <w:t xml:space="preserve"> </w:t>
      </w:r>
      <w:r>
        <w:rPr>
          <w:rtl/>
          <w:lang w:bidi="fa-IR"/>
        </w:rPr>
        <w:t>مركز فرهنگ و معارف قرآن، اعلام قرآن از دايره المعارف قرآن كريم، 3جلد، بوستان كتاب قم (انتشارات دفتر تبليغات اسلامى حوزه علميه قم) - ايران - قم، چاپ: 1، 1385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30A"/>
    <w:rsid w:val="00474D82"/>
    <w:rsid w:val="007E54BC"/>
    <w:rsid w:val="00B9630A"/>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9630A"/>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9630A"/>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9630A"/>
    <w:rPr>
      <w:vertAlign w:val="superscript"/>
    </w:rPr>
  </w:style>
  <w:style w:type="paragraph" w:styleId="NormalWeb">
    <w:name w:val="Normal (Web)"/>
    <w:basedOn w:val="Normal"/>
    <w:uiPriority w:val="99"/>
    <w:semiHidden/>
    <w:unhideWhenUsed/>
    <w:rsid w:val="00B9630A"/>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9630A"/>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9630A"/>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9630A"/>
    <w:rPr>
      <w:vertAlign w:val="superscript"/>
    </w:rPr>
  </w:style>
  <w:style w:type="paragraph" w:styleId="NormalWeb">
    <w:name w:val="Normal (Web)"/>
    <w:basedOn w:val="Normal"/>
    <w:uiPriority w:val="99"/>
    <w:semiHidden/>
    <w:unhideWhenUsed/>
    <w:rsid w:val="00B9630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35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1981</Characters>
  <Application>Microsoft Office Word</Application>
  <DocSecurity>0</DocSecurity>
  <Lines>16</Lines>
  <Paragraphs>4</Paragraphs>
  <ScaleCrop>false</ScaleCrop>
  <Company>MRT www.Win2Farsi.com</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2018-10-12T09:20:00Z</dcterms:created>
  <dcterms:modified xsi:type="dcterms:W3CDTF">2018-10-12T09:21:00Z</dcterms:modified>
</cp:coreProperties>
</file>