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A5F" w:rsidRDefault="00AC5A5F" w:rsidP="00AC5A5F">
      <w:pPr>
        <w:pStyle w:val="NormalWeb"/>
        <w:bidi/>
        <w:jc w:val="center"/>
      </w:pPr>
      <w:r>
        <w:rPr>
          <w:rFonts w:ascii="Traditional Arabic" w:hAnsi="Traditional Arabic" w:cs="Traditional Arabic" w:hint="cs"/>
          <w:b/>
          <w:bCs/>
          <w:color w:val="552B2B"/>
          <w:sz w:val="32"/>
          <w:szCs w:val="32"/>
          <w:rtl/>
        </w:rPr>
        <w:t>تفسير نمونه    ج‏19    313</w:t>
      </w:r>
    </w:p>
    <w:p w:rsidR="00AC5A5F" w:rsidRDefault="00AC5A5F" w:rsidP="00AC5A5F">
      <w:pPr>
        <w:pStyle w:val="NormalWeb"/>
        <w:bidi/>
        <w:rPr>
          <w:rFonts w:hint="cs"/>
          <w:rtl/>
        </w:rPr>
      </w:pPr>
      <w:r>
        <w:rPr>
          <w:rFonts w:ascii="Traditional Arabic" w:hAnsi="Traditional Arabic" w:cs="Traditional Arabic" w:hint="cs"/>
          <w:color w:val="465BFF"/>
          <w:sz w:val="30"/>
          <w:szCs w:val="30"/>
          <w:rtl/>
        </w:rPr>
        <w:t>[سوره ص (38): آيات 49 تا 54]</w:t>
      </w:r>
    </w:p>
    <w:p w:rsidR="00AC5A5F" w:rsidRDefault="00AC5A5F" w:rsidP="00AC5A5F">
      <w:pPr>
        <w:pStyle w:val="NormalWeb"/>
        <w:bidi/>
        <w:rPr>
          <w:rFonts w:hint="cs"/>
          <w:rtl/>
        </w:rPr>
      </w:pPr>
      <w:r>
        <w:rPr>
          <w:rFonts w:ascii="Traditional Arabic" w:hAnsi="Traditional Arabic" w:cs="Traditional Arabic" w:hint="cs"/>
          <w:color w:val="006A0F"/>
          <w:sz w:val="30"/>
          <w:szCs w:val="30"/>
          <w:rtl/>
        </w:rPr>
        <w:t>هذا ذِكْرٌ وَ إِنَّ لِلْمُتَّقِينَ لَحُسْنَ مَآبٍ (49) جَنَّاتِ عَدْنٍ مُفَتَّحَةً لَهُمُ الْأَبْوابُ (50) مُتَّكِئِينَ فِيها يَدْعُونَ فِيها بِفاكِهَةٍ كَثِيرَةٍ وَ شَرابٍ (51) وَ عِنْدَهُمْ قاصِراتُ الطَّرْفِ أَتْرابٌ (52) هذا ما تُوعَدُونَ لِيَوْمِ الْحِسابِ (53)</w:t>
      </w:r>
    </w:p>
    <w:p w:rsidR="00AC5A5F" w:rsidRDefault="00AC5A5F" w:rsidP="00AC5A5F">
      <w:pPr>
        <w:pStyle w:val="NormalWeb"/>
        <w:bidi/>
        <w:rPr>
          <w:rFonts w:hint="cs"/>
          <w:rtl/>
        </w:rPr>
      </w:pPr>
      <w:r>
        <w:rPr>
          <w:rFonts w:ascii="Traditional Arabic" w:hAnsi="Traditional Arabic" w:cs="Traditional Arabic" w:hint="cs"/>
          <w:color w:val="006A0F"/>
          <w:sz w:val="30"/>
          <w:szCs w:val="30"/>
          <w:rtl/>
        </w:rPr>
        <w:t>إِنَّ هذا لَرِزْقُنا ما لَهُ مِنْ نَفادٍ (54)</w:t>
      </w:r>
    </w:p>
    <w:p w:rsidR="00AC5A5F" w:rsidRDefault="00AC5A5F" w:rsidP="00AC5A5F">
      <w:pPr>
        <w:pStyle w:val="NormalWeb"/>
        <w:bidi/>
        <w:rPr>
          <w:rFonts w:hint="cs"/>
          <w:rtl/>
        </w:rPr>
      </w:pPr>
      <w:r>
        <w:rPr>
          <w:rFonts w:ascii="Traditional Arabic" w:hAnsi="Traditional Arabic" w:cs="Traditional Arabic" w:hint="cs"/>
          <w:color w:val="465BFF"/>
          <w:sz w:val="30"/>
          <w:szCs w:val="30"/>
          <w:rtl/>
        </w:rPr>
        <w:t>ترجمه:</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49- اين يك يادآورى است، و براى پرهيزگاران بازگشت نيكويى است.</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50- باغهاى جاويدان بهشتى كه درهايش به روى آنان گشوده است.</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51- در حالى كه در آن بر تختها تكيه كرده‏اند، و انواع ميوه‏ها و نوشيدنيهاى گوناگون در اختيار آنان است.</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52- و نزد آنان همسرانى است كه تنها چشم به شوهرانشان دوخته‏اند و همگى هم سن و سالند.</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53- اين چيزى است كه براى روز حساب به شما وعده داده مى‏شود (وعده‏اى تخلف ناپذير).</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54- اين روزى ما است كه هرگز پايان نمى‏گيرد</w:t>
      </w:r>
    </w:p>
    <w:p w:rsidR="00AC5A5F" w:rsidRDefault="00AC5A5F" w:rsidP="00AC5A5F">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ج‏19، ص: 314</w:t>
      </w:r>
    </w:p>
    <w:p w:rsidR="00AC5A5F" w:rsidRDefault="00AC5A5F" w:rsidP="00AC5A5F">
      <w:pPr>
        <w:rPr>
          <w:rFonts w:ascii="Times New Roman" w:hAnsi="Times New Roman" w:cs="Times New Roman" w:hint="cs"/>
          <w:sz w:val="24"/>
          <w:szCs w:val="24"/>
          <w:rtl/>
        </w:rPr>
      </w:pPr>
      <w:r>
        <w:rPr>
          <w:rFonts w:ascii="Traditional Arabic" w:hAnsi="Traditional Arabic" w:cs="Traditional Arabic" w:hint="cs"/>
          <w:color w:val="465BFF"/>
          <w:sz w:val="30"/>
          <w:szCs w:val="30"/>
          <w:rtl/>
        </w:rPr>
        <w:t>تفسير: اين وعده براى پرهيزكاران است‏</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از اينجا فصل ديگرى از آيات اين سوره آغاز مى‏شود كه پرهيزگاران و متقين را با گردنكشان طاغى مقايسه كرده، و سرنوشت هر دو گروه را در قيامت شرح مى‏دهد، و در مجموع بحثهاى آيات گذشته را تكميل مى‏كند.</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نخست به عنوان يك جمع‏بندى از سرگذشت انبياى پيشين و نكات آموزنده زندگى آنها مى‏فرمايد:" اين يك تذكر و يادآورى است" (</w:t>
      </w:r>
      <w:r>
        <w:rPr>
          <w:rFonts w:ascii="Traditional Arabic" w:hAnsi="Traditional Arabic" w:cs="Traditional Arabic" w:hint="cs"/>
          <w:color w:val="02802C"/>
          <w:sz w:val="30"/>
          <w:szCs w:val="30"/>
          <w:rtl/>
        </w:rPr>
        <w:t>هذا ذِكْرٌ</w:t>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آرى هدف از بيان فرازهايى از تاريخ پرشكوه آنان داستانسرايى نبود، هدف ذكر و تذكر بود، همانگونه كه از آغاز اين سوره روى اين مساله تكيه شده"</w:t>
      </w:r>
      <w:r>
        <w:rPr>
          <w:rFonts w:ascii="Traditional Arabic" w:hAnsi="Traditional Arabic" w:cs="Traditional Arabic" w:hint="cs"/>
          <w:color w:val="006A0F"/>
          <w:sz w:val="30"/>
          <w:szCs w:val="30"/>
          <w:rtl/>
        </w:rPr>
        <w:t xml:space="preserve"> ص‏</w:t>
      </w:r>
      <w:r>
        <w:rPr>
          <w:rFonts w:ascii="Traditional Arabic" w:hAnsi="Traditional Arabic" w:cs="Traditional Arabic" w:hint="cs"/>
          <w:color w:val="02802C"/>
          <w:sz w:val="30"/>
          <w:szCs w:val="30"/>
          <w:rtl/>
        </w:rPr>
        <w:t xml:space="preserve"> وَ الْقُرْآنِ ذِي الذِّكْرِ</w:t>
      </w:r>
      <w:r>
        <w:rPr>
          <w:rFonts w:ascii="Traditional Arabic" w:hAnsi="Traditional Arabic" w:cs="Traditional Arabic" w:hint="cs"/>
          <w:color w:val="000000"/>
          <w:sz w:val="30"/>
          <w:szCs w:val="30"/>
          <w:rtl/>
        </w:rPr>
        <w:t>".</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lastRenderedPageBreak/>
        <w:t>هدف بيدار ساختن انديشه‏ها، بالا بردن سطح معرفت و آگاهى، و افزودن نيروى مقاومت و پايدارى در مسلمانانى است كه اين آيات براى آنها نازل شده است‏</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سپس مساله را از صورت خصوصى و بيان زندگى انبياء درآورده، شكل كلى به آن مى‏دهد، سرنوشت متقين را به طور عموم مورد بحث قرار داده، مى‏فرمايد:</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 براى پرهيزگاران حسن مرجع و محل بازگشت نيكويى است" (</w:t>
      </w:r>
      <w:r>
        <w:rPr>
          <w:rFonts w:ascii="Traditional Arabic" w:hAnsi="Traditional Arabic" w:cs="Traditional Arabic" w:hint="cs"/>
          <w:color w:val="02802C"/>
          <w:sz w:val="30"/>
          <w:szCs w:val="30"/>
          <w:rtl/>
        </w:rPr>
        <w:t>وَ إِنَّ لِلْمُتَّقِينَ لَحُسْنَ مَآبٍ‏</w:t>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w:t>
      </w:r>
    </w:p>
    <w:p w:rsidR="00AC5A5F" w:rsidRDefault="00AC5A5F" w:rsidP="00AC5A5F">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ج‏19، ص: 315</w:t>
      </w:r>
    </w:p>
    <w:p w:rsidR="00AC5A5F" w:rsidRDefault="00AC5A5F" w:rsidP="00AC5A5F">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بعد از اين جمله كوتاه و سربسته كه خوبى حال آنها را اجمالا ترسيم مى‏كند، با استفاده از روش اجمال و تفصيل كه روش قرآن است به شرح آن پرداخته مى‏گويد:" بازگشت آنها به باغهاى جاويدان بهشت است كه درهايش به روى آنان گشوده است" (</w:t>
      </w:r>
      <w:r>
        <w:rPr>
          <w:rFonts w:ascii="Traditional Arabic" w:hAnsi="Traditional Arabic" w:cs="Traditional Arabic" w:hint="cs"/>
          <w:color w:val="02802C"/>
          <w:sz w:val="30"/>
          <w:szCs w:val="30"/>
          <w:rtl/>
        </w:rPr>
        <w:t>جَنَّاتِ عَدْنٍ مُفَتَّحَةً لَهُمُ الْأَبْوابُ‏</w:t>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 جنات" اشاره به باغهاى بهشت است و" عدن" (بر وزن عدل) به معنى استقرار و ثبات است، و" معدن" را به اين جهت معدن گفته‏اند كه فلزات و مواد گرانقيمت در آنجا مستقر است، به هر حال اين تعبير در اينجا اشاره به جاويدان بودن باغهاى بهشت است.</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تعبير به"</w:t>
      </w:r>
      <w:r>
        <w:rPr>
          <w:rFonts w:ascii="Traditional Arabic" w:hAnsi="Traditional Arabic" w:cs="Traditional Arabic" w:hint="cs"/>
          <w:color w:val="02802C"/>
          <w:sz w:val="30"/>
          <w:szCs w:val="30"/>
          <w:rtl/>
        </w:rPr>
        <w:t xml:space="preserve"> مُفَتَّحَةً لَهُمُ الْأَبْوابُ‏</w:t>
      </w:r>
      <w:r>
        <w:rPr>
          <w:rFonts w:ascii="Traditional Arabic" w:hAnsi="Traditional Arabic" w:cs="Traditional Arabic" w:hint="cs"/>
          <w:color w:val="000000"/>
          <w:sz w:val="30"/>
          <w:szCs w:val="30"/>
          <w:rtl/>
        </w:rPr>
        <w:t>" اشاره به آن است كه حتى زحمت گشودن درها براى بهشتيان وجود ندارد، گويى بهشت در انتظار آنهاست، و هنگامى كه چشمش به آنان مى‏افتد آغوش باز مى‏كند و آنها را به درون دعوت مى‏كند!*** سپس آرامش و احترام خاص بهشتيان را به اين صورت بيان مى‏كند:" اين در حالى است كه آنها بر تختها در آن تكيه كرده‏اند، و انواع ميوه‏هاى فراوان و نوشيدنى در اختيار آنها است" هر زمان آن را مى‏طلبند، فورا نزد آنها حاضر مى‏شود" (</w:t>
      </w:r>
      <w:r>
        <w:rPr>
          <w:rFonts w:ascii="Traditional Arabic" w:hAnsi="Traditional Arabic" w:cs="Traditional Arabic" w:hint="cs"/>
          <w:color w:val="02802C"/>
          <w:sz w:val="30"/>
          <w:szCs w:val="30"/>
          <w:rtl/>
        </w:rPr>
        <w:t>مُتَّكِئِينَ فِيها يَدْعُونَ فِيها بِفاكِهَةٍ كَثِيرَةٍ وَ شَرابٍ‏</w:t>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آيا فورا به وسيله خدمتكاران بهشتى در برابر آنها حاضر مى‏گردد، يا</w:t>
      </w:r>
    </w:p>
    <w:p w:rsidR="00AC5A5F" w:rsidRDefault="00AC5A5F" w:rsidP="00AC5A5F">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ج‏19، ص: 316</w:t>
      </w:r>
    </w:p>
    <w:p w:rsidR="00AC5A5F" w:rsidRDefault="00AC5A5F" w:rsidP="00AC5A5F">
      <w:pPr>
        <w:rPr>
          <w:rFonts w:ascii="Times New Roman" w:hAnsi="Times New Roman" w:cs="Times New Roman" w:hint="cs"/>
          <w:sz w:val="24"/>
          <w:szCs w:val="24"/>
          <w:rtl/>
        </w:rPr>
      </w:pPr>
      <w:r>
        <w:rPr>
          <w:rFonts w:ascii="Traditional Arabic" w:hAnsi="Traditional Arabic" w:cs="Traditional Arabic" w:hint="cs"/>
          <w:color w:val="000000"/>
          <w:sz w:val="30"/>
          <w:szCs w:val="30"/>
          <w:rtl/>
        </w:rPr>
        <w:lastRenderedPageBreak/>
        <w:t>تنها اراده آنها كافى براى حضور آن است؟ هر دو احتمال وجود دارد.</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تكيه روى" فاكهة" و" شراب" (ميوه و نوشيدنى) ممكن است اشاره به اين باشد كه بيشترين غذاى بهشتيان ميوه است، هر چند غذاهاى ديگر طبق صريح آيات قرآن نيز در آنجا وجود دارد.</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همانگونه كه بهترين و سالمترين غذاى انسان در اين دنيا نيز ميوه است! تعبير به" كثيرة" اشاره به انواع مختلف ميوه‏هاى بهشتى است، همانگونه كه نوشيدنى و شراب طهور آن نيز اشكال متنوعى دارد كه در آيات مختلف قرآن به آن اشاره شده است.</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 بعد از آن سخن از همسران پاك بهشتى به ميان آورده، مى‏گويد:" نزد بهشتيان همسرانى است كه فقط چشم به شوهرانشان دوخته‏اند، همگى جوان و با شوهران خود هم سن و سالند" (</w:t>
      </w:r>
      <w:r>
        <w:rPr>
          <w:rFonts w:ascii="Traditional Arabic" w:hAnsi="Traditional Arabic" w:cs="Traditional Arabic" w:hint="cs"/>
          <w:color w:val="02802C"/>
          <w:sz w:val="30"/>
          <w:szCs w:val="30"/>
          <w:rtl/>
        </w:rPr>
        <w:t>وَ عِنْدَهُمْ قاصِراتُ الطَّرْفِ أَتْرابٌ‏</w:t>
      </w:r>
      <w:r>
        <w:rPr>
          <w:rFonts w:ascii="Traditional Arabic" w:hAnsi="Traditional Arabic" w:cs="Traditional Arabic" w:hint="cs"/>
          <w:color w:val="000000"/>
          <w:sz w:val="30"/>
          <w:szCs w:val="30"/>
          <w:rtl/>
        </w:rPr>
        <w:t>).</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 طرف" (بر وزن برف) به معنى پلك چشم است، و گاه به معنى نگاه كردن نيز آمده است، توصيف زنان بهشتى به" قاصرات الطرف" (آنها كه نگاهى كوتاه دارند) اشاره به اين است كه تنها چشم به همسران خود دوخته‏اند، فقط به آنها عشق مى‏ورزند و به غير آنان نمى‏انديشند كه اين از بزرگترين مزاياى همسر است، بعضى از مفسران نيز آن را به معنى حالت خمار بودن چشم كه حالت جالب مخصوصى است دانسته‏اند، جمع ميان اين دو معنى نيز بى‏مانع است.</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 اتراب" به معنى" هم سن و سال" توصيف ديگرى است براى زنان بهشتى نسبت به همسرانشان، چرا كه توافق سنى جاذبه را ميان دو همسر افزون مى‏كند، و يا توصيفى است براى خود آن زنان كه همه آنها هم سن و سال و جوانند</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w:t>
      </w:r>
    </w:p>
    <w:p w:rsidR="00AC5A5F" w:rsidRDefault="00AC5A5F" w:rsidP="00AC5A5F">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ج‏19، ص: 317</w:t>
      </w:r>
    </w:p>
    <w:p w:rsidR="00AC5A5F" w:rsidRDefault="00AC5A5F" w:rsidP="00AC5A5F">
      <w:pPr>
        <w:rPr>
          <w:rFonts w:ascii="Times New Roman" w:hAnsi="Times New Roman" w:cs="Times New Roman" w:hint="cs"/>
          <w:sz w:val="24"/>
          <w:szCs w:val="24"/>
          <w:rtl/>
        </w:rPr>
      </w:pPr>
      <w:r>
        <w:rPr>
          <w:rFonts w:ascii="Traditional Arabic" w:hAnsi="Traditional Arabic" w:cs="Traditional Arabic" w:hint="cs"/>
          <w:color w:val="000000"/>
          <w:sz w:val="30"/>
          <w:szCs w:val="30"/>
          <w:rtl/>
        </w:rPr>
        <w:t>*** در آخرين آيات مورد بحث به تمام هفت نعمت بزرگ بهشتيان كه در آيات قبل آمده بود اشاره كرده، مى‏گويد:" اين چيزى است كه براى روز حساب به شما وعده داده مى‏شود" (</w:t>
      </w:r>
      <w:r>
        <w:rPr>
          <w:rFonts w:ascii="Traditional Arabic" w:hAnsi="Traditional Arabic" w:cs="Traditional Arabic" w:hint="cs"/>
          <w:color w:val="02802C"/>
          <w:sz w:val="30"/>
          <w:szCs w:val="30"/>
          <w:rtl/>
        </w:rPr>
        <w:t>هذا ما تُوعَدُونَ لِيَوْمِ الْحِسابِ‏</w:t>
      </w:r>
      <w:r>
        <w:rPr>
          <w:rFonts w:ascii="Traditional Arabic" w:hAnsi="Traditional Arabic" w:cs="Traditional Arabic" w:hint="cs"/>
          <w:color w:val="000000"/>
          <w:sz w:val="30"/>
          <w:szCs w:val="30"/>
          <w:rtl/>
        </w:rPr>
        <w:t>).</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وعده‏اى تخلف‏ناپذير و نشاطانگيز، وعده‏اى از سوى خداوند بزرگ.</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t>*** و براى تاكيد بر جاودانگى اين مواهب مى‏افزايد" اين رزق و روزى ماست، عطائى است كه هرگز پايان نمى‏گيرد و فنايى براى آن متصور نيست" (</w:t>
      </w:r>
      <w:r>
        <w:rPr>
          <w:rFonts w:ascii="Traditional Arabic" w:hAnsi="Traditional Arabic" w:cs="Traditional Arabic" w:hint="cs"/>
          <w:color w:val="02802C"/>
          <w:sz w:val="30"/>
          <w:szCs w:val="30"/>
          <w:rtl/>
        </w:rPr>
        <w:t>إِنَّ هذا لَرِزْقُنا ما لَهُ مِنْ نَفادٍ</w:t>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p>
    <w:p w:rsidR="00AC5A5F" w:rsidRDefault="00AC5A5F" w:rsidP="00AC5A5F">
      <w:pPr>
        <w:pStyle w:val="NormalWeb"/>
        <w:bidi/>
        <w:rPr>
          <w:rFonts w:hint="cs"/>
          <w:rtl/>
        </w:rPr>
      </w:pPr>
      <w:r>
        <w:rPr>
          <w:rFonts w:ascii="Traditional Arabic" w:hAnsi="Traditional Arabic" w:cs="Traditional Arabic" w:hint="cs"/>
          <w:color w:val="000000"/>
          <w:sz w:val="30"/>
          <w:szCs w:val="30"/>
          <w:rtl/>
        </w:rPr>
        <w:lastRenderedPageBreak/>
        <w:t>بنا بر اين غم زوال و نابودى كه همچون سايه شومى بر نعمتهاى اين جهان افتاده در آنجا وجود ندارد، و از بركت خزائن پربار الهى پيوسته مدد مى‏گيرد و محدوديتى براى آن نيست، و حتى كاستى در آن ظاهر نمى‏شود، چون اراده خدا بر آن تعلق گرفته.</w:t>
      </w:r>
      <w:r>
        <w:rPr>
          <w:rStyle w:val="FootnoteReference"/>
          <w:rFonts w:ascii="Traditional Arabic" w:hAnsi="Traditional Arabic" w:cs="Traditional Arabic"/>
          <w:color w:val="000000"/>
          <w:sz w:val="30"/>
          <w:szCs w:val="30"/>
          <w:rtl/>
        </w:rPr>
        <w:footnoteReference w:id="8"/>
      </w:r>
    </w:p>
    <w:p w:rsidR="00AC5A5F" w:rsidRDefault="00AC5A5F">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6A4" w:rsidRDefault="005566A4" w:rsidP="00AC5A5F">
      <w:pPr>
        <w:spacing w:after="0" w:line="240" w:lineRule="auto"/>
      </w:pPr>
      <w:r>
        <w:separator/>
      </w:r>
    </w:p>
  </w:endnote>
  <w:endnote w:type="continuationSeparator" w:id="0">
    <w:p w:rsidR="005566A4" w:rsidRDefault="005566A4" w:rsidP="00AC5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6A4" w:rsidRDefault="005566A4" w:rsidP="00AC5A5F">
      <w:pPr>
        <w:spacing w:after="0" w:line="240" w:lineRule="auto"/>
      </w:pPr>
      <w:r>
        <w:separator/>
      </w:r>
    </w:p>
  </w:footnote>
  <w:footnote w:type="continuationSeparator" w:id="0">
    <w:p w:rsidR="005566A4" w:rsidRDefault="005566A4" w:rsidP="00AC5A5F">
      <w:pPr>
        <w:spacing w:after="0" w:line="240" w:lineRule="auto"/>
      </w:pPr>
      <w:r>
        <w:continuationSeparator/>
      </w:r>
    </w:p>
  </w:footnote>
  <w:footnote w:id="1">
    <w:p w:rsidR="00AC5A5F" w:rsidRDefault="00AC5A5F" w:rsidP="00AC5A5F">
      <w:pPr>
        <w:pStyle w:val="FootnoteText"/>
        <w:rPr>
          <w:rFonts w:hint="cs"/>
          <w:rtl/>
        </w:rPr>
      </w:pPr>
      <w:r>
        <w:rPr>
          <w:rStyle w:val="FootnoteReference"/>
        </w:rPr>
        <w:footnoteRef/>
      </w:r>
      <w:r>
        <w:rPr>
          <w:rtl/>
        </w:rPr>
        <w:t xml:space="preserve"> </w:t>
      </w:r>
      <w:r>
        <w:rPr>
          <w:rtl/>
          <w:lang w:bidi="fa-IR"/>
        </w:rPr>
        <w:t>( 1) بعضى از مفسران در تفسير اين جمله گفته‏اند منظور ذكر جميل پيامبران گذشته است.</w:t>
      </w:r>
    </w:p>
  </w:footnote>
  <w:footnote w:id="2">
    <w:p w:rsidR="00AC5A5F" w:rsidRDefault="00AC5A5F" w:rsidP="00AC5A5F">
      <w:pPr>
        <w:pStyle w:val="FootnoteText"/>
        <w:rPr>
          <w:rtl/>
        </w:rPr>
      </w:pPr>
      <w:r>
        <w:rPr>
          <w:rStyle w:val="FootnoteReference"/>
        </w:rPr>
        <w:footnoteRef/>
      </w:r>
      <w:r>
        <w:rPr>
          <w:rtl/>
        </w:rPr>
        <w:t xml:space="preserve"> </w:t>
      </w:r>
      <w:r>
        <w:rPr>
          <w:rtl/>
          <w:lang w:bidi="fa-IR"/>
        </w:rPr>
        <w:t>( 2) جمعى از مفسران" هذا ذِكْرٌ" را اشاره به اين دانسته‏اند كه آنچه در باره انبياى گذشته بيان شد ذكر خير و ثناء جميل در باره آنها بود، و آيات بعد مقامات آنها را در آخرت بازگو مى‏كند، ولى اين معنى بعيد به نظر مى‏رسد بلكه ظاهر آيات كلى است همانگونه كه در بالا گفته‏ايم.</w:t>
      </w:r>
    </w:p>
  </w:footnote>
  <w:footnote w:id="3">
    <w:p w:rsidR="00AC5A5F" w:rsidRDefault="00AC5A5F" w:rsidP="00AC5A5F">
      <w:pPr>
        <w:pStyle w:val="FootnoteText"/>
        <w:rPr>
          <w:rtl/>
        </w:rPr>
      </w:pPr>
      <w:r>
        <w:rPr>
          <w:rStyle w:val="FootnoteReference"/>
        </w:rPr>
        <w:footnoteRef/>
      </w:r>
      <w:r>
        <w:rPr>
          <w:rtl/>
        </w:rPr>
        <w:t xml:space="preserve"> </w:t>
      </w:r>
      <w:r>
        <w:rPr>
          <w:rtl/>
          <w:lang w:bidi="fa-IR"/>
        </w:rPr>
        <w:t>( 3)" ماب" به معنى محل بازگشت است، و اضافه" حسن" به" ماب" از قبيل اضافه صفت به موصوف مى‏باشد.</w:t>
      </w:r>
    </w:p>
  </w:footnote>
  <w:footnote w:id="4">
    <w:p w:rsidR="00AC5A5F" w:rsidRDefault="00AC5A5F" w:rsidP="00AC5A5F">
      <w:pPr>
        <w:pStyle w:val="FootnoteText"/>
        <w:rPr>
          <w:rtl/>
        </w:rPr>
      </w:pPr>
      <w:r>
        <w:rPr>
          <w:rStyle w:val="FootnoteReference"/>
        </w:rPr>
        <w:footnoteRef/>
      </w:r>
      <w:r>
        <w:rPr>
          <w:rtl/>
        </w:rPr>
        <w:t xml:space="preserve"> </w:t>
      </w:r>
      <w:r>
        <w:rPr>
          <w:rtl/>
          <w:lang w:bidi="fa-IR"/>
        </w:rPr>
        <w:t>( 1)" جَنَّاتِ عَدْنٍ" بدل يا عطف بيان براى" ماب" است.</w:t>
      </w:r>
    </w:p>
  </w:footnote>
  <w:footnote w:id="5">
    <w:p w:rsidR="00AC5A5F" w:rsidRDefault="00AC5A5F" w:rsidP="00AC5A5F">
      <w:pPr>
        <w:pStyle w:val="FootnoteText"/>
        <w:rPr>
          <w:rtl/>
        </w:rPr>
      </w:pPr>
      <w:r>
        <w:rPr>
          <w:rStyle w:val="FootnoteReference"/>
        </w:rPr>
        <w:footnoteRef/>
      </w:r>
      <w:r>
        <w:rPr>
          <w:rtl/>
        </w:rPr>
        <w:t xml:space="preserve"> </w:t>
      </w:r>
      <w:r>
        <w:rPr>
          <w:rtl/>
          <w:lang w:bidi="fa-IR"/>
        </w:rPr>
        <w:t>( 2) ضمير" فيها" در هر دو مورد به" جَنَّاتِ عَدْنٍ" بازمى‏گردد، و توصيف" فاكهة" به" كثيرة" دليل بر توصيف" شراب" به اين وصف نيز مى‏باشد، و" متكئين" حال براى ضمير" لهم" است، يعنى آنها در بهشت جاويدان كه درهاى آن مستقر مى‏شوند در حالى كه تكيه بر مسندها زده‏اند، و در حالى كه دستور آوردن ميوه‏هاى مختلف و انواع نوشيدنيها را مى‏دهند.</w:t>
      </w:r>
    </w:p>
  </w:footnote>
  <w:footnote w:id="6">
    <w:p w:rsidR="00AC5A5F" w:rsidRDefault="00AC5A5F" w:rsidP="00AC5A5F">
      <w:pPr>
        <w:pStyle w:val="FootnoteText"/>
        <w:rPr>
          <w:rtl/>
        </w:rPr>
      </w:pPr>
      <w:r>
        <w:rPr>
          <w:rStyle w:val="FootnoteReference"/>
        </w:rPr>
        <w:footnoteRef/>
      </w:r>
      <w:r>
        <w:rPr>
          <w:rtl/>
        </w:rPr>
        <w:t xml:space="preserve"> </w:t>
      </w:r>
      <w:r>
        <w:rPr>
          <w:rtl/>
          <w:lang w:bidi="fa-IR"/>
        </w:rPr>
        <w:t>( 1)" اتراب" جمع" ترب"( بر وزن شعر) است.</w:t>
      </w:r>
    </w:p>
  </w:footnote>
  <w:footnote w:id="7">
    <w:p w:rsidR="00AC5A5F" w:rsidRDefault="00AC5A5F" w:rsidP="00AC5A5F">
      <w:pPr>
        <w:pStyle w:val="FootnoteText"/>
        <w:rPr>
          <w:rtl/>
        </w:rPr>
      </w:pPr>
      <w:r>
        <w:rPr>
          <w:rStyle w:val="FootnoteReference"/>
        </w:rPr>
        <w:footnoteRef/>
      </w:r>
      <w:r>
        <w:rPr>
          <w:rtl/>
        </w:rPr>
        <w:t xml:space="preserve"> </w:t>
      </w:r>
      <w:r>
        <w:rPr>
          <w:rtl/>
          <w:lang w:bidi="fa-IR"/>
        </w:rPr>
        <w:t>( 1)" نفاد" به معنى" فنا" و نابودى است، و" لام" در" لرزقنا" براى تاكيد است.</w:t>
      </w:r>
    </w:p>
  </w:footnote>
  <w:footnote w:id="8">
    <w:p w:rsidR="00AC5A5F" w:rsidRDefault="00AC5A5F" w:rsidP="00AC5A5F">
      <w:pPr>
        <w:pStyle w:val="FootnoteText"/>
        <w:rPr>
          <w:rtl/>
        </w:rPr>
      </w:pPr>
      <w:r>
        <w:rPr>
          <w:rStyle w:val="FootnoteReference"/>
        </w:rPr>
        <w:footnoteRef/>
      </w:r>
      <w:r>
        <w:rPr>
          <w:rtl/>
        </w:rPr>
        <w:t xml:space="preserve"> </w:t>
      </w:r>
      <w:r>
        <w:rPr>
          <w:rtl/>
          <w:lang w:bidi="fa-IR"/>
        </w:rPr>
        <w:t>مكارم شيرازى، ناصر، تفسير نمونه، 28جلد، دار الكتب الإسلامية - ايران - تهران، چاپ: 10، 1371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A5F"/>
    <w:rsid w:val="00474D82"/>
    <w:rsid w:val="005566A4"/>
    <w:rsid w:val="00AC5A5F"/>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C5A5F"/>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AC5A5F"/>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AC5A5F"/>
    <w:rPr>
      <w:vertAlign w:val="superscript"/>
    </w:rPr>
  </w:style>
  <w:style w:type="paragraph" w:styleId="NormalWeb">
    <w:name w:val="Normal (Web)"/>
    <w:basedOn w:val="Normal"/>
    <w:uiPriority w:val="99"/>
    <w:semiHidden/>
    <w:unhideWhenUsed/>
    <w:rsid w:val="00AC5A5F"/>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C5A5F"/>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AC5A5F"/>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AC5A5F"/>
    <w:rPr>
      <w:vertAlign w:val="superscript"/>
    </w:rPr>
  </w:style>
  <w:style w:type="paragraph" w:styleId="NormalWeb">
    <w:name w:val="Normal (Web)"/>
    <w:basedOn w:val="Normal"/>
    <w:uiPriority w:val="99"/>
    <w:semiHidden/>
    <w:unhideWhenUsed/>
    <w:rsid w:val="00AC5A5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87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721</Words>
  <Characters>4112</Characters>
  <Application>Microsoft Office Word</Application>
  <DocSecurity>0</DocSecurity>
  <Lines>34</Lines>
  <Paragraphs>9</Paragraphs>
  <ScaleCrop>false</ScaleCrop>
  <Company>MRT www.Win2Farsi.com</Company>
  <LinksUpToDate>false</LinksUpToDate>
  <CharactersWithSpaces>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2018-10-12T10:07:00Z</dcterms:created>
  <dcterms:modified xsi:type="dcterms:W3CDTF">2018-10-12T10:08:00Z</dcterms:modified>
</cp:coreProperties>
</file>