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90" w:rsidRDefault="004C0990" w:rsidP="004C0990">
      <w:pPr>
        <w:pStyle w:val="a6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علل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الشرائع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؛ ج‏1 ؛ ص77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67 </w:t>
      </w: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العلة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التي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أجلها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سمي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إسماعيل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حزقيل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ع صادق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الوعد</w:t>
      </w:r>
      <w:proofErr w:type="spellEnd"/>
    </w:p>
    <w:bookmarkEnd w:id="0"/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1</w:t>
      </w: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رَضِيَ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سَعْدُ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يَعْقُوبَ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يَزِيدَ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عَلِيِّ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أَحْمَدَ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أَشْيَمَ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سُلَيْمَانَ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الْجَعْفَرِيِّ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الْحَسَنِ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الرِّضَا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تَدْرِي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لِمَ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سُمِّيَ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إِسْمَاعِيلُ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صادِقَ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الْوَعْدِ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قُلْتُ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أَدْرِي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رجل [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رَجُلًا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]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فَجَلَسَ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حَوْلًا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يَنْتَظِرُهُ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2</w:t>
      </w: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الْحَسَنِ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أَحْمَدَ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الْوَلِيدِ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رَضِيَ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الْحَسَنِ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الصَّفَّارُ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يَعْقُوبَ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يَزِيدَ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عُمَيْرٍ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سِنَانٍ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عَمَّنْ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ذَكَرَهُ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إِسْمَاعِيلَ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الَّذِي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عَزَّ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جَلَ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‏</w:t>
      </w:r>
    </w:p>
    <w:p w:rsidR="004C0990" w:rsidRDefault="004C0990" w:rsidP="004C0990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علل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الشرائع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78</w:t>
      </w:r>
    </w:p>
    <w:p w:rsidR="004C0990" w:rsidRDefault="004C0990" w:rsidP="004C0990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كِتَابِهِ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اذْكُرْ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الْكِتابِ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إِسْماعِيلَ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صادِقَ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الْوَعْدِ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رَسُولًا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نَبِيًّا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لَمْ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يَكُنْ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إِسْمَاعِيلَ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بْنَ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إِبْرَاهِيمَ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بَلْ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كَانَ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نَبِيّاً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الْأَنْبِيَاءِ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بَعَثَهُ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عَزَّ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جَلَّ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قَوْمِهِ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فَأَخَذُوهُ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فَسَلَخُوا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فَرْوَةَ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رَأْسِهِ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وَجْهِهِ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فَأَتَاهُ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مَلَكٌ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جَلَّ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جَلَالُهُ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بَعَثَنِي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إِلَيْكَ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فَمُرْنِي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شِئْتَ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أُسْوَةٌ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يُصْنَعُ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بِالْحُسَيْنِ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ع.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3</w:t>
      </w: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رَضِيَ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سَعْدُ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يَعْقُوبَ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يَزِيدَ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سِنَانٍ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عَمَّارِ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مَرْوَانَ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سَمَاعَةَ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بَصِيرٍ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أَنَّ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إِسْمَاعِيلَ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رَسُولًا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نَبِيًّا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سُلِّطَ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عَلَيْهِ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قَوْمُهُ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فَقَشَرُوا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جِلْدَةَ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وَجْهِهِ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فَرْوَةَ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رَأْسِهِ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فَأَتَاهُ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رَسُولٌ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رَبِّ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الْعَالَمِينَ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رَبُّكَ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يُقْرِئُكَ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السَّلَامَ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يَقُولُ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قَدْ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رَأَيْتُ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صُنِعَ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قَدْ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أَمَرَنِي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بِطَاعَتِكَ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فَمُرْنِي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شِئْتَ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يَكُونُ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بِالْحُسَيْنِ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عَلِيٍّ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أُسْوَةٌ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4</w:t>
      </w:r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أَبِي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رَضِيَ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عَنْهُ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حَدَّثَنَا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يَحْيَى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الْعَطَّارُ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أَحْمَدَ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يَحْيَى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عِمْرَانَ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الْأَشْعَرِيِّ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مُحَمَّدِ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الْحُسَيْنِ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مُوسَى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سَعْدَانَ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الْقَاسِمِ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بْنِ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سِنَانٍ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سَمِعْتُ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أَبَا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عَبْدِ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يَقُولُ</w:t>
      </w:r>
      <w:proofErr w:type="spellEnd"/>
      <w:r>
        <w:rPr>
          <w:rFonts w:ascii="Traditional Arabic" w:hAnsi="Traditional Arabic" w:cs="Traditional Arabic" w:hint="cs"/>
          <w:color w:val="78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رَسُولَ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ص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رَجُلًا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صَخْرَةٍ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أَنَّى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هَاهُنَا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حَتَّى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تَأْتِيَ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فَاشْتَدَّتِ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الشَّمْسُ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عَلَيْهِ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أَصْحَابُهُ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رَسُولَ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لَوْ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أَنَّكَ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تَحَوَّلْتَ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الظِّلِّ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قَالَ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قَدْ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وَعَدْتُهُ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هَاهُنَا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لَمْ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يَجِئْ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كَانَ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الْمَحْشَرُ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4C0990" w:rsidRDefault="004C0990">
      <w:pPr>
        <w:rPr>
          <w:rtl/>
        </w:rPr>
      </w:pPr>
    </w:p>
    <w:p w:rsidR="004C0990" w:rsidRDefault="004C0990" w:rsidP="004C0990">
      <w:pPr>
        <w:pStyle w:val="a6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علل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الشرائع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ذهنى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تهرانى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؛ ج‏1 ؛ ص277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باب شصت و هفتم سر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ناميده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شدن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حزقيل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به صادق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الوعد</w:t>
      </w:r>
      <w:proofErr w:type="spellEnd"/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(1) پدرم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 سعد بن عبد الله،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يعقوب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يزيد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احمد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سليمان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جعفرى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حضرت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الحسن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الرضا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جناب فرمودند: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صادق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الوعد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مى‏نامند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؟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عرض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نمى‏دانم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حضرت فرمودند: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گذاشته بود لذا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سال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وعده‏گاه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انتظار آن مرد نشست.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(2) محمد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الحسن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احمد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محمد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الحسن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الصفار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يعقوب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يزيد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محمد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محمد بن سنان،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نموده، از حضرت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عبد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حضرت فرمودند: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عز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فرموده: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اذكر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الكتاب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إسماعيل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إنه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صادق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الوعد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رسولا</w:t>
      </w:r>
      <w:proofErr w:type="spellEnd"/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شرح حال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وعده صادق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بزرگوار بود)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فرزند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ابراهيم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حق عز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فرستاد و آنها او را گرفته و پوست سر و صورتش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4C0990" w:rsidRDefault="004C0990" w:rsidP="004C0990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علل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الشرائع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ذهنى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تهرانى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279</w:t>
      </w:r>
    </w:p>
    <w:p w:rsidR="004C0990" w:rsidRDefault="004C0990" w:rsidP="004C0990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هنگام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فرشته‏اى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او نازل شد و عرضه داشت: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خداوند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جلاله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 به نزد تو فرستاده آنچه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 به آن امر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انجام دهم.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مى‏خواهم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تابع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حسين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 و در آنچه به او انجام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دنباله رو آن حضرت باشم.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(3) پدرم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 سعد بن عبد الله،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يعقوب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يزيد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محمد بن سنان، از عمار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مروان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سماعه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ابو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بصير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حضرت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عبد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حضرت فرمودند: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رسول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او مسلط شد، پوست صورت و سرش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رسول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فرستاده‏اى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طرف پروردگار عالم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نزدش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 و عرضه داشت: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پروردگارت 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مى‏رساند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آنچه با تو انجام دادند و مرا امر فرموده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اطاعتت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پس آنچه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من فرمان بده.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اسماعيل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 من در تحمل مصائب تابع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حسين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عليهما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هستم.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(4) پدرم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 محمد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يحيى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عطار، از محمد بن احمد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يحيى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عمران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اشعرى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محمد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حسين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سعدان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عبد الله بن قاسم، از عبد الله بن سنان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گفت: از امام صادق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رسول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شخصى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گذارد و فرمود من جنب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سنگ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مى‏ايستم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حضرت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ايستادند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حرارت آفتاب شدت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اصحاب آن حضرت عرض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</w:p>
    <w:p w:rsidR="004C0990" w:rsidRDefault="004C0990" w:rsidP="004C099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رسول الله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را عوض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تشريف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بياوريد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حضرت فرمودند:</w:t>
      </w:r>
    </w:p>
    <w:p w:rsidR="004C0990" w:rsidRDefault="004C0990" w:rsidP="004C099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من با آن شخص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جا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وعده‏گاه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داده‏ام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روز محشر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مى‏ايستم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</w:p>
    <w:p w:rsidR="004C0990" w:rsidRDefault="004C0990" w:rsidP="004C0990">
      <w:pPr>
        <w:rPr>
          <w:rtl/>
        </w:rPr>
      </w:pPr>
    </w:p>
    <w:p w:rsidR="004C0990" w:rsidRDefault="004C0990" w:rsidP="004C0990"/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7DF" w:rsidRDefault="00AD77DF" w:rsidP="004C0990">
      <w:pPr>
        <w:spacing w:after="0" w:line="240" w:lineRule="auto"/>
      </w:pPr>
      <w:r>
        <w:separator/>
      </w:r>
    </w:p>
  </w:endnote>
  <w:endnote w:type="continuationSeparator" w:id="0">
    <w:p w:rsidR="00AD77DF" w:rsidRDefault="00AD77DF" w:rsidP="004C0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7DF" w:rsidRDefault="00AD77DF" w:rsidP="004C0990">
      <w:pPr>
        <w:spacing w:after="0" w:line="240" w:lineRule="auto"/>
      </w:pPr>
      <w:r>
        <w:separator/>
      </w:r>
    </w:p>
  </w:footnote>
  <w:footnote w:type="continuationSeparator" w:id="0">
    <w:p w:rsidR="00AD77DF" w:rsidRDefault="00AD77DF" w:rsidP="004C0990">
      <w:pPr>
        <w:spacing w:after="0" w:line="240" w:lineRule="auto"/>
      </w:pPr>
      <w:r>
        <w:continuationSeparator/>
      </w:r>
    </w:p>
  </w:footnote>
  <w:footnote w:id="1">
    <w:p w:rsidR="004C0990" w:rsidRDefault="004C0990" w:rsidP="004C0990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ابن </w:t>
      </w:r>
      <w:proofErr w:type="spellStart"/>
      <w:r>
        <w:rPr>
          <w:rtl/>
          <w:lang w:bidi="fa-IR"/>
        </w:rPr>
        <w:t>بابويه</w:t>
      </w:r>
      <w:proofErr w:type="spellEnd"/>
      <w:r>
        <w:rPr>
          <w:rtl/>
          <w:lang w:bidi="fa-IR"/>
        </w:rPr>
        <w:t xml:space="preserve">، محمد بن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، علل </w:t>
      </w:r>
      <w:proofErr w:type="spellStart"/>
      <w:r>
        <w:rPr>
          <w:rtl/>
          <w:lang w:bidi="fa-IR"/>
        </w:rPr>
        <w:t>الشرائع</w:t>
      </w:r>
      <w:proofErr w:type="spellEnd"/>
      <w:r>
        <w:rPr>
          <w:rtl/>
          <w:lang w:bidi="fa-IR"/>
        </w:rPr>
        <w:t xml:space="preserve"> - قم، چاپ: اول، 1385ش / 1966م.</w:t>
      </w:r>
    </w:p>
  </w:footnote>
  <w:footnote w:id="2">
    <w:p w:rsidR="004C0990" w:rsidRDefault="004C0990" w:rsidP="004C0990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( 1)- مرحوم علامه در خلاصه فرموده: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 بن احمد بن </w:t>
      </w:r>
      <w:proofErr w:type="spellStart"/>
      <w:r>
        <w:rPr>
          <w:rtl/>
          <w:lang w:bidi="fa-IR"/>
        </w:rPr>
        <w:t>اشيم</w:t>
      </w:r>
      <w:proofErr w:type="spellEnd"/>
      <w:r>
        <w:rPr>
          <w:rtl/>
          <w:lang w:bidi="fa-IR"/>
        </w:rPr>
        <w:t xml:space="preserve"> از اصحاب امام رضا </w:t>
      </w:r>
      <w:proofErr w:type="spellStart"/>
      <w:r>
        <w:rPr>
          <w:rtl/>
          <w:lang w:bidi="fa-IR"/>
        </w:rPr>
        <w:t>عليه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السلام</w:t>
      </w:r>
      <w:proofErr w:type="spellEnd"/>
      <w:r>
        <w:rPr>
          <w:rtl/>
          <w:lang w:bidi="fa-IR"/>
        </w:rPr>
        <w:t xml:space="preserve"> بوده و مجهول </w:t>
      </w:r>
      <w:proofErr w:type="spellStart"/>
      <w:r>
        <w:rPr>
          <w:rtl/>
          <w:lang w:bidi="fa-IR"/>
        </w:rPr>
        <w:t>مى‏باشد</w:t>
      </w:r>
      <w:proofErr w:type="spellEnd"/>
      <w:r>
        <w:rPr>
          <w:rtl/>
          <w:lang w:bidi="fa-IR"/>
        </w:rPr>
        <w:t>.</w:t>
      </w:r>
    </w:p>
  </w:footnote>
  <w:footnote w:id="3">
    <w:p w:rsidR="004C0990" w:rsidRDefault="004C0990" w:rsidP="004C0990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( 2)- </w:t>
      </w:r>
      <w:proofErr w:type="spellStart"/>
      <w:r>
        <w:rPr>
          <w:rtl/>
          <w:lang w:bidi="fa-IR"/>
        </w:rPr>
        <w:t>سليمان</w:t>
      </w:r>
      <w:proofErr w:type="spellEnd"/>
      <w:r>
        <w:rPr>
          <w:rtl/>
          <w:lang w:bidi="fa-IR"/>
        </w:rPr>
        <w:t xml:space="preserve"> بن جعفر بن </w:t>
      </w:r>
      <w:proofErr w:type="spellStart"/>
      <w:r>
        <w:rPr>
          <w:rtl/>
          <w:lang w:bidi="fa-IR"/>
        </w:rPr>
        <w:t>ابراهيم</w:t>
      </w:r>
      <w:proofErr w:type="spellEnd"/>
      <w:r>
        <w:rPr>
          <w:rtl/>
          <w:lang w:bidi="fa-IR"/>
        </w:rPr>
        <w:t xml:space="preserve"> بن محمد بن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 بن عبد الله بن جعفر </w:t>
      </w:r>
      <w:proofErr w:type="spellStart"/>
      <w:r>
        <w:rPr>
          <w:rtl/>
          <w:lang w:bidi="fa-IR"/>
        </w:rPr>
        <w:t>الطيار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ابو</w:t>
      </w:r>
      <w:proofErr w:type="spellEnd"/>
      <w:r>
        <w:rPr>
          <w:rtl/>
          <w:lang w:bidi="fa-IR"/>
        </w:rPr>
        <w:t xml:space="preserve"> محمد </w:t>
      </w:r>
      <w:proofErr w:type="spellStart"/>
      <w:r>
        <w:rPr>
          <w:rtl/>
          <w:lang w:bidi="fa-IR"/>
        </w:rPr>
        <w:t>الطالبى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الجعفرى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وى</w:t>
      </w:r>
      <w:proofErr w:type="spellEnd"/>
      <w:r>
        <w:rPr>
          <w:rtl/>
          <w:lang w:bidi="fa-IR"/>
        </w:rPr>
        <w:t xml:space="preserve"> از حضرت ثامن </w:t>
      </w:r>
      <w:proofErr w:type="spellStart"/>
      <w:r>
        <w:rPr>
          <w:rtl/>
          <w:lang w:bidi="fa-IR"/>
        </w:rPr>
        <w:t>الحج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عليه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السلام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روايت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مى‏كند</w:t>
      </w:r>
      <w:proofErr w:type="spellEnd"/>
      <w:r>
        <w:rPr>
          <w:rtl/>
          <w:lang w:bidi="fa-IR"/>
        </w:rPr>
        <w:t xml:space="preserve"> و </w:t>
      </w:r>
      <w:proofErr w:type="spellStart"/>
      <w:r>
        <w:rPr>
          <w:rtl/>
          <w:lang w:bidi="fa-IR"/>
        </w:rPr>
        <w:t>ثقه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مى‏باشد</w:t>
      </w:r>
      <w:proofErr w:type="spellEnd"/>
      <w:r>
        <w:rPr>
          <w:rtl/>
          <w:lang w:bidi="fa-IR"/>
        </w:rPr>
        <w:t>.</w:t>
      </w:r>
    </w:p>
  </w:footnote>
  <w:footnote w:id="4">
    <w:p w:rsidR="004C0990" w:rsidRDefault="004C0990" w:rsidP="004C0990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( 3)- سوره </w:t>
      </w:r>
      <w:proofErr w:type="spellStart"/>
      <w:r>
        <w:rPr>
          <w:rtl/>
          <w:lang w:bidi="fa-IR"/>
        </w:rPr>
        <w:t>مريم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>( 54)</w:t>
      </w:r>
    </w:p>
  </w:footnote>
  <w:footnote w:id="5">
    <w:p w:rsidR="004C0990" w:rsidRDefault="004C0990" w:rsidP="004C0990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ابن </w:t>
      </w:r>
      <w:proofErr w:type="spellStart"/>
      <w:r>
        <w:rPr>
          <w:rtl/>
          <w:lang w:bidi="fa-IR"/>
        </w:rPr>
        <w:t>بابويه</w:t>
      </w:r>
      <w:proofErr w:type="spellEnd"/>
      <w:r>
        <w:rPr>
          <w:rtl/>
          <w:lang w:bidi="fa-IR"/>
        </w:rPr>
        <w:t xml:space="preserve">، محمد بن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، علل </w:t>
      </w:r>
      <w:proofErr w:type="spellStart"/>
      <w:r>
        <w:rPr>
          <w:rtl/>
          <w:lang w:bidi="fa-IR"/>
        </w:rPr>
        <w:t>الشرائع</w:t>
      </w:r>
      <w:proofErr w:type="spellEnd"/>
      <w:r>
        <w:rPr>
          <w:rtl/>
          <w:lang w:bidi="fa-IR"/>
        </w:rPr>
        <w:t xml:space="preserve"> / ترجمه </w:t>
      </w:r>
      <w:proofErr w:type="spellStart"/>
      <w:r>
        <w:rPr>
          <w:rtl/>
          <w:lang w:bidi="fa-IR"/>
        </w:rPr>
        <w:t>ذهنى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تهرانى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؛ قم، چاپ: اول، 1380ش.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90"/>
    <w:rsid w:val="004C0990"/>
    <w:rsid w:val="00AD77DF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099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4C0990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4C0990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4C09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099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4C0990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4C0990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4C09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2018-07-12T09:53:00Z</dcterms:created>
  <dcterms:modified xsi:type="dcterms:W3CDTF">2018-07-12T10:03:00Z</dcterms:modified>
</cp:coreProperties>
</file>