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282" w:rsidRDefault="00C15282" w:rsidP="00C15282">
      <w:pPr>
        <w:pStyle w:val="NormalWeb"/>
        <w:bidi/>
        <w:jc w:val="center"/>
      </w:pPr>
      <w:r>
        <w:rPr>
          <w:rFonts w:ascii="Traditional Arabic" w:hAnsi="Traditional Arabic" w:cs="Traditional Arabic" w:hint="cs"/>
          <w:b/>
          <w:bCs/>
          <w:color w:val="552B2B"/>
          <w:sz w:val="32"/>
          <w:szCs w:val="32"/>
          <w:rtl/>
        </w:rPr>
        <w:t>ترجمه تفسير الميزان    ج‏14    78</w:t>
      </w:r>
    </w:p>
    <w:p w:rsidR="00C15282" w:rsidRDefault="00C15282" w:rsidP="00C15282">
      <w:pPr>
        <w:pStyle w:val="NormalWeb"/>
        <w:bidi/>
        <w:rPr>
          <w:rFonts w:hint="cs"/>
          <w:rtl/>
        </w:rPr>
      </w:pPr>
      <w:r>
        <w:rPr>
          <w:rFonts w:ascii="Traditional Arabic" w:hAnsi="Traditional Arabic" w:cs="Traditional Arabic" w:hint="cs"/>
          <w:color w:val="465BFF"/>
          <w:sz w:val="30"/>
          <w:szCs w:val="30"/>
          <w:rtl/>
        </w:rPr>
        <w:t>[جواب نرم ابراهيم (عليه السلام) در برابر انكار و تهديد" آزر" و وعده استغفار به او دادن و وجوهى كه در باره استغفار ابراهيم (عليه السلام) براى" آزر" با اينكه مشرك بوده گفته شده است‏]</w:t>
      </w:r>
    </w:p>
    <w:p w:rsidR="00C15282" w:rsidRDefault="00C15282" w:rsidP="00C15282">
      <w:pPr>
        <w:pStyle w:val="NormalWeb"/>
        <w:bidi/>
        <w:rPr>
          <w:rFonts w:hint="cs"/>
          <w:rtl/>
        </w:rPr>
      </w:pPr>
      <w:r>
        <w:rPr>
          <w:rFonts w:ascii="Traditional Arabic" w:hAnsi="Traditional Arabic" w:cs="Traditional Arabic" w:hint="cs"/>
          <w:color w:val="02802C"/>
          <w:sz w:val="30"/>
          <w:szCs w:val="30"/>
          <w:rtl/>
        </w:rPr>
        <w:t>" قالَ سَلامٌ عَلَيْكَ سَأَسْتَغْفِرُ لَكَ رَبِّي إِنَّهُ كانَ بِي حَفِيًّا"</w:t>
      </w:r>
      <w:r>
        <w:rPr>
          <w:rFonts w:ascii="Traditional Arabic" w:hAnsi="Traditional Arabic" w:cs="Traditional Arabic" w:hint="cs"/>
          <w:color w:val="000000"/>
          <w:sz w:val="30"/>
          <w:szCs w:val="30"/>
          <w:rtl/>
        </w:rPr>
        <w:t>.</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كلمه" حفى" به طورى كه راغب گفته به معناى نيكوكار لطيف و مهربان است، و لطيف كسى است كه مراقب حوائج دقيق و باريك محتاجان باشد تا در صدد رفع آنها بر آيد</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گفته مى‏شود" حفا- يحفو- حفى و حفوة، و احفاء سؤال" به معناى اصرار و التماس در آن است.</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ابراهيم (ع) در مقابل تهديد پدر و بديش به او سلام كرد، سلامى كه در آن احسان و امنيت باشد، و نيز به او وعده استغفار داد تا از پروردگارش براى او طلب آمرزش كند و در مقابل تهديد او كه گفت دهرى طولانى از من كناره بگير، گفت: من از شما و اين بتها كه مى‏پرستيد كناره مى‏گيرم.</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اما اينكه سلام كرد، چون سلام دأب و عادت بزرگواران است، با تقديم آن جهالت پدر را تلافى كرد، او وى را به خاطر حرف حقى كه زده بود تهديد به رجم و طرد كرد، ولى وى او را وعده امنيت و سلامتى و احسان داد، اين همان دستور العملى است كه قرآن كريم در آيه‏</w:t>
      </w:r>
      <w:r>
        <w:rPr>
          <w:rFonts w:ascii="Traditional Arabic" w:hAnsi="Traditional Arabic" w:cs="Traditional Arabic" w:hint="cs"/>
          <w:color w:val="006A0F"/>
          <w:sz w:val="30"/>
          <w:szCs w:val="30"/>
          <w:rtl/>
        </w:rPr>
        <w:t>" وَ إِذا مَرُّوا بِاللَّغْوِ مَرُّوا كِراماً"</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و آيه‏</w:t>
      </w:r>
      <w:r>
        <w:rPr>
          <w:rFonts w:ascii="Traditional Arabic" w:hAnsi="Traditional Arabic" w:cs="Traditional Arabic" w:hint="cs"/>
          <w:color w:val="006A0F"/>
          <w:sz w:val="30"/>
          <w:szCs w:val="30"/>
          <w:rtl/>
        </w:rPr>
        <w:t>" وَ إِذا خاطَبَهُمُ الْجاهِلُونَ قالُوا سَلاماً"</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بيان كرده است، و اما اينكه بعضى‏</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گفته‏اند كه: منظورش از سلام، خداحافظى و تحيت جدايى بوده، و خواسته است امر پدر را كه گفت:</w:t>
      </w:r>
      <w:r>
        <w:rPr>
          <w:rFonts w:ascii="Traditional Arabic" w:hAnsi="Traditional Arabic" w:cs="Traditional Arabic" w:hint="cs"/>
          <w:color w:val="02802C"/>
          <w:sz w:val="30"/>
          <w:szCs w:val="30"/>
          <w:rtl/>
        </w:rPr>
        <w:t>" وَ اهْجُرْنِي ..."</w:t>
      </w:r>
      <w:r>
        <w:rPr>
          <w:rFonts w:ascii="Traditional Arabic" w:hAnsi="Traditional Arabic" w:cs="Traditional Arabic" w:hint="cs"/>
          <w:color w:val="000000"/>
          <w:sz w:val="30"/>
          <w:szCs w:val="30"/>
          <w:rtl/>
        </w:rPr>
        <w:t xml:space="preserve"> اطاعت كند، حرف صحيحى نيست، زيرا ابراهيم (ع) بعد از مدتها كه از اين گفت و شنود گذشت از قوم خود دورى گزيد.</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و اما اينكه گفت: برايت از پروردگارم طلب مغفرت مى‏كنم با اينكه پدرش مشرك‏</w:t>
      </w:r>
    </w:p>
    <w:p w:rsidR="00C15282" w:rsidRDefault="00C15282" w:rsidP="00C15282">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79</w:t>
      </w:r>
    </w:p>
    <w:p w:rsidR="00C15282" w:rsidRDefault="00C15282" w:rsidP="00C15282">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بوده جهتش به طورى كه از ظاهر آيه‏</w:t>
      </w:r>
      <w:r>
        <w:rPr>
          <w:rFonts w:ascii="Traditional Arabic" w:hAnsi="Traditional Arabic" w:cs="Traditional Arabic" w:hint="cs"/>
          <w:color w:val="02802C"/>
          <w:sz w:val="30"/>
          <w:szCs w:val="30"/>
          <w:rtl/>
        </w:rPr>
        <w:t>" يا أَبَتِ إِنِّي أَخافُ أَنْ يَمَسَّكَ عَذابٌ مِنَ الرَّحْمنِ فَتَكُونَ لِلشَّيْطانِ وَلِيًّا"</w:t>
      </w:r>
      <w:r>
        <w:rPr>
          <w:rFonts w:ascii="Traditional Arabic" w:hAnsi="Traditional Arabic" w:cs="Traditional Arabic" w:hint="cs"/>
          <w:color w:val="000000"/>
          <w:sz w:val="30"/>
          <w:szCs w:val="30"/>
          <w:rtl/>
        </w:rPr>
        <w:t xml:space="preserve"> بر مى‏آيد اين بوده كه ابراهيم در آن لحظه يقين به كفر او و اينكه از اولياى شيطان است و دلش يك باره مطبوع بر كفر و انكار و عناد حق شده، نداشته، چون اگر به اين معانى يقين مى‏داشت به مثل‏</w:t>
      </w:r>
      <w:r>
        <w:rPr>
          <w:rFonts w:ascii="Traditional Arabic" w:hAnsi="Traditional Arabic" w:cs="Traditional Arabic" w:hint="cs"/>
          <w:color w:val="02802C"/>
          <w:sz w:val="30"/>
          <w:szCs w:val="30"/>
          <w:rtl/>
        </w:rPr>
        <w:t>" إِنِّي أَخافُ"</w:t>
      </w:r>
      <w:r>
        <w:rPr>
          <w:rFonts w:ascii="Traditional Arabic" w:hAnsi="Traditional Arabic" w:cs="Traditional Arabic" w:hint="cs"/>
          <w:color w:val="000000"/>
          <w:sz w:val="30"/>
          <w:szCs w:val="30"/>
          <w:rtl/>
        </w:rPr>
        <w:t xml:space="preserve"> تعبير نمى‏كرد پس معلوم مى‏شود كه آن جناب احتمال مى‏داده كه پدر جاهلى قاصر و مستضعف باشد كه اگر حق برايش روشن گردد آن را </w:t>
      </w:r>
      <w:r>
        <w:rPr>
          <w:rFonts w:ascii="Traditional Arabic" w:hAnsi="Traditional Arabic" w:cs="Traditional Arabic" w:hint="cs"/>
          <w:color w:val="000000"/>
          <w:sz w:val="30"/>
          <w:szCs w:val="30"/>
          <w:rtl/>
        </w:rPr>
        <w:lastRenderedPageBreak/>
        <w:t>پيروى مى‏كند، و شمول رحمت الهى به امثال اينگونه اشخاص امرى ممكن است، هم چنان كه قرآن كريم فرموده:</w:t>
      </w:r>
      <w:r>
        <w:rPr>
          <w:rFonts w:ascii="Traditional Arabic" w:hAnsi="Traditional Arabic" w:cs="Traditional Arabic" w:hint="cs"/>
          <w:color w:val="006A0F"/>
          <w:sz w:val="30"/>
          <w:szCs w:val="30"/>
          <w:rtl/>
        </w:rPr>
        <w:t>" إِلَّا الْمُسْتَضْعَفِينَ مِنَ الرِّجالِ وَ النِّساءِ وَ الْوِلْدانِ لا يَسْتَطِيعُونَ حِيلَةً وَ لا يَهْتَدُونَ سَبِيلًا فَأُولئِكَ عَسَى اللَّهُ أَنْ يَعْفُوَ عَنْهُمْ وَ كانَ اللَّهُ عَفُوًّا غَفُوراً"</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و چون اين احتمال را مى‏داده خواسته است عواطف او را با اين وعده تحريك كند، و در عين حال آمرزش خدا را هم برايش حتمى نكرد و آن را به صورت اميدوارى وعده داد، به دليل اينكه گفت:"</w:t>
      </w:r>
      <w:r>
        <w:rPr>
          <w:rFonts w:ascii="Traditional Arabic" w:hAnsi="Traditional Arabic" w:cs="Traditional Arabic" w:hint="cs"/>
          <w:color w:val="02802C"/>
          <w:sz w:val="30"/>
          <w:szCs w:val="30"/>
          <w:rtl/>
        </w:rPr>
        <w:t xml:space="preserve"> إِنَّهُ كانَ بِي حَفِيًّا</w:t>
      </w:r>
      <w:r>
        <w:rPr>
          <w:rFonts w:ascii="Traditional Arabic" w:hAnsi="Traditional Arabic" w:cs="Traditional Arabic" w:hint="cs"/>
          <w:color w:val="000000"/>
          <w:sz w:val="30"/>
          <w:szCs w:val="30"/>
          <w:rtl/>
        </w:rPr>
        <w:t>- پروردگار من همواره به من لطف داشته است" و نيز در سوره ممتحنه آيه 4، از او نقل شده كه بعد از وعده استغفار اضافه كرده است كه من از خدا چيزى را براى تو مالك و صاحب اختيار نيستم، و فرموده:</w:t>
      </w:r>
      <w:r>
        <w:rPr>
          <w:rFonts w:ascii="Traditional Arabic" w:hAnsi="Traditional Arabic" w:cs="Traditional Arabic" w:hint="cs"/>
          <w:color w:val="006A0F"/>
          <w:sz w:val="30"/>
          <w:szCs w:val="30"/>
          <w:rtl/>
        </w:rPr>
        <w:t>" إِلَّا قَوْلَ إِبْراهِيمَ لِأَبِيهِ لَأَسْتَغْفِرَنَّ لَكَ وَ ما أَمْلِكُ لَكَ مِنَ اللَّهِ مِنْ شَيْ‏ءٍ"</w:t>
      </w:r>
      <w:r>
        <w:rPr>
          <w:rFonts w:ascii="Traditional Arabic" w:hAnsi="Traditional Arabic" w:cs="Traditional Arabic" w:hint="cs"/>
          <w:color w:val="000000"/>
          <w:sz w:val="30"/>
          <w:szCs w:val="30"/>
          <w:rtl/>
        </w:rPr>
        <w:t>.</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و مؤيد اين گفتار، قول خداوند متعال است كه مى‏فرمايد:</w:t>
      </w:r>
      <w:r>
        <w:rPr>
          <w:rFonts w:ascii="Traditional Arabic" w:hAnsi="Traditional Arabic" w:cs="Traditional Arabic" w:hint="cs"/>
          <w:color w:val="006A0F"/>
          <w:sz w:val="30"/>
          <w:szCs w:val="30"/>
          <w:rtl/>
        </w:rPr>
        <w:t>" ما كانَ لِلنَّبِيِّ وَ الَّذِينَ آمَنُوا أَنْ يَسْتَغْفِرُوا لِلْمُشْرِكِينَ وَ لَوْ كانُوا أُولِي قُرْبى‏ مِنْ بَعْدِ ما تَبَيَّنَ لَهُمْ أَنَّهُمْ أَصْحابُ الْجَحِيمِ وَ ما كانَ اسْتِغْفارُ إِبْراهِيمَ لِأَبِيهِ إِلَّا عَنْ مَوْعِدَةٍ وَعَدَها إِيَّاهُ فَلَمَّا تَبَيَّنَ لَهُ أَنَّهُ عَدُوٌّ لِلَّهِ تَبَرَّأَ مِنْهُ إِنَّ إِبْراهِيمَ لَأَوَّاهٌ حَلِيمٌ"</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پس تبرى و بيزاريش بعد از آنكه معلوم شد پدرش از دشمنان خدا است، خود دليل بر اين است كه قبلا احتمال مى‏داده كه دشمن خدا نباشد، هر چند كه مى‏دانسته است مشرك است، و جمع ميان مشرك بودن و دشمن خدا نبودن در افراد جاهل خالى از عناد تصور دارد.</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مؤيد اين نظريه آيه شريفه‏</w:t>
      </w:r>
      <w:r>
        <w:rPr>
          <w:rFonts w:ascii="Traditional Arabic" w:hAnsi="Traditional Arabic" w:cs="Traditional Arabic" w:hint="cs"/>
          <w:color w:val="006A0F"/>
          <w:sz w:val="30"/>
          <w:szCs w:val="30"/>
          <w:rtl/>
        </w:rPr>
        <w:t>" يا أَيُّهَا الَّذِينَ آمَنُوا لا تَتَّخِذُوا عَدُوِّي وَ عَدُوَّكُمْ أَوْلِياءَ تُلْقُونَ إِلَيْهِمْ بِالْمَوَدَّةِ</w:t>
      </w:r>
    </w:p>
    <w:p w:rsidR="00C15282" w:rsidRDefault="00C15282" w:rsidP="00C15282">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80</w:t>
      </w:r>
    </w:p>
    <w:p w:rsidR="00C15282" w:rsidRDefault="00C15282" w:rsidP="00C15282">
      <w:pPr>
        <w:rPr>
          <w:rFonts w:ascii="Times New Roman" w:hAnsi="Times New Roman" w:cs="Times New Roman" w:hint="cs"/>
          <w:sz w:val="24"/>
          <w:szCs w:val="24"/>
          <w:rtl/>
        </w:rPr>
      </w:pP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لا يَنْهاكُمُ اللَّهُ عَنِ الَّذِينَ لَمْ يُقاتِلُوكُمْ‏</w:t>
      </w:r>
      <w:r>
        <w:rPr>
          <w:rFonts w:ascii="Traditional Arabic" w:hAnsi="Traditional Arabic" w:cs="Traditional Arabic" w:hint="cs"/>
          <w:color w:val="02802C"/>
          <w:sz w:val="30"/>
          <w:szCs w:val="30"/>
          <w:rtl/>
        </w:rPr>
        <w:t xml:space="preserve"> فِي الدِّينِ وَ لَمْ يُخْرِجُوكُمْ مِنْ دِيارِكُمْ أَنْ تَبَرُّوهُمْ وَ تُقْسِطُوا إِلَيْهِمْ إِنَّ اللَّهَ يُحِبُّ الْمُقْسِطِينَ ..."</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و از جمله توجيهاتى كه براى استغفار ابراهيم براى پدر مشركش كرده‏اند اين است كه:</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او وعده استغفارش داده بود، و به حكم عقل وفاى به وعده لازم بود، زيرا عقل از تجويز، آن ابايى ندارد، و جائز نبودن آن به دليل نقل است، و آن روز اين منع نقلى نرسيده بود بعدا وقتى شريعت برايش آمد تحريم شد، و بعد از تحريم از پدر بيزارى جسته است.</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lastRenderedPageBreak/>
        <w:t>ولى اشكال اين توجيه اين است كه با آيات داستان اگر در آن دقت شود تطبيق نمى‏كند. يكى‏</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xml:space="preserve"> ديگر اين است كه: معناى استغفار ابراهيم مشروط به توبه پدر و ايمان آوردن او بوده. اين وجه نيز به طورى كه خود شما خواننده ملاحظه مى‏كنيد صحيح نيست.</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يكى‏</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ديگر اينكه: معناى‏</w:t>
      </w:r>
      <w:r>
        <w:rPr>
          <w:rFonts w:ascii="Traditional Arabic" w:hAnsi="Traditional Arabic" w:cs="Traditional Arabic" w:hint="cs"/>
          <w:color w:val="02802C"/>
          <w:sz w:val="30"/>
          <w:szCs w:val="30"/>
          <w:rtl/>
        </w:rPr>
        <w:t>" سَأَسْتَغْفِرُ لَكَ رَبِّي"</w:t>
      </w:r>
      <w:r>
        <w:rPr>
          <w:rFonts w:ascii="Traditional Arabic" w:hAnsi="Traditional Arabic" w:cs="Traditional Arabic" w:hint="cs"/>
          <w:color w:val="000000"/>
          <w:sz w:val="30"/>
          <w:szCs w:val="30"/>
          <w:rtl/>
        </w:rPr>
        <w:t xml:space="preserve"> اين است كه من به زودى دعا مى‏كنم كه خدا تو را در دنيا عذاب نكند، و اين نيز مانند وجه قبلى تقييدى است بدون مقيد.</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يكى‏</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xml:space="preserve"> ديگر اينكه: وعده دعا به مسبب است، كه مستلزم وعده دعاء به سبب است و معناى اينكه گفت به زودى از خدا مسئلت مى‏نمايم كه تو را بيامرزد اين است كه به زودى از خدا مسئلت مى‏كنم كه تو را موفق به توبه نموده به سوى ايمان هدايتت كند، و در نتيجه تو را بيامرزد، ممكن هم هست طلب مغفرت را كنايه از طلب توفيق توبه و هدايت به ايمان گرفت.</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و اين معنا هر چند كه از ساير معانى ديگر معتدل‏تر است، و ليكن خالى از بعد هم نيست، براى اينكه گفتيم در كلام بويى از استعطاف و تحبيب قلب هست، و اين با طلب مغفرت مناسب‏تر است تا طلب توفيق و هدايت، (هر چند كه اين مناسبتر بودن هم محل حرف است).</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و نظير اين دعا كه براى پدر خود كرد دعايى است كه براى عموم مشركين كرده و گفت‏</w:t>
      </w:r>
      <w:r>
        <w:rPr>
          <w:rFonts w:ascii="Traditional Arabic" w:hAnsi="Traditional Arabic" w:cs="Traditional Arabic" w:hint="cs"/>
          <w:color w:val="006A0F"/>
          <w:sz w:val="30"/>
          <w:szCs w:val="30"/>
          <w:rtl/>
        </w:rPr>
        <w:t>" وَ اجْنُبْنِي وَ بَنِيَّ أَنْ نَعْبُدَ الْأَصْنامَ رَبِّ إِنَّهُنَّ أَضْلَلْنَ كَثِيراً مِنَ النَّاسِ فَمَنْ تَبِعَنِي فَإِنَّهُ مِنِّي وَ مَنْ عَصانِي فَإِنَّكَ غَفُورٌ رَحِيمٌ"</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w:t>
      </w:r>
    </w:p>
    <w:p w:rsidR="00C15282" w:rsidRDefault="00C15282" w:rsidP="00C15282">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81</w:t>
      </w:r>
    </w:p>
    <w:p w:rsidR="00C15282" w:rsidRDefault="00C15282" w:rsidP="00C15282">
      <w:pPr>
        <w:rPr>
          <w:rFonts w:ascii="Times New Roman" w:hAnsi="Times New Roman" w:cs="Times New Roman" w:hint="cs"/>
          <w:sz w:val="24"/>
          <w:szCs w:val="24"/>
          <w:rtl/>
        </w:rPr>
      </w:pPr>
      <w:r>
        <w:rPr>
          <w:rFonts w:ascii="Traditional Arabic" w:hAnsi="Traditional Arabic" w:cs="Traditional Arabic" w:hint="cs"/>
          <w:color w:val="02802C"/>
          <w:sz w:val="30"/>
          <w:szCs w:val="30"/>
          <w:rtl/>
        </w:rPr>
        <w:t>" وَ أَعْتَزِلُكُمْ وَ ما تَدْعُونَ مِنْ دُونِ اللَّهِ وَ أَدْعُوا رَبِّي عَسى‏ أَلَّا أَكُونَ بِدُعاءِ رَبِّي شَقِيًّا"</w:t>
      </w:r>
      <w:r>
        <w:rPr>
          <w:rFonts w:ascii="Traditional Arabic" w:hAnsi="Traditional Arabic" w:cs="Traditional Arabic" w:hint="cs"/>
          <w:color w:val="000000"/>
          <w:sz w:val="30"/>
          <w:szCs w:val="30"/>
          <w:rtl/>
        </w:rPr>
        <w:t>.</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در اين آيه وعده مى‏دهد به كناره‏گيرى و دورى از مشركين و از اصنام آنان، تا با خداى خود خلوت نموده خالص او را بخواند، تا شايد دعايش بى‏ثمر نشود، و اگر در اين كار اظهار رجاء و اميد كرد براى اين بود كه اينگونه اسباب يعنى دعا و توجه به سوى خدا و امثال آن، اسبابى نيست كه چيزى را بر خدا واجب كند، بلكه اگر خدا در مقابل آن ثوابى بدهد و سعادتى مرحمت كند و يا هر پاداش نيك ديگرى بدهد همه از باب تفضل است، علاوه بر اين ملاك امور، خاتمه آن است و جز خدا كسى از غيب و از خواتم امور خبر ندارد، پس مرد مؤمن بايد كه هميشه بين خوف و رجاء باشد.</w:t>
      </w:r>
    </w:p>
    <w:p w:rsidR="00C15282" w:rsidRDefault="00C15282" w:rsidP="00C15282">
      <w:pPr>
        <w:pStyle w:val="NormalWeb"/>
        <w:bidi/>
        <w:rPr>
          <w:rFonts w:hint="cs"/>
          <w:rtl/>
        </w:rPr>
      </w:pPr>
      <w:r>
        <w:rPr>
          <w:rFonts w:ascii="Traditional Arabic" w:hAnsi="Traditional Arabic" w:cs="Traditional Arabic" w:hint="cs"/>
          <w:color w:val="02802C"/>
          <w:sz w:val="30"/>
          <w:szCs w:val="30"/>
          <w:rtl/>
        </w:rPr>
        <w:lastRenderedPageBreak/>
        <w:t>" فَلَمَّا اعْتَزَلَهُمْ وَ ما يَعْبُدُونَ مِنْ دُونِ اللَّهِ وَهَبْنا لَهُ إِسْحاقَ وَ يَعْقُوبَ‏</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2802C"/>
          <w:sz w:val="30"/>
          <w:szCs w:val="30"/>
          <w:rtl/>
        </w:rPr>
        <w:t xml:space="preserve"> لِسانَ صِدْقٍ عَلِيًّا"</w:t>
      </w:r>
      <w:r>
        <w:rPr>
          <w:rFonts w:ascii="Traditional Arabic" w:hAnsi="Traditional Arabic" w:cs="Traditional Arabic" w:hint="cs"/>
          <w:color w:val="000000"/>
          <w:sz w:val="30"/>
          <w:szCs w:val="30"/>
          <w:rtl/>
        </w:rPr>
        <w:t>.</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بعيد نيست اينكه به جاى بردن نام فرزند ديگر خود اسماعيل، نام نوه خود يعقوب را برد براى اين بوده كه خواسته است به توالى شجره نبوت در بنى اسرائيل اشاره كند، چون از دودمان يعقوب جمع كثيرى از انبياء بوده‏اند، مؤيد اين معنا جمله‏</w:t>
      </w:r>
      <w:r>
        <w:rPr>
          <w:rFonts w:ascii="Traditional Arabic" w:hAnsi="Traditional Arabic" w:cs="Traditional Arabic" w:hint="cs"/>
          <w:color w:val="02802C"/>
          <w:sz w:val="30"/>
          <w:szCs w:val="30"/>
          <w:rtl/>
        </w:rPr>
        <w:t>" وَ كُلًّا جَعَلْنا نَبِيًّا"</w:t>
      </w:r>
      <w:r>
        <w:rPr>
          <w:rFonts w:ascii="Traditional Arabic" w:hAnsi="Traditional Arabic" w:cs="Traditional Arabic" w:hint="cs"/>
          <w:color w:val="000000"/>
          <w:sz w:val="30"/>
          <w:szCs w:val="30"/>
          <w:rtl/>
        </w:rPr>
        <w:t xml:space="preserve"> است.</w:t>
      </w:r>
    </w:p>
    <w:p w:rsidR="00C15282" w:rsidRDefault="00C15282" w:rsidP="00C15282">
      <w:pPr>
        <w:pStyle w:val="NormalWeb"/>
        <w:bidi/>
        <w:rPr>
          <w:rFonts w:hint="cs"/>
          <w:rtl/>
        </w:rPr>
      </w:pPr>
      <w:r>
        <w:rPr>
          <w:rFonts w:ascii="Traditional Arabic" w:hAnsi="Traditional Arabic" w:cs="Traditional Arabic" w:hint="cs"/>
          <w:color w:val="02802C"/>
          <w:sz w:val="30"/>
          <w:szCs w:val="30"/>
          <w:rtl/>
        </w:rPr>
        <w:t>" وَ وَهَبْنا لَهُمْ مِنْ رَحْمَتِنا"</w:t>
      </w:r>
      <w:r>
        <w:rPr>
          <w:rFonts w:ascii="Traditional Arabic" w:hAnsi="Traditional Arabic" w:cs="Traditional Arabic" w:hint="cs"/>
          <w:color w:val="000000"/>
          <w:sz w:val="30"/>
          <w:szCs w:val="30"/>
          <w:rtl/>
        </w:rPr>
        <w:t>- ممكن است مراد از رحمت، امامت باشد، هم چنان كه در آيه 72 و 73 سوره انبياء كه آن موهوب را صريحا نام برده ائمه‏اى صالح خوانده و فرموده‏</w:t>
      </w:r>
      <w:r>
        <w:rPr>
          <w:rFonts w:ascii="Traditional Arabic" w:hAnsi="Traditional Arabic" w:cs="Traditional Arabic" w:hint="cs"/>
          <w:color w:val="006A0F"/>
          <w:sz w:val="30"/>
          <w:szCs w:val="30"/>
          <w:rtl/>
        </w:rPr>
        <w:t>" وَ وَهَبْنا لَهُ إِسْحاقَ وَ يَعْقُوبَ نافِلَةً وَ كُلًّا جَعَلْنا صالِحِينَ وَ جَعَلْناهُمْ أَئِمَّةً يَهْدُونَ بِأَمْرِنا"</w:t>
      </w:r>
      <w:r>
        <w:rPr>
          <w:rFonts w:ascii="Traditional Arabic" w:hAnsi="Traditional Arabic" w:cs="Traditional Arabic" w:hint="cs"/>
          <w:color w:val="000000"/>
          <w:sz w:val="30"/>
          <w:szCs w:val="30"/>
          <w:rtl/>
        </w:rPr>
        <w:t>، و ممكن هم هست مراد از آن رحمت، تاييد به روح القدس باشد، هم چنان كه جمله بعدى همان آيه 73 كه مى‏فرمايد:"</w:t>
      </w:r>
      <w:r>
        <w:rPr>
          <w:rFonts w:ascii="Traditional Arabic" w:hAnsi="Traditional Arabic" w:cs="Traditional Arabic" w:hint="cs"/>
          <w:color w:val="006A0F"/>
          <w:sz w:val="30"/>
          <w:szCs w:val="30"/>
          <w:rtl/>
        </w:rPr>
        <w:t xml:space="preserve"> وَ أَوْحَيْنا إِلَيْهِمْ فِعْلَ الْخَيْراتِ‏</w:t>
      </w:r>
      <w:r>
        <w:rPr>
          <w:rFonts w:ascii="Traditional Arabic" w:hAnsi="Traditional Arabic" w:cs="Traditional Arabic" w:hint="cs"/>
          <w:color w:val="000000"/>
          <w:sz w:val="30"/>
          <w:szCs w:val="30"/>
          <w:rtl/>
        </w:rPr>
        <w:t>- به ايشان فعل خيرات را وحى كرديم" كه به زودى معنايش خواهد آمد بدان اشاره مى‏كند، ممكن هم هست معناى آن مطلق ولايت الهى باشد.</w:t>
      </w:r>
    </w:p>
    <w:p w:rsidR="00C15282" w:rsidRDefault="00C15282" w:rsidP="00C15282">
      <w:pPr>
        <w:pStyle w:val="NormalWeb"/>
        <w:bidi/>
        <w:rPr>
          <w:rFonts w:hint="cs"/>
          <w:rtl/>
        </w:rPr>
      </w:pPr>
      <w:r>
        <w:rPr>
          <w:rFonts w:ascii="Traditional Arabic" w:hAnsi="Traditional Arabic" w:cs="Traditional Arabic" w:hint="cs"/>
          <w:color w:val="000000"/>
          <w:sz w:val="30"/>
          <w:szCs w:val="30"/>
          <w:rtl/>
        </w:rPr>
        <w:t>كلمه لسان در جمله‏</w:t>
      </w:r>
      <w:r>
        <w:rPr>
          <w:rFonts w:ascii="Traditional Arabic" w:hAnsi="Traditional Arabic" w:cs="Traditional Arabic" w:hint="cs"/>
          <w:color w:val="02802C"/>
          <w:sz w:val="30"/>
          <w:szCs w:val="30"/>
          <w:rtl/>
        </w:rPr>
        <w:t>" وَ جَعَلْنا لَهُمْ لِسانَ صِدْقٍ عَلِيًّا"</w:t>
      </w:r>
      <w:r>
        <w:rPr>
          <w:rFonts w:ascii="Traditional Arabic" w:hAnsi="Traditional Arabic" w:cs="Traditional Arabic" w:hint="cs"/>
          <w:color w:val="000000"/>
          <w:sz w:val="30"/>
          <w:szCs w:val="30"/>
          <w:rtl/>
        </w:rPr>
        <w:t xml:space="preserve"> (به طورى كه‏</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 xml:space="preserve"> گفته‏اند) به معناى ذكر خير در مردم و يا ذكر شر است، كه اگر به صدق اضافه شود معنايش ثناء جميل مردم و ثنائى كه در آن دروغ نباشد مى‏باشد، و كلمه" على" به معناى رفيع است و معنا اين است كه: براى آنان ثناى جميلى راست و رفيع القدر قرار داديم.</w:t>
      </w:r>
      <w:r>
        <w:rPr>
          <w:rStyle w:val="FootnoteReference"/>
          <w:rFonts w:ascii="Traditional Arabic" w:hAnsi="Traditional Arabic" w:cs="Traditional Arabic"/>
          <w:color w:val="000000"/>
          <w:sz w:val="30"/>
          <w:szCs w:val="30"/>
          <w:rtl/>
        </w:rPr>
        <w:footnoteReference w:id="14"/>
      </w:r>
    </w:p>
    <w:p w:rsidR="00C15282" w:rsidRDefault="00C15282">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2CB" w:rsidRDefault="00EB72CB" w:rsidP="00C15282">
      <w:pPr>
        <w:spacing w:after="0" w:line="240" w:lineRule="auto"/>
      </w:pPr>
      <w:r>
        <w:separator/>
      </w:r>
    </w:p>
  </w:endnote>
  <w:endnote w:type="continuationSeparator" w:id="0">
    <w:p w:rsidR="00EB72CB" w:rsidRDefault="00EB72CB" w:rsidP="00C15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2CB" w:rsidRDefault="00EB72CB" w:rsidP="00C15282">
      <w:pPr>
        <w:spacing w:after="0" w:line="240" w:lineRule="auto"/>
      </w:pPr>
      <w:r>
        <w:separator/>
      </w:r>
    </w:p>
  </w:footnote>
  <w:footnote w:type="continuationSeparator" w:id="0">
    <w:p w:rsidR="00EB72CB" w:rsidRDefault="00EB72CB" w:rsidP="00C15282">
      <w:pPr>
        <w:spacing w:after="0" w:line="240" w:lineRule="auto"/>
      </w:pPr>
      <w:r>
        <w:continuationSeparator/>
      </w:r>
    </w:p>
  </w:footnote>
  <w:footnote w:id="1">
    <w:p w:rsidR="00C15282" w:rsidRDefault="00C15282" w:rsidP="00C15282">
      <w:pPr>
        <w:pStyle w:val="FootnoteText"/>
        <w:rPr>
          <w:rFonts w:hint="cs"/>
          <w:rtl/>
        </w:rPr>
      </w:pPr>
      <w:r>
        <w:rPr>
          <w:rStyle w:val="FootnoteReference"/>
        </w:rPr>
        <w:footnoteRef/>
      </w:r>
      <w:r>
        <w:rPr>
          <w:rtl/>
        </w:rPr>
        <w:t xml:space="preserve"> </w:t>
      </w:r>
      <w:r>
        <w:rPr>
          <w:rtl/>
          <w:lang w:bidi="fa-IR"/>
        </w:rPr>
        <w:t>( 2) مفردات راغب، ماده" حفى".</w:t>
      </w:r>
    </w:p>
  </w:footnote>
  <w:footnote w:id="2">
    <w:p w:rsidR="00C15282" w:rsidRDefault="00C15282" w:rsidP="00C15282">
      <w:pPr>
        <w:pStyle w:val="FootnoteText"/>
        <w:rPr>
          <w:rtl/>
        </w:rPr>
      </w:pPr>
      <w:r>
        <w:rPr>
          <w:rStyle w:val="FootnoteReference"/>
        </w:rPr>
        <w:footnoteRef/>
      </w:r>
      <w:r>
        <w:rPr>
          <w:rtl/>
        </w:rPr>
        <w:t xml:space="preserve"> </w:t>
      </w:r>
      <w:r>
        <w:rPr>
          <w:rtl/>
          <w:lang w:bidi="fa-IR"/>
        </w:rPr>
        <w:t>( 3) سوره فرقان آيه 72.</w:t>
      </w:r>
    </w:p>
  </w:footnote>
  <w:footnote w:id="3">
    <w:p w:rsidR="00C15282" w:rsidRDefault="00C15282" w:rsidP="00C15282">
      <w:pPr>
        <w:pStyle w:val="FootnoteText"/>
        <w:rPr>
          <w:rtl/>
        </w:rPr>
      </w:pPr>
      <w:r>
        <w:rPr>
          <w:rStyle w:val="FootnoteReference"/>
        </w:rPr>
        <w:footnoteRef/>
      </w:r>
      <w:r>
        <w:rPr>
          <w:rtl/>
        </w:rPr>
        <w:t xml:space="preserve"> </w:t>
      </w:r>
      <w:r>
        <w:rPr>
          <w:rtl/>
          <w:lang w:bidi="fa-IR"/>
        </w:rPr>
        <w:t>( 4) سوره فرقان آيه 63.</w:t>
      </w:r>
    </w:p>
  </w:footnote>
  <w:footnote w:id="4">
    <w:p w:rsidR="00C15282" w:rsidRDefault="00C15282" w:rsidP="00C15282">
      <w:pPr>
        <w:pStyle w:val="FootnoteText"/>
        <w:rPr>
          <w:rtl/>
        </w:rPr>
      </w:pPr>
      <w:r>
        <w:rPr>
          <w:rStyle w:val="FootnoteReference"/>
        </w:rPr>
        <w:footnoteRef/>
      </w:r>
      <w:r>
        <w:rPr>
          <w:rtl/>
        </w:rPr>
        <w:t xml:space="preserve"> </w:t>
      </w:r>
      <w:r>
        <w:rPr>
          <w:rtl/>
          <w:lang w:bidi="fa-IR"/>
        </w:rPr>
        <w:t>( 5) كشاف، ج 3، ص 21.</w:t>
      </w:r>
    </w:p>
  </w:footnote>
  <w:footnote w:id="5">
    <w:p w:rsidR="00C15282" w:rsidRDefault="00C15282" w:rsidP="00C15282">
      <w:pPr>
        <w:pStyle w:val="FootnoteText"/>
        <w:rPr>
          <w:rtl/>
        </w:rPr>
      </w:pPr>
      <w:r>
        <w:rPr>
          <w:rStyle w:val="FootnoteReference"/>
        </w:rPr>
        <w:footnoteRef/>
      </w:r>
      <w:r>
        <w:rPr>
          <w:rtl/>
        </w:rPr>
        <w:t xml:space="preserve"> </w:t>
      </w:r>
      <w:r>
        <w:rPr>
          <w:rtl/>
          <w:lang w:bidi="fa-IR"/>
        </w:rPr>
        <w:t>( 1) مگر آن دسته از مردان و زنان و كودكانى كه به راستى تحت فشار قرار گرفته‏اند، نه چاره‏اى دارند و نه راهى مى‏يابند. آنها راى ممكن است خداوند مورد عفوشان قرار دهد و خداوند عفو كننده و آمرزنده است. سوره نساء، آيه 98 و 99.</w:t>
      </w:r>
    </w:p>
  </w:footnote>
  <w:footnote w:id="6">
    <w:p w:rsidR="00C15282" w:rsidRDefault="00C15282" w:rsidP="00C15282">
      <w:pPr>
        <w:pStyle w:val="FootnoteText"/>
        <w:rPr>
          <w:rtl/>
        </w:rPr>
      </w:pPr>
      <w:r>
        <w:rPr>
          <w:rStyle w:val="FootnoteReference"/>
        </w:rPr>
        <w:footnoteRef/>
      </w:r>
      <w:r>
        <w:rPr>
          <w:rtl/>
        </w:rPr>
        <w:t xml:space="preserve"> </w:t>
      </w:r>
      <w:r>
        <w:rPr>
          <w:rtl/>
          <w:lang w:bidi="fa-IR"/>
        </w:rPr>
        <w:t>( 2) پيغمبر و يارانش حق ندارند براى مشركين طلب مغفرت كنند هر چند خويشاوند باشند، پس از آنكه برايشان روشن شده باشد كه اهل جهنمند، و استغفار ابراهيم براى پدرش به خاطر وعده‏اى بود كه به او داده بود، بعدا كه معلوم شد دشمن خدا است از او بيزارى جست، آرى ابراهيم پيامبرى بود بردبار و پر رجوع به خدا. سوره توبه، آيه 113 و 114.</w:t>
      </w:r>
    </w:p>
  </w:footnote>
  <w:footnote w:id="7">
    <w:p w:rsidR="00C15282" w:rsidRDefault="00C15282" w:rsidP="00C15282">
      <w:pPr>
        <w:pStyle w:val="FootnoteText"/>
        <w:rPr>
          <w:rtl/>
        </w:rPr>
      </w:pPr>
      <w:r>
        <w:rPr>
          <w:rStyle w:val="FootnoteReference"/>
        </w:rPr>
        <w:footnoteRef/>
      </w:r>
      <w:r>
        <w:rPr>
          <w:rtl/>
        </w:rPr>
        <w:t xml:space="preserve"> </w:t>
      </w:r>
      <w:r>
        <w:rPr>
          <w:rtl/>
          <w:lang w:bidi="fa-IR"/>
        </w:rPr>
        <w:t>( 1) اى كسانى كه ايمان آورده‏ايد هرگز( نبايد كافران را كه) دشمن من و شمايند ياران خود بر گرفته و طرح دوستى با آنها بريزيد ... خدا شما را از دوستى آنان كه با شما در دين قتال و دشمنى نكرده و شما را از ديارتان بيرون ننمودند نهى نمى‏كند تا بيزارى از آنها جوييد بلكه با آنها به عدالت و انصاف رفتار كنيد كه خدا مردم با عدل و داد را بسيار دوست مى‏دارد. سوره ممتحنه آيات 1- 8.</w:t>
      </w:r>
    </w:p>
  </w:footnote>
  <w:footnote w:id="8">
    <w:p w:rsidR="00C15282" w:rsidRDefault="00C15282" w:rsidP="00C15282">
      <w:pPr>
        <w:pStyle w:val="FootnoteText"/>
        <w:rPr>
          <w:rtl/>
        </w:rPr>
      </w:pPr>
      <w:r>
        <w:rPr>
          <w:rStyle w:val="FootnoteReference"/>
        </w:rPr>
        <w:footnoteRef/>
      </w:r>
      <w:r>
        <w:rPr>
          <w:rtl/>
        </w:rPr>
        <w:t xml:space="preserve"> </w:t>
      </w:r>
      <w:r>
        <w:rPr>
          <w:rtl/>
          <w:lang w:bidi="fa-IR"/>
        </w:rPr>
        <w:t>( 2) تفسير فخر رازى، ج 22، ص 229.</w:t>
      </w:r>
    </w:p>
  </w:footnote>
  <w:footnote w:id="9">
    <w:p w:rsidR="00C15282" w:rsidRDefault="00C15282" w:rsidP="00C15282">
      <w:pPr>
        <w:pStyle w:val="FootnoteText"/>
        <w:rPr>
          <w:rtl/>
        </w:rPr>
      </w:pPr>
      <w:r>
        <w:rPr>
          <w:rStyle w:val="FootnoteReference"/>
        </w:rPr>
        <w:footnoteRef/>
      </w:r>
      <w:r>
        <w:rPr>
          <w:rtl/>
        </w:rPr>
        <w:t xml:space="preserve"> </w:t>
      </w:r>
      <w:r>
        <w:rPr>
          <w:rtl/>
          <w:lang w:bidi="fa-IR"/>
        </w:rPr>
        <w:t>( 3، 4، 5) تفسير فخر رازى، ج 22، ص 229.</w:t>
      </w:r>
    </w:p>
  </w:footnote>
  <w:footnote w:id="10">
    <w:p w:rsidR="00C15282" w:rsidRDefault="00C15282" w:rsidP="00C15282">
      <w:pPr>
        <w:pStyle w:val="FootnoteText"/>
        <w:rPr>
          <w:rtl/>
        </w:rPr>
      </w:pPr>
      <w:r>
        <w:rPr>
          <w:rStyle w:val="FootnoteReference"/>
        </w:rPr>
        <w:footnoteRef/>
      </w:r>
      <w:r>
        <w:rPr>
          <w:rtl/>
        </w:rPr>
        <w:t xml:space="preserve"> </w:t>
      </w:r>
      <w:r>
        <w:rPr>
          <w:rtl/>
          <w:lang w:bidi="fa-IR"/>
        </w:rPr>
        <w:t>( 3، 4، 5) تفسير فخر رازى، ج 22، ص 229.</w:t>
      </w:r>
    </w:p>
  </w:footnote>
  <w:footnote w:id="11">
    <w:p w:rsidR="00C15282" w:rsidRDefault="00C15282" w:rsidP="00C15282">
      <w:pPr>
        <w:pStyle w:val="FootnoteText"/>
        <w:rPr>
          <w:rtl/>
        </w:rPr>
      </w:pPr>
      <w:r>
        <w:rPr>
          <w:rStyle w:val="FootnoteReference"/>
        </w:rPr>
        <w:footnoteRef/>
      </w:r>
      <w:r>
        <w:rPr>
          <w:rtl/>
        </w:rPr>
        <w:t xml:space="preserve"> </w:t>
      </w:r>
      <w:r>
        <w:rPr>
          <w:rtl/>
          <w:lang w:bidi="fa-IR"/>
        </w:rPr>
        <w:t>( 3، 4، 5) تفسير فخر رازى، ج 22، ص 229.</w:t>
      </w:r>
    </w:p>
  </w:footnote>
  <w:footnote w:id="12">
    <w:p w:rsidR="00C15282" w:rsidRDefault="00C15282" w:rsidP="00C15282">
      <w:pPr>
        <w:pStyle w:val="FootnoteText"/>
        <w:rPr>
          <w:rtl/>
        </w:rPr>
      </w:pPr>
      <w:r>
        <w:rPr>
          <w:rStyle w:val="FootnoteReference"/>
        </w:rPr>
        <w:footnoteRef/>
      </w:r>
      <w:r>
        <w:rPr>
          <w:rtl/>
        </w:rPr>
        <w:t xml:space="preserve"> </w:t>
      </w:r>
      <w:r>
        <w:rPr>
          <w:rtl/>
          <w:lang w:bidi="fa-IR"/>
        </w:rPr>
        <w:t>( 6) پروردگارا مرا و فرزندانم را از اينكه اصنام و بتها را بپرستيم دور بدار، پروردگارا آنها بسيارى از مردم را گمراه كردند حال هر كه مرا پيروى كرد از من است، و هر كه نافرمانيم كرد همانا تو آمرزنده و مهربانى. سوره ابراهيم، آيه 35 و 36.</w:t>
      </w:r>
    </w:p>
  </w:footnote>
  <w:footnote w:id="13">
    <w:p w:rsidR="00C15282" w:rsidRDefault="00C15282" w:rsidP="00C15282">
      <w:pPr>
        <w:pStyle w:val="FootnoteText"/>
        <w:rPr>
          <w:rtl/>
        </w:rPr>
      </w:pPr>
      <w:r>
        <w:rPr>
          <w:rStyle w:val="FootnoteReference"/>
        </w:rPr>
        <w:footnoteRef/>
      </w:r>
      <w:r>
        <w:rPr>
          <w:rtl/>
        </w:rPr>
        <w:t xml:space="preserve"> </w:t>
      </w:r>
      <w:r>
        <w:rPr>
          <w:rtl/>
          <w:lang w:bidi="fa-IR"/>
        </w:rPr>
        <w:t>( 1) كشاف، ج 3، ص 22.</w:t>
      </w:r>
    </w:p>
  </w:footnote>
  <w:footnote w:id="14">
    <w:p w:rsidR="00C15282" w:rsidRDefault="00C15282" w:rsidP="00C15282">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282"/>
    <w:rsid w:val="00474D82"/>
    <w:rsid w:val="00C15282"/>
    <w:rsid w:val="00C77DEE"/>
    <w:rsid w:val="00EB72C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5282"/>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C15282"/>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C15282"/>
    <w:rPr>
      <w:vertAlign w:val="superscript"/>
    </w:rPr>
  </w:style>
  <w:style w:type="paragraph" w:styleId="NormalWeb">
    <w:name w:val="Normal (Web)"/>
    <w:basedOn w:val="Normal"/>
    <w:uiPriority w:val="99"/>
    <w:semiHidden/>
    <w:unhideWhenUsed/>
    <w:rsid w:val="00C15282"/>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5282"/>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C15282"/>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C15282"/>
    <w:rPr>
      <w:vertAlign w:val="superscript"/>
    </w:rPr>
  </w:style>
  <w:style w:type="paragraph" w:styleId="NormalWeb">
    <w:name w:val="Normal (Web)"/>
    <w:basedOn w:val="Normal"/>
    <w:uiPriority w:val="99"/>
    <w:semiHidden/>
    <w:unhideWhenUsed/>
    <w:rsid w:val="00C1528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89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1084</Words>
  <Characters>6183</Characters>
  <Application>Microsoft Office Word</Application>
  <DocSecurity>0</DocSecurity>
  <Lines>51</Lines>
  <Paragraphs>14</Paragraphs>
  <ScaleCrop>false</ScaleCrop>
  <Company>MRT www.Win2Farsi.com</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2018-10-12T09:50:00Z</dcterms:created>
  <dcterms:modified xsi:type="dcterms:W3CDTF">2018-10-12T09:50:00Z</dcterms:modified>
</cp:coreProperties>
</file>