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52BB" w:rsidRDefault="005E52BB" w:rsidP="005E52BB">
      <w:pPr>
        <w:pStyle w:val="NormalWeb"/>
        <w:bidi/>
      </w:pPr>
      <w:r>
        <w:rPr>
          <w:rFonts w:ascii="Traditional Arabic" w:cs="Traditional Arabic" w:hint="cs"/>
          <w:color w:val="552B2B"/>
          <w:sz w:val="30"/>
          <w:szCs w:val="30"/>
          <w:rtl/>
        </w:rPr>
        <w:t>سيرى در علوم قرآن       263     وعده و وعيد ..... ص : 263</w:t>
      </w:r>
    </w:p>
    <w:p w:rsidR="005E52BB" w:rsidRDefault="005E52BB" w:rsidP="005E52BB">
      <w:pPr>
        <w:pStyle w:val="NormalWeb"/>
        <w:bidi/>
        <w:rPr>
          <w:rFonts w:hint="cs"/>
          <w:rtl/>
        </w:rPr>
      </w:pPr>
      <w:r>
        <w:rPr>
          <w:rFonts w:ascii="Traditional Arabic" w:cs="Traditional Arabic" w:hint="cs"/>
          <w:color w:val="8080FF"/>
          <w:sz w:val="30"/>
          <w:szCs w:val="30"/>
          <w:rtl/>
        </w:rPr>
        <w:t>وعده و وعيد</w:t>
      </w:r>
    </w:p>
    <w:p w:rsidR="005E52BB" w:rsidRDefault="005E52BB" w:rsidP="005E52BB">
      <w:pPr>
        <w:pStyle w:val="NormalWeb"/>
        <w:bidi/>
        <w:rPr>
          <w:rFonts w:hint="cs"/>
          <w:rtl/>
        </w:rPr>
      </w:pPr>
      <w:r>
        <w:rPr>
          <w:rFonts w:ascii="Traditional Arabic" w:cs="Traditional Arabic" w:hint="cs"/>
          <w:color w:val="000000"/>
          <w:sz w:val="30"/>
          <w:szCs w:val="30"/>
          <w:rtl/>
        </w:rPr>
        <w:t>براى ايجاد انگيزه در افراد كه به سوى اعمال شايسته روى بياورند و از كارهاى ناپسند دورى گزينند، وعده پاداشهاى خوب و بد و به اصطلاح وعده و وعيد بسيار مؤثر است و انسانها همواره پاداشهاى نيك و سرانجام خوب را دوست دارند و از اينكه سزاى ناشايستى به آنها داده شود و به عاقبت بدى گرفتار آيند بسيار نگران هستند.</w:t>
      </w:r>
    </w:p>
    <w:p w:rsidR="005E52BB" w:rsidRDefault="005E52BB" w:rsidP="005E52BB">
      <w:pPr>
        <w:pStyle w:val="NormalWeb"/>
        <w:bidi/>
        <w:rPr>
          <w:rFonts w:hint="cs"/>
          <w:rtl/>
        </w:rPr>
      </w:pPr>
      <w:r>
        <w:rPr>
          <w:rFonts w:ascii="Traditional Arabic" w:cs="Traditional Arabic" w:hint="cs"/>
          <w:color w:val="000000"/>
          <w:sz w:val="30"/>
          <w:szCs w:val="30"/>
          <w:rtl/>
        </w:rPr>
        <w:t>قرآن كريم بهشت و جهنم را به عنوان دو انگيزه مهم در تربيت افراد مطرح كرده و با ترسيم عاقبت خويش و سرنوشت شوم بدان، مردم را به انجام اعمال صالح تشويق و از ارتكاب معاصى و گناهان برحذر داشته است.</w:t>
      </w:r>
    </w:p>
    <w:p w:rsidR="005E52BB" w:rsidRDefault="005E52BB" w:rsidP="005E52BB">
      <w:pPr>
        <w:pStyle w:val="NormalWeb"/>
        <w:bidi/>
        <w:rPr>
          <w:rFonts w:hint="cs"/>
          <w:rtl/>
        </w:rPr>
      </w:pPr>
      <w:r>
        <w:rPr>
          <w:rFonts w:ascii="Traditional Arabic" w:cs="Traditional Arabic" w:hint="cs"/>
          <w:color w:val="000000"/>
          <w:sz w:val="30"/>
          <w:szCs w:val="30"/>
          <w:rtl/>
        </w:rPr>
        <w:t>البته اولياء خدا و بندگان صالح و شايسته او نيازى به اين وعده و وعيد ندارند و انگيزه آنها در انجام واجبات و پرهيز از محرمات، بهشت و جهنم نيست بلكه آنها انگيزه بالاترى دارند و آن رسيدن به مقام قرب الهى است. معروف است كه حضرت على عليه السلام به پيشگاه الهى چنين عرضه مى‏داشت:</w:t>
      </w:r>
    </w:p>
    <w:p w:rsidR="005E52BB" w:rsidRDefault="005E52BB" w:rsidP="005E52BB">
      <w:pPr>
        <w:pStyle w:val="NormalWeb"/>
        <w:bidi/>
        <w:rPr>
          <w:rFonts w:hint="cs"/>
          <w:rtl/>
        </w:rPr>
      </w:pPr>
      <w:r>
        <w:rPr>
          <w:rFonts w:ascii="Traditional Arabic" w:cs="Traditional Arabic" w:hint="cs"/>
          <w:color w:val="000000"/>
          <w:sz w:val="30"/>
          <w:szCs w:val="30"/>
          <w:rtl/>
        </w:rPr>
        <w:t>الهى ما عبدتك خوفا من نارك و لا طمعا فى جنتك بل وجدتك اهلا للعبادة فعبدتك‏</w:t>
      </w:r>
    </w:p>
    <w:p w:rsidR="005E52BB" w:rsidRDefault="005E52BB" w:rsidP="005E52BB">
      <w:pPr>
        <w:pStyle w:val="NormalWeb"/>
        <w:bidi/>
        <w:rPr>
          <w:rFonts w:hint="cs"/>
          <w:rtl/>
        </w:rPr>
      </w:pPr>
      <w:r>
        <w:rPr>
          <w:rFonts w:ascii="Traditional Arabic" w:cs="Traditional Arabic" w:hint="cs"/>
          <w:color w:val="000000"/>
          <w:sz w:val="30"/>
          <w:szCs w:val="30"/>
          <w:rtl/>
        </w:rPr>
        <w:t>خدايا تو را از ترس آتش و يا بجهت طمع در بهشت عبادت نمى‏كنم بلكه تو را شايسته عبادت پيدا كردم پس تو را پرستيدم.</w:t>
      </w:r>
    </w:p>
    <w:p w:rsidR="005E52BB" w:rsidRDefault="005E52BB" w:rsidP="005E52BB">
      <w:pPr>
        <w:pStyle w:val="NormalWeb"/>
        <w:bidi/>
        <w:jc w:val="center"/>
        <w:rPr>
          <w:rFonts w:ascii="Traditional Arabic" w:cs="Traditional Arabic" w:hint="cs"/>
          <w:color w:val="000000"/>
          <w:sz w:val="30"/>
          <w:szCs w:val="30"/>
          <w:rtl/>
        </w:rPr>
      </w:pPr>
      <w:r>
        <w:rPr>
          <w:rFonts w:ascii="Traditional Arabic" w:cs="Traditional Arabic" w:hint="cs"/>
          <w:color w:val="640000"/>
          <w:sz w:val="30"/>
          <w:szCs w:val="30"/>
          <w:rtl/>
        </w:rPr>
        <w:t>سيرى در علوم قرآن، ص: 264</w:t>
      </w:r>
    </w:p>
    <w:p w:rsidR="005E52BB" w:rsidRDefault="005E52BB" w:rsidP="005E52BB">
      <w:pPr>
        <w:rPr>
          <w:rFonts w:ascii="Times New Roman" w:cs="Times New Roman" w:hint="cs"/>
          <w:sz w:val="24"/>
          <w:szCs w:val="24"/>
          <w:rtl/>
        </w:rPr>
      </w:pPr>
      <w:r>
        <w:rPr>
          <w:rFonts w:ascii="Traditional Arabic" w:cs="Traditional Arabic" w:hint="cs"/>
          <w:color w:val="000000"/>
          <w:sz w:val="30"/>
          <w:szCs w:val="30"/>
          <w:rtl/>
        </w:rPr>
        <w:t>همچنين در بعضى از روايات عبادت كسانى كه از ترس جهنم عبادت مى‏كنند به كار برده‏ها تشبيه شده و عبادت كسانى كه با طمع بهشت عبادت مى‏كنند به كار عمله‏ها و مزد بگيرها تشبيه شده ولى عبادت كسانى كه خدا را براى خدا عبادت مى‏كنند مانند كار آزادگان قلمداد شده است.</w:t>
      </w:r>
    </w:p>
    <w:p w:rsidR="005E52BB" w:rsidRDefault="005E52BB" w:rsidP="005E52BB">
      <w:pPr>
        <w:pStyle w:val="NormalWeb"/>
        <w:bidi/>
        <w:rPr>
          <w:rFonts w:hint="cs"/>
          <w:rtl/>
        </w:rPr>
      </w:pPr>
      <w:r>
        <w:rPr>
          <w:rFonts w:ascii="Traditional Arabic" w:cs="Traditional Arabic" w:hint="cs"/>
          <w:color w:val="000000"/>
          <w:sz w:val="30"/>
          <w:szCs w:val="30"/>
          <w:rtl/>
        </w:rPr>
        <w:t>اما بهرحال بهشت و جهنم و وعده و وعيد در بسيارى از افراد مردم مى‏تواند انگيزه مهمى براى انجام وظايف باشد و لذا قرآن كريم از اين انگيزه بخوبى استفاده كرده و با يادآورى بهشت جاويدان و نعمت‏هاى بى‏پايان الهى و نيز جهنم سوزان و انواع عذاب‏ها و شكنجه‏هائى كه در آن خواهد بود، مردم را به اطاعت از دستورات الهى تشويق كرده و از آنها خواسته است كه مراقب اعمال خود باشند.</w:t>
      </w:r>
    </w:p>
    <w:p w:rsidR="005E52BB" w:rsidRDefault="005E52BB" w:rsidP="005E52BB">
      <w:pPr>
        <w:pStyle w:val="NormalWeb"/>
        <w:bidi/>
        <w:rPr>
          <w:rFonts w:hint="cs"/>
          <w:rtl/>
        </w:rPr>
      </w:pPr>
      <w:r>
        <w:rPr>
          <w:rFonts w:ascii="Traditional Arabic" w:cs="Traditional Arabic" w:hint="cs"/>
          <w:color w:val="000000"/>
          <w:sz w:val="30"/>
          <w:szCs w:val="30"/>
          <w:rtl/>
        </w:rPr>
        <w:t>پيامبر اسلام هم «بشير و مبشر» بود و هم «نذير و منذر» يعنى هم مردم را به بهشت جاويدان الهى وعده مى‏داد و هم آنها را از عذابهاى سخت و دردناك قيامت مى‏ترسانيد اين دو لقب را قرآن كريم به پيامبر اسلام داده است:</w:t>
      </w:r>
    </w:p>
    <w:p w:rsidR="005E52BB" w:rsidRDefault="005E52BB" w:rsidP="005E52BB">
      <w:pPr>
        <w:pStyle w:val="NormalWeb"/>
        <w:bidi/>
        <w:rPr>
          <w:rFonts w:hint="cs"/>
          <w:rtl/>
        </w:rPr>
      </w:pPr>
      <w:r>
        <w:rPr>
          <w:rFonts w:ascii="Traditional Arabic" w:cs="Traditional Arabic" w:hint="cs"/>
          <w:color w:val="006400"/>
          <w:sz w:val="30"/>
          <w:szCs w:val="30"/>
          <w:rtl/>
        </w:rPr>
        <w:lastRenderedPageBreak/>
        <w:t>إِنَّا أَرْسَلْناكَ بِالْحَقِّ بَشِيراً وَ نَذِيراً</w:t>
      </w:r>
      <w:r>
        <w:rPr>
          <w:rStyle w:val="FootnoteReference"/>
          <w:rFonts w:ascii="Traditional Arabic" w:cs="Traditional Arabic"/>
          <w:color w:val="000000"/>
          <w:sz w:val="30"/>
          <w:szCs w:val="30"/>
          <w:rtl/>
        </w:rPr>
        <w:footnoteReference w:id="1"/>
      </w:r>
    </w:p>
    <w:p w:rsidR="005E52BB" w:rsidRDefault="005E52BB" w:rsidP="005E52BB">
      <w:pPr>
        <w:pStyle w:val="NormalWeb"/>
        <w:bidi/>
        <w:rPr>
          <w:rFonts w:hint="cs"/>
          <w:rtl/>
        </w:rPr>
      </w:pPr>
      <w:r>
        <w:rPr>
          <w:rFonts w:ascii="Traditional Arabic" w:cs="Traditional Arabic" w:hint="cs"/>
          <w:color w:val="000000"/>
          <w:sz w:val="30"/>
          <w:szCs w:val="30"/>
          <w:rtl/>
        </w:rPr>
        <w:t>ما تو را به حق مژده دهنده و بيم دهنده فرستاديم.</w:t>
      </w:r>
    </w:p>
    <w:p w:rsidR="005E52BB" w:rsidRDefault="005E52BB" w:rsidP="005E52BB">
      <w:pPr>
        <w:pStyle w:val="NormalWeb"/>
        <w:bidi/>
        <w:rPr>
          <w:rFonts w:hint="cs"/>
          <w:rtl/>
        </w:rPr>
      </w:pPr>
      <w:r>
        <w:rPr>
          <w:rFonts w:ascii="Traditional Arabic" w:cs="Traditional Arabic" w:hint="cs"/>
          <w:color w:val="000000"/>
          <w:sz w:val="30"/>
          <w:szCs w:val="30"/>
          <w:rtl/>
        </w:rPr>
        <w:t>البته اين دو لقب اختصاص به پيامبر اسلام صلى اللّه عليه و آله و سلم نداشت و همه انبياء اين دو لقب را داشته‏اند و يكى از وظايف رسالت و نبوت همين مژده دادن و بيم دادن مردم بوده است تا مردم به انجام وظايف خود وادار شوند.</w:t>
      </w:r>
    </w:p>
    <w:p w:rsidR="005E52BB" w:rsidRDefault="005E52BB" w:rsidP="005E52BB">
      <w:pPr>
        <w:pStyle w:val="NormalWeb"/>
        <w:bidi/>
        <w:rPr>
          <w:rFonts w:hint="cs"/>
          <w:rtl/>
        </w:rPr>
      </w:pPr>
      <w:r>
        <w:rPr>
          <w:rFonts w:ascii="Traditional Arabic" w:cs="Traditional Arabic" w:hint="cs"/>
          <w:color w:val="006400"/>
          <w:sz w:val="30"/>
          <w:szCs w:val="30"/>
          <w:rtl/>
        </w:rPr>
        <w:t>فَبَعَثَ اللَّهُ النَّبِيِّينَ مُبَشِّرِينَ وَ مُنْذِرِينَ‏</w:t>
      </w:r>
      <w:r>
        <w:rPr>
          <w:rStyle w:val="FootnoteReference"/>
          <w:rFonts w:ascii="Traditional Arabic" w:cs="Traditional Arabic"/>
          <w:color w:val="000000"/>
          <w:sz w:val="30"/>
          <w:szCs w:val="30"/>
          <w:rtl/>
        </w:rPr>
        <w:footnoteReference w:id="2"/>
      </w:r>
    </w:p>
    <w:p w:rsidR="005E52BB" w:rsidRDefault="005E52BB" w:rsidP="005E52BB">
      <w:pPr>
        <w:pStyle w:val="NormalWeb"/>
        <w:bidi/>
        <w:rPr>
          <w:rFonts w:hint="cs"/>
          <w:rtl/>
        </w:rPr>
      </w:pPr>
      <w:r>
        <w:rPr>
          <w:rFonts w:ascii="Traditional Arabic" w:cs="Traditional Arabic" w:hint="cs"/>
          <w:color w:val="000000"/>
          <w:sz w:val="30"/>
          <w:szCs w:val="30"/>
          <w:rtl/>
        </w:rPr>
        <w:t>پس خداوند پيامبران را برانگيخت در حالى‏كه آنها مژده‏دهنده و بيم‏</w:t>
      </w:r>
    </w:p>
    <w:p w:rsidR="005E52BB" w:rsidRDefault="005E52BB" w:rsidP="005E52BB">
      <w:pPr>
        <w:pStyle w:val="NormalWeb"/>
        <w:bidi/>
        <w:rPr>
          <w:rFonts w:hint="cs"/>
          <w:rtl/>
        </w:rPr>
      </w:pPr>
      <w:r>
        <w:rPr>
          <w:rFonts w:ascii="Traditional Arabic" w:cs="Traditional Arabic" w:hint="cs"/>
          <w:color w:val="000000"/>
          <w:sz w:val="30"/>
          <w:szCs w:val="30"/>
          <w:rtl/>
        </w:rPr>
        <w:t>______________________________</w:t>
      </w:r>
      <w:r>
        <w:rPr>
          <w:rFonts w:ascii="Traditional Arabic" w:cs="Traditional Arabic" w:hint="cs"/>
          <w:color w:val="000000"/>
          <w:sz w:val="30"/>
          <w:szCs w:val="30"/>
          <w:rtl/>
        </w:rPr>
        <w:br/>
      </w:r>
      <w:r>
        <w:rPr>
          <w:rFonts w:ascii="Traditional Arabic" w:cs="Traditional Arabic" w:hint="cs"/>
          <w:color w:val="6C0598"/>
          <w:sz w:val="30"/>
          <w:szCs w:val="30"/>
          <w:rtl/>
        </w:rPr>
        <w:t>(1)- سوره بقره، آيه 119.</w:t>
      </w:r>
    </w:p>
    <w:p w:rsidR="005E52BB" w:rsidRDefault="005E52BB" w:rsidP="005E52BB">
      <w:pPr>
        <w:pStyle w:val="NormalWeb"/>
        <w:bidi/>
        <w:rPr>
          <w:rFonts w:hint="cs"/>
          <w:rtl/>
        </w:rPr>
      </w:pPr>
      <w:r>
        <w:rPr>
          <w:rFonts w:ascii="Traditional Arabic" w:cs="Traditional Arabic" w:hint="cs"/>
          <w:color w:val="6C0598"/>
          <w:sz w:val="30"/>
          <w:szCs w:val="30"/>
          <w:rtl/>
        </w:rPr>
        <w:t>(2)- سوره بقره، آيه 213.</w:t>
      </w:r>
    </w:p>
    <w:p w:rsidR="005E52BB" w:rsidRDefault="005E52BB" w:rsidP="005E52BB">
      <w:pPr>
        <w:pStyle w:val="NormalWeb"/>
        <w:bidi/>
        <w:jc w:val="center"/>
        <w:rPr>
          <w:rFonts w:ascii="Traditional Arabic" w:cs="Traditional Arabic" w:hint="cs"/>
          <w:color w:val="000000"/>
          <w:sz w:val="30"/>
          <w:szCs w:val="30"/>
          <w:rtl/>
        </w:rPr>
      </w:pPr>
      <w:r>
        <w:rPr>
          <w:rFonts w:ascii="Traditional Arabic" w:cs="Traditional Arabic" w:hint="cs"/>
          <w:color w:val="640000"/>
          <w:sz w:val="30"/>
          <w:szCs w:val="30"/>
          <w:rtl/>
        </w:rPr>
        <w:t>سيرى در علوم قرآن، ص: 265</w:t>
      </w:r>
    </w:p>
    <w:p w:rsidR="005E52BB" w:rsidRDefault="005E52BB" w:rsidP="005E52BB">
      <w:pPr>
        <w:rPr>
          <w:rFonts w:ascii="Times New Roman" w:cs="Times New Roman" w:hint="cs"/>
          <w:sz w:val="24"/>
          <w:szCs w:val="24"/>
          <w:rtl/>
        </w:rPr>
      </w:pPr>
      <w:r>
        <w:rPr>
          <w:rFonts w:ascii="Traditional Arabic" w:cs="Traditional Arabic" w:hint="cs"/>
          <w:color w:val="000000"/>
          <w:sz w:val="30"/>
          <w:szCs w:val="30"/>
          <w:rtl/>
        </w:rPr>
        <w:t>دهنده بودند.</w:t>
      </w:r>
    </w:p>
    <w:p w:rsidR="005E52BB" w:rsidRDefault="005E52BB" w:rsidP="005E52BB">
      <w:pPr>
        <w:pStyle w:val="NormalWeb"/>
        <w:bidi/>
        <w:rPr>
          <w:rFonts w:hint="cs"/>
          <w:rtl/>
        </w:rPr>
      </w:pPr>
      <w:r>
        <w:rPr>
          <w:rFonts w:ascii="Traditional Arabic" w:cs="Traditional Arabic" w:hint="cs"/>
          <w:color w:val="000000"/>
          <w:sz w:val="30"/>
          <w:szCs w:val="30"/>
          <w:rtl/>
        </w:rPr>
        <w:t>قرآن كريم آيات بسيارى را به ذكر بهشت و نعمتهاى گوناگون الهى و ذكر جهنم و كيفرهاى سخت مجرمين اختصاص داده است و ضمنا خاطرنشان ساخته كه وعده‏ها و وعيدهاى خدا در قرآن حق است و عملى خواهد شد:</w:t>
      </w:r>
    </w:p>
    <w:p w:rsidR="005E52BB" w:rsidRDefault="005E52BB" w:rsidP="005E52BB">
      <w:pPr>
        <w:pStyle w:val="NormalWeb"/>
        <w:bidi/>
        <w:rPr>
          <w:rFonts w:hint="cs"/>
          <w:rtl/>
        </w:rPr>
      </w:pPr>
      <w:r>
        <w:rPr>
          <w:rFonts w:ascii="Traditional Arabic" w:cs="Traditional Arabic" w:hint="cs"/>
          <w:color w:val="006400"/>
          <w:sz w:val="30"/>
          <w:szCs w:val="30"/>
          <w:rtl/>
        </w:rPr>
        <w:t>وَعْدَ اللَّهِ حَقًّا وَ مَنْ أَصْدَقُ مِنَ اللَّهِ قِيلًا</w:t>
      </w:r>
      <w:r>
        <w:rPr>
          <w:rStyle w:val="FootnoteReference"/>
          <w:rFonts w:ascii="Traditional Arabic" w:cs="Traditional Arabic"/>
          <w:color w:val="000000"/>
          <w:sz w:val="30"/>
          <w:szCs w:val="30"/>
          <w:rtl/>
        </w:rPr>
        <w:footnoteReference w:id="3"/>
      </w:r>
    </w:p>
    <w:p w:rsidR="005E52BB" w:rsidRDefault="005E52BB" w:rsidP="005E52BB">
      <w:pPr>
        <w:pStyle w:val="NormalWeb"/>
        <w:bidi/>
        <w:rPr>
          <w:rFonts w:hint="cs"/>
          <w:rtl/>
        </w:rPr>
      </w:pPr>
      <w:r>
        <w:rPr>
          <w:rFonts w:ascii="Traditional Arabic" w:cs="Traditional Arabic" w:hint="cs"/>
          <w:color w:val="000000"/>
          <w:sz w:val="30"/>
          <w:szCs w:val="30"/>
          <w:rtl/>
        </w:rPr>
        <w:t>وعده خداوند حق است و چه كسى در سخن گفتن راستگوتر از خداست؟</w:t>
      </w:r>
    </w:p>
    <w:p w:rsidR="005E52BB" w:rsidRDefault="005E52BB" w:rsidP="005E52BB">
      <w:pPr>
        <w:pStyle w:val="NormalWeb"/>
        <w:bidi/>
        <w:rPr>
          <w:rFonts w:hint="cs"/>
          <w:rtl/>
        </w:rPr>
      </w:pPr>
      <w:r>
        <w:rPr>
          <w:rFonts w:ascii="Traditional Arabic" w:cs="Traditional Arabic" w:hint="cs"/>
          <w:color w:val="006400"/>
          <w:sz w:val="30"/>
          <w:szCs w:val="30"/>
          <w:rtl/>
        </w:rPr>
        <w:t>فَذَكِّرْ بِالْقُرْآنِ مَنْ يَخافُ وَعِيدِ</w:t>
      </w:r>
      <w:r>
        <w:rPr>
          <w:rStyle w:val="FootnoteReference"/>
          <w:rFonts w:ascii="Traditional Arabic" w:cs="Traditional Arabic"/>
          <w:color w:val="000000"/>
          <w:sz w:val="30"/>
          <w:szCs w:val="30"/>
          <w:rtl/>
        </w:rPr>
        <w:footnoteReference w:id="4"/>
      </w:r>
    </w:p>
    <w:p w:rsidR="005E52BB" w:rsidRDefault="005E52BB" w:rsidP="005E52BB">
      <w:pPr>
        <w:pStyle w:val="NormalWeb"/>
        <w:bidi/>
        <w:rPr>
          <w:rFonts w:hint="cs"/>
          <w:rtl/>
        </w:rPr>
      </w:pPr>
      <w:r>
        <w:rPr>
          <w:rFonts w:ascii="Traditional Arabic" w:cs="Traditional Arabic" w:hint="cs"/>
          <w:color w:val="000000"/>
          <w:sz w:val="30"/>
          <w:szCs w:val="30"/>
          <w:rtl/>
        </w:rPr>
        <w:t>پس تذكر بده با قرآن كسى را كه از وعيد من بيم دارد.</w:t>
      </w:r>
    </w:p>
    <w:p w:rsidR="005E52BB" w:rsidRDefault="005E52BB" w:rsidP="005E52BB">
      <w:pPr>
        <w:pStyle w:val="NormalWeb"/>
        <w:bidi/>
        <w:rPr>
          <w:rFonts w:hint="cs"/>
          <w:rtl/>
        </w:rPr>
      </w:pPr>
      <w:r>
        <w:rPr>
          <w:rFonts w:ascii="Traditional Arabic" w:cs="Traditional Arabic" w:hint="cs"/>
          <w:color w:val="000000"/>
          <w:sz w:val="30"/>
          <w:szCs w:val="30"/>
          <w:rtl/>
        </w:rPr>
        <w:lastRenderedPageBreak/>
        <w:t>قرآن براى مؤمنان و صالحان و پرهيزكاران وعده بهشت و لذات گوناگون آن را داده است باهم آيات زير را بخوانيم:</w:t>
      </w:r>
    </w:p>
    <w:p w:rsidR="005E52BB" w:rsidRDefault="005E52BB" w:rsidP="005E52BB">
      <w:pPr>
        <w:pStyle w:val="NormalWeb"/>
        <w:bidi/>
        <w:rPr>
          <w:rFonts w:hint="cs"/>
          <w:rtl/>
        </w:rPr>
      </w:pPr>
      <w:r>
        <w:rPr>
          <w:rFonts w:ascii="Traditional Arabic" w:cs="Traditional Arabic" w:hint="cs"/>
          <w:color w:val="006400"/>
          <w:sz w:val="30"/>
          <w:szCs w:val="30"/>
          <w:rtl/>
        </w:rPr>
        <w:t>لِلَّذِينَ اتَّقَوْا عِنْدَ رَبِّهِمْ جَنَّاتٌ تَجْرِي مِنْ تَحْتِهَا الْأَنْهارُ خالِدِينَ فِيها وَ أَزْواجٌ مُطَهَّرَةٌ وَ رِضْوانٌ مِنَ اللَّهِ وَ اللَّهُ بَصِيرٌ بِالْعِبادِ</w:t>
      </w:r>
      <w:r>
        <w:rPr>
          <w:rStyle w:val="FootnoteReference"/>
          <w:rFonts w:ascii="Traditional Arabic" w:cs="Traditional Arabic"/>
          <w:color w:val="000000"/>
          <w:sz w:val="30"/>
          <w:szCs w:val="30"/>
          <w:rtl/>
        </w:rPr>
        <w:footnoteReference w:id="5"/>
      </w:r>
    </w:p>
    <w:p w:rsidR="005E52BB" w:rsidRDefault="005E52BB" w:rsidP="005E52BB">
      <w:pPr>
        <w:pStyle w:val="NormalWeb"/>
        <w:bidi/>
        <w:rPr>
          <w:rFonts w:hint="cs"/>
          <w:rtl/>
        </w:rPr>
      </w:pPr>
      <w:r>
        <w:rPr>
          <w:rFonts w:ascii="Traditional Arabic" w:cs="Traditional Arabic" w:hint="cs"/>
          <w:color w:val="000000"/>
          <w:sz w:val="30"/>
          <w:szCs w:val="30"/>
          <w:rtl/>
        </w:rPr>
        <w:t>براى كسانى كه تقوا پيشه كنند، نزد پروردگارشان باغ‏هائى است كه هميشه در آنها هستند و نيز همسران پاكيزه و خوشنودى از خدا و خداوند بر بندگان بيناست.</w:t>
      </w:r>
    </w:p>
    <w:p w:rsidR="005E52BB" w:rsidRDefault="005E52BB" w:rsidP="005E52BB">
      <w:pPr>
        <w:pStyle w:val="NormalWeb"/>
        <w:bidi/>
        <w:rPr>
          <w:rFonts w:hint="cs"/>
          <w:rtl/>
        </w:rPr>
      </w:pPr>
      <w:r>
        <w:rPr>
          <w:rFonts w:ascii="Traditional Arabic" w:cs="Traditional Arabic" w:hint="cs"/>
          <w:color w:val="000000"/>
          <w:sz w:val="30"/>
          <w:szCs w:val="30"/>
          <w:rtl/>
        </w:rPr>
        <w:t>______________________________</w:t>
      </w:r>
      <w:r>
        <w:rPr>
          <w:rFonts w:ascii="Traditional Arabic" w:cs="Traditional Arabic" w:hint="cs"/>
          <w:color w:val="000000"/>
          <w:sz w:val="30"/>
          <w:szCs w:val="30"/>
          <w:rtl/>
        </w:rPr>
        <w:br/>
      </w:r>
      <w:r>
        <w:rPr>
          <w:rFonts w:ascii="Traditional Arabic" w:cs="Traditional Arabic" w:hint="cs"/>
          <w:color w:val="6C0598"/>
          <w:sz w:val="30"/>
          <w:szCs w:val="30"/>
          <w:rtl/>
        </w:rPr>
        <w:t>(1)- سوره نساء، آيه 122.</w:t>
      </w:r>
    </w:p>
    <w:p w:rsidR="005E52BB" w:rsidRDefault="005E52BB" w:rsidP="005E52BB">
      <w:pPr>
        <w:pStyle w:val="NormalWeb"/>
        <w:bidi/>
        <w:rPr>
          <w:rFonts w:hint="cs"/>
          <w:rtl/>
        </w:rPr>
      </w:pPr>
      <w:r>
        <w:rPr>
          <w:rFonts w:ascii="Traditional Arabic" w:cs="Traditional Arabic" w:hint="cs"/>
          <w:color w:val="6C0598"/>
          <w:sz w:val="30"/>
          <w:szCs w:val="30"/>
          <w:rtl/>
        </w:rPr>
        <w:t>(2)- سوره ق، آيه 45.</w:t>
      </w:r>
    </w:p>
    <w:p w:rsidR="005E52BB" w:rsidRDefault="005E52BB" w:rsidP="005E52BB">
      <w:pPr>
        <w:pStyle w:val="NormalWeb"/>
        <w:bidi/>
        <w:rPr>
          <w:rFonts w:hint="cs"/>
          <w:rtl/>
        </w:rPr>
      </w:pPr>
      <w:r>
        <w:rPr>
          <w:rFonts w:ascii="Traditional Arabic" w:cs="Traditional Arabic" w:hint="cs"/>
          <w:color w:val="6C0598"/>
          <w:sz w:val="30"/>
          <w:szCs w:val="30"/>
          <w:rtl/>
        </w:rPr>
        <w:t>(3)- سوره آل عمران، آيه 15.</w:t>
      </w:r>
    </w:p>
    <w:p w:rsidR="005E52BB" w:rsidRDefault="005E52BB" w:rsidP="005E52BB">
      <w:pPr>
        <w:pStyle w:val="NormalWeb"/>
        <w:bidi/>
        <w:jc w:val="center"/>
        <w:rPr>
          <w:rFonts w:ascii="Traditional Arabic" w:cs="Traditional Arabic" w:hint="cs"/>
          <w:color w:val="000000"/>
          <w:sz w:val="30"/>
          <w:szCs w:val="30"/>
          <w:rtl/>
        </w:rPr>
      </w:pPr>
      <w:r>
        <w:rPr>
          <w:rFonts w:ascii="Traditional Arabic" w:cs="Traditional Arabic" w:hint="cs"/>
          <w:color w:val="640000"/>
          <w:sz w:val="30"/>
          <w:szCs w:val="30"/>
          <w:rtl/>
        </w:rPr>
        <w:t>سيرى در علوم قرآن، ص: 266</w:t>
      </w:r>
    </w:p>
    <w:p w:rsidR="005E52BB" w:rsidRDefault="005E52BB" w:rsidP="005E52BB">
      <w:pPr>
        <w:rPr>
          <w:rFonts w:ascii="Times New Roman" w:cs="Times New Roman" w:hint="cs"/>
          <w:sz w:val="24"/>
          <w:szCs w:val="24"/>
          <w:rtl/>
        </w:rPr>
      </w:pPr>
      <w:r>
        <w:rPr>
          <w:rFonts w:ascii="Traditional Arabic" w:cs="Traditional Arabic" w:hint="cs"/>
          <w:color w:val="006400"/>
          <w:sz w:val="30"/>
          <w:szCs w:val="30"/>
          <w:rtl/>
        </w:rPr>
        <w:t>مَثَلُ الْجَنَّةِ الَّتِي وُعِدَ الْمُتَّقُونَ فِيها أَنْهارٌ مِنْ ماءٍ غَيْرِ آسِنٍ وَ أَنْهارٌ مِنْ لَبَنٍ لَمْ يَتَغَيَّرْ طَعْمُهُ وَ أَنْهارٌ مِنْ خَمْرٍ لَذَّةٍ لِلشَّارِبِينَ وَ أَنْهارٌ مِنْ عَسَلٍ مُصَفًّى وَ لَهُمْ فِيها مِنْ كُلِّ الثَّمَراتِ وَ مَغْفِرَةٌ مِنْ رَبِّهِمْ كَمَنْ هُوَ خالِدٌ فِي النَّارِ وَ سُقُوا ماءً حَمِيماً فَقَطَّعَ أَمْعاءَهُمْ‏</w:t>
      </w:r>
      <w:r>
        <w:rPr>
          <w:rStyle w:val="FootnoteReference"/>
          <w:rFonts w:ascii="Traditional Arabic" w:cs="Traditional Arabic"/>
          <w:color w:val="000000"/>
          <w:sz w:val="30"/>
          <w:szCs w:val="30"/>
          <w:rtl/>
        </w:rPr>
        <w:footnoteReference w:id="6"/>
      </w:r>
    </w:p>
    <w:p w:rsidR="005E52BB" w:rsidRDefault="005E52BB" w:rsidP="005E52BB">
      <w:pPr>
        <w:pStyle w:val="NormalWeb"/>
        <w:bidi/>
        <w:rPr>
          <w:rFonts w:hint="cs"/>
          <w:rtl/>
        </w:rPr>
      </w:pPr>
      <w:r>
        <w:rPr>
          <w:rFonts w:ascii="Traditional Arabic" w:cs="Traditional Arabic" w:hint="cs"/>
          <w:color w:val="000000"/>
          <w:sz w:val="30"/>
          <w:szCs w:val="30"/>
          <w:rtl/>
        </w:rPr>
        <w:t>داستان بهشتى كه به پرهيزكاران وعده داده شده است اينست كه در آن باغ بهشت، نهرهائى از آب زلال گوارا است و نهرهائى از شير بى‏آنكه طعم آن تغيير كند و نهرهائى از شراب كه لذتى براى نوشندگان است و نهرهائى از عسل ناب و براى آنها در آنجا از تمام ميوه‏ها وجود دارد و نيز بخششى از پروردگارشان آيا اينان مانند كسى هستند كه جاودانه در آتش است و آب جوشيده جهنم را مى‏نوشند و امعائشان قطعه‏قطعه مى‏شود؟</w:t>
      </w:r>
    </w:p>
    <w:p w:rsidR="005E52BB" w:rsidRDefault="005E52BB" w:rsidP="005E52BB">
      <w:pPr>
        <w:pStyle w:val="NormalWeb"/>
        <w:bidi/>
        <w:rPr>
          <w:rFonts w:hint="cs"/>
          <w:rtl/>
        </w:rPr>
      </w:pPr>
      <w:r>
        <w:rPr>
          <w:rFonts w:ascii="Traditional Arabic" w:cs="Traditional Arabic" w:hint="cs"/>
          <w:color w:val="006400"/>
          <w:sz w:val="30"/>
          <w:szCs w:val="30"/>
          <w:rtl/>
        </w:rPr>
        <w:t>إِنَّ لِلْمُتَّقِينَ مَفازاً حَدائِقَ وَ أَعْناباً وَ كَواعِبَ أَتْراباً وَ كَأْساً دِهاقاً لا يَسْمَعُونَ فِيها لَغْواً وَ لا كِذَّاباً</w:t>
      </w:r>
      <w:r>
        <w:rPr>
          <w:rStyle w:val="FootnoteReference"/>
          <w:rFonts w:ascii="Traditional Arabic" w:cs="Traditional Arabic"/>
          <w:color w:val="000000"/>
          <w:sz w:val="30"/>
          <w:szCs w:val="30"/>
          <w:rtl/>
        </w:rPr>
        <w:footnoteReference w:id="7"/>
      </w:r>
    </w:p>
    <w:p w:rsidR="005E52BB" w:rsidRDefault="005E52BB" w:rsidP="005E52BB">
      <w:pPr>
        <w:pStyle w:val="NormalWeb"/>
        <w:bidi/>
        <w:rPr>
          <w:rFonts w:hint="cs"/>
          <w:rtl/>
        </w:rPr>
      </w:pPr>
      <w:r>
        <w:rPr>
          <w:rFonts w:ascii="Traditional Arabic" w:cs="Traditional Arabic" w:hint="cs"/>
          <w:color w:val="000000"/>
          <w:sz w:val="30"/>
          <w:szCs w:val="30"/>
          <w:rtl/>
        </w:rPr>
        <w:t>همانا براى پرهيزكاران گشايشى است باغ‏ها و انگورهاست و دوشيزگان همانند است و جامهاى پر از شراب است در آنجا نه سخن بيهوده مى‏شنوند و نه دروغ.</w:t>
      </w:r>
    </w:p>
    <w:p w:rsidR="005E52BB" w:rsidRDefault="005E52BB" w:rsidP="005E52BB">
      <w:pPr>
        <w:pStyle w:val="NormalWeb"/>
        <w:bidi/>
        <w:rPr>
          <w:rFonts w:hint="cs"/>
          <w:rtl/>
        </w:rPr>
      </w:pPr>
      <w:r>
        <w:rPr>
          <w:rFonts w:ascii="Traditional Arabic" w:cs="Traditional Arabic" w:hint="cs"/>
          <w:color w:val="000000"/>
          <w:sz w:val="30"/>
          <w:szCs w:val="30"/>
          <w:rtl/>
        </w:rPr>
        <w:lastRenderedPageBreak/>
        <w:t>آنچه آورديم نمونه‏هائى بود از آيات بسيارى كه درباره بهشت و باغ‏هاى آن و نعيم آخرت و لذات گوناگون و خوشى‏ها و برخوردارى‏هاى آنجهانى كه وصف آنها در</w:t>
      </w:r>
    </w:p>
    <w:p w:rsidR="005E52BB" w:rsidRDefault="005E52BB" w:rsidP="005E52BB">
      <w:pPr>
        <w:pStyle w:val="NormalWeb"/>
        <w:bidi/>
        <w:rPr>
          <w:rFonts w:hint="cs"/>
          <w:rtl/>
        </w:rPr>
      </w:pPr>
      <w:r>
        <w:rPr>
          <w:rFonts w:ascii="Traditional Arabic" w:cs="Traditional Arabic" w:hint="cs"/>
          <w:color w:val="000000"/>
          <w:sz w:val="30"/>
          <w:szCs w:val="30"/>
          <w:rtl/>
        </w:rPr>
        <w:t>______________________________</w:t>
      </w:r>
      <w:r>
        <w:rPr>
          <w:rFonts w:ascii="Traditional Arabic" w:cs="Traditional Arabic" w:hint="cs"/>
          <w:color w:val="000000"/>
          <w:sz w:val="30"/>
          <w:szCs w:val="30"/>
          <w:rtl/>
        </w:rPr>
        <w:br/>
      </w:r>
      <w:r>
        <w:rPr>
          <w:rFonts w:ascii="Traditional Arabic" w:cs="Traditional Arabic" w:hint="cs"/>
          <w:color w:val="6C0598"/>
          <w:sz w:val="30"/>
          <w:szCs w:val="30"/>
          <w:rtl/>
        </w:rPr>
        <w:t>(1)- سوره محمد، آيه 15.</w:t>
      </w:r>
    </w:p>
    <w:p w:rsidR="005E52BB" w:rsidRDefault="005E52BB" w:rsidP="005E52BB">
      <w:pPr>
        <w:pStyle w:val="NormalWeb"/>
        <w:bidi/>
        <w:rPr>
          <w:rFonts w:hint="cs"/>
          <w:rtl/>
        </w:rPr>
      </w:pPr>
      <w:r>
        <w:rPr>
          <w:rFonts w:ascii="Traditional Arabic" w:cs="Traditional Arabic" w:hint="cs"/>
          <w:color w:val="6C0598"/>
          <w:sz w:val="30"/>
          <w:szCs w:val="30"/>
          <w:rtl/>
        </w:rPr>
        <w:t>(2)- سوره نبأ، آيات 31- 35.</w:t>
      </w:r>
    </w:p>
    <w:p w:rsidR="005E52BB" w:rsidRDefault="005E52BB" w:rsidP="005E52BB">
      <w:pPr>
        <w:pStyle w:val="NormalWeb"/>
        <w:bidi/>
        <w:jc w:val="center"/>
        <w:rPr>
          <w:rFonts w:ascii="Traditional Arabic" w:cs="Traditional Arabic" w:hint="cs"/>
          <w:color w:val="000000"/>
          <w:sz w:val="30"/>
          <w:szCs w:val="30"/>
          <w:rtl/>
        </w:rPr>
      </w:pPr>
      <w:r>
        <w:rPr>
          <w:rFonts w:ascii="Traditional Arabic" w:cs="Traditional Arabic" w:hint="cs"/>
          <w:color w:val="640000"/>
          <w:sz w:val="30"/>
          <w:szCs w:val="30"/>
          <w:rtl/>
        </w:rPr>
        <w:t>سيرى در علوم قرآن، ص: 267</w:t>
      </w:r>
    </w:p>
    <w:p w:rsidR="005E52BB" w:rsidRDefault="005E52BB" w:rsidP="005E52BB">
      <w:pPr>
        <w:rPr>
          <w:rFonts w:ascii="Times New Roman" w:cs="Times New Roman" w:hint="cs"/>
          <w:sz w:val="24"/>
          <w:szCs w:val="24"/>
          <w:rtl/>
        </w:rPr>
      </w:pPr>
      <w:r>
        <w:rPr>
          <w:rFonts w:ascii="Traditional Arabic" w:cs="Traditional Arabic" w:hint="cs"/>
          <w:color w:val="000000"/>
          <w:sz w:val="30"/>
          <w:szCs w:val="30"/>
          <w:rtl/>
        </w:rPr>
        <w:t>قرآن كريم آمده و به يك كلام:</w:t>
      </w:r>
    </w:p>
    <w:p w:rsidR="005E52BB" w:rsidRDefault="005E52BB" w:rsidP="005E52BB">
      <w:pPr>
        <w:pStyle w:val="NormalWeb"/>
        <w:bidi/>
        <w:rPr>
          <w:rFonts w:hint="cs"/>
          <w:rtl/>
        </w:rPr>
      </w:pPr>
      <w:r>
        <w:rPr>
          <w:rFonts w:ascii="Traditional Arabic" w:cs="Traditional Arabic" w:hint="cs"/>
          <w:color w:val="006400"/>
          <w:sz w:val="30"/>
          <w:szCs w:val="30"/>
          <w:rtl/>
        </w:rPr>
        <w:t>فِيها ما تَشْتَهِيهِ الْأَنْفُسُ وَ تَلَذُّ الْأَعْيُنُ‏</w:t>
      </w:r>
      <w:r>
        <w:rPr>
          <w:rStyle w:val="FootnoteReference"/>
          <w:rFonts w:ascii="Traditional Arabic" w:cs="Traditional Arabic"/>
          <w:color w:val="000000"/>
          <w:sz w:val="30"/>
          <w:szCs w:val="30"/>
          <w:rtl/>
        </w:rPr>
        <w:footnoteReference w:id="8"/>
      </w:r>
    </w:p>
    <w:p w:rsidR="005E52BB" w:rsidRDefault="005E52BB" w:rsidP="005E52BB">
      <w:pPr>
        <w:pStyle w:val="NormalWeb"/>
        <w:bidi/>
        <w:rPr>
          <w:rFonts w:hint="cs"/>
          <w:rtl/>
        </w:rPr>
      </w:pPr>
      <w:r>
        <w:rPr>
          <w:rFonts w:ascii="Traditional Arabic" w:cs="Traditional Arabic" w:hint="cs"/>
          <w:color w:val="000000"/>
          <w:sz w:val="30"/>
          <w:szCs w:val="30"/>
          <w:rtl/>
        </w:rPr>
        <w:t>در بهشت همه آن چيزهائى كه انسان آنها را دوست دارد و چشمانش از آن لذت مى‏برد، موجود است.</w:t>
      </w:r>
    </w:p>
    <w:p w:rsidR="005E52BB" w:rsidRDefault="005E52BB" w:rsidP="005E52BB">
      <w:pPr>
        <w:pStyle w:val="NormalWeb"/>
        <w:bidi/>
        <w:rPr>
          <w:rFonts w:hint="cs"/>
          <w:rtl/>
        </w:rPr>
      </w:pPr>
      <w:r>
        <w:rPr>
          <w:rFonts w:ascii="Traditional Arabic" w:cs="Traditional Arabic" w:hint="cs"/>
          <w:color w:val="000000"/>
          <w:sz w:val="30"/>
          <w:szCs w:val="30"/>
          <w:rtl/>
        </w:rPr>
        <w:t>اينهمه نعمت و لذت و خوشى مخصوص كسانى است كه ايمان به خدا و عمل صالح داشته باشند و از فرامين الهى كه توسط انبياء او ابلاغ شده است، اطاعت كرده باشند.</w:t>
      </w:r>
    </w:p>
    <w:p w:rsidR="005E52BB" w:rsidRDefault="005E52BB" w:rsidP="005E52BB">
      <w:pPr>
        <w:pStyle w:val="NormalWeb"/>
        <w:bidi/>
        <w:rPr>
          <w:rFonts w:hint="cs"/>
          <w:rtl/>
        </w:rPr>
      </w:pPr>
      <w:r>
        <w:rPr>
          <w:rFonts w:ascii="Traditional Arabic" w:cs="Traditional Arabic" w:hint="cs"/>
          <w:color w:val="000000"/>
          <w:sz w:val="30"/>
          <w:szCs w:val="30"/>
          <w:rtl/>
        </w:rPr>
        <w:t>در مقابل اين نعمت‏ها و لذت‏ها و بهشت جاويدان، جهنم سوزان و عذاب‏هاى دردناك و شكنجه‏هاى خوردكننده است كه در قيامت نصيب كافران و منافقان و كسانى خواهد بود كه سخن انبياء را بيهوده انگاشته‏اند و از دستورات خداوند سرپيچى كرده‏اند.</w:t>
      </w:r>
    </w:p>
    <w:p w:rsidR="005E52BB" w:rsidRDefault="005E52BB" w:rsidP="005E52BB">
      <w:pPr>
        <w:pStyle w:val="NormalWeb"/>
        <w:bidi/>
        <w:rPr>
          <w:rFonts w:hint="cs"/>
          <w:rtl/>
        </w:rPr>
      </w:pPr>
      <w:r>
        <w:rPr>
          <w:rFonts w:ascii="Traditional Arabic" w:cs="Traditional Arabic" w:hint="cs"/>
          <w:color w:val="000000"/>
          <w:sz w:val="30"/>
          <w:szCs w:val="30"/>
          <w:rtl/>
        </w:rPr>
        <w:t>آياتى كه درباره جهنم و عذاب‏هاى اخروى در قرآن آمده بسيار است به عنوان نمونه به چند مورد توجه فرمائيد:</w:t>
      </w:r>
    </w:p>
    <w:p w:rsidR="005E52BB" w:rsidRDefault="005E52BB" w:rsidP="005E52BB">
      <w:pPr>
        <w:pStyle w:val="NormalWeb"/>
        <w:bidi/>
        <w:rPr>
          <w:rFonts w:hint="cs"/>
          <w:rtl/>
        </w:rPr>
      </w:pPr>
      <w:r>
        <w:rPr>
          <w:rFonts w:ascii="Traditional Arabic" w:cs="Traditional Arabic" w:hint="cs"/>
          <w:color w:val="006400"/>
          <w:sz w:val="30"/>
          <w:szCs w:val="30"/>
          <w:rtl/>
        </w:rPr>
        <w:t>وَ اسْتَفْتَحُوا وَ خابَ كُلُّ جَبَّارٍ عَنِيدٍ مِنْ وَرائِهِ جَهَنَّمُ وَ يُسْقى‏ مِنْ ماءٍ صَدِيدٍ يَتَجَرَّعُهُ وَ لا يَكادُ يُسِيغُهُ وَ يَأْتِيهِ الْمَوْتُ مِنْ كُلِّ مَكانٍ وَ ما هُوَ بِمَيِّتٍ وَ مِنْ وَرائِهِ عَذابٌ غَلِيظٌ</w:t>
      </w:r>
      <w:r>
        <w:rPr>
          <w:rStyle w:val="FootnoteReference"/>
          <w:rFonts w:ascii="Traditional Arabic" w:cs="Traditional Arabic"/>
          <w:color w:val="000000"/>
          <w:sz w:val="30"/>
          <w:szCs w:val="30"/>
          <w:rtl/>
        </w:rPr>
        <w:footnoteReference w:id="9"/>
      </w:r>
    </w:p>
    <w:p w:rsidR="005E52BB" w:rsidRDefault="005E52BB" w:rsidP="005E52BB">
      <w:pPr>
        <w:pStyle w:val="NormalWeb"/>
        <w:bidi/>
        <w:rPr>
          <w:rFonts w:hint="cs"/>
          <w:rtl/>
        </w:rPr>
      </w:pPr>
      <w:r>
        <w:rPr>
          <w:rFonts w:ascii="Traditional Arabic" w:cs="Traditional Arabic" w:hint="cs"/>
          <w:color w:val="000000"/>
          <w:sz w:val="30"/>
          <w:szCs w:val="30"/>
          <w:rtl/>
        </w:rPr>
        <w:t>و طلب پيروزى كردند و هر گردنكش عنودى نااميد شد. پشت سر او دوزخ است و از آب چرك خون‏آلود نوشانيده شود آن را جرعه‏جرعه مى‏نوشد و گواراى او نيست و مرگ از هر سو به‏طرف او مى‏آيد در حاليكه او مرده نيست و از پشت سر او عذابى غليظ است.</w:t>
      </w:r>
    </w:p>
    <w:p w:rsidR="005E52BB" w:rsidRDefault="005E52BB" w:rsidP="005E52BB">
      <w:pPr>
        <w:pStyle w:val="NormalWeb"/>
        <w:bidi/>
        <w:rPr>
          <w:rFonts w:hint="cs"/>
          <w:rtl/>
        </w:rPr>
      </w:pPr>
      <w:r>
        <w:rPr>
          <w:rFonts w:ascii="Traditional Arabic" w:cs="Traditional Arabic" w:hint="cs"/>
          <w:color w:val="000000"/>
          <w:sz w:val="30"/>
          <w:szCs w:val="30"/>
          <w:rtl/>
        </w:rPr>
        <w:lastRenderedPageBreak/>
        <w:t>______________________________</w:t>
      </w:r>
      <w:r>
        <w:rPr>
          <w:rFonts w:ascii="Traditional Arabic" w:cs="Traditional Arabic" w:hint="cs"/>
          <w:color w:val="000000"/>
          <w:sz w:val="30"/>
          <w:szCs w:val="30"/>
          <w:rtl/>
        </w:rPr>
        <w:br/>
      </w:r>
      <w:r>
        <w:rPr>
          <w:rFonts w:ascii="Traditional Arabic" w:cs="Traditional Arabic" w:hint="cs"/>
          <w:color w:val="6C0598"/>
          <w:sz w:val="30"/>
          <w:szCs w:val="30"/>
          <w:rtl/>
        </w:rPr>
        <w:t>(1)- سوره زخرف، آيه 71.</w:t>
      </w:r>
    </w:p>
    <w:p w:rsidR="005E52BB" w:rsidRDefault="005E52BB" w:rsidP="005E52BB">
      <w:pPr>
        <w:pStyle w:val="NormalWeb"/>
        <w:bidi/>
        <w:rPr>
          <w:rFonts w:hint="cs"/>
          <w:rtl/>
        </w:rPr>
      </w:pPr>
      <w:r>
        <w:rPr>
          <w:rFonts w:ascii="Traditional Arabic" w:cs="Traditional Arabic" w:hint="cs"/>
          <w:color w:val="6C0598"/>
          <w:sz w:val="30"/>
          <w:szCs w:val="30"/>
          <w:rtl/>
        </w:rPr>
        <w:t>(2)- سوره ابراهيم، آيات 15- 17.</w:t>
      </w:r>
    </w:p>
    <w:p w:rsidR="005E52BB" w:rsidRDefault="005E52BB" w:rsidP="005E52BB">
      <w:pPr>
        <w:pStyle w:val="NormalWeb"/>
        <w:bidi/>
        <w:jc w:val="center"/>
        <w:rPr>
          <w:rFonts w:ascii="Traditional Arabic" w:cs="Traditional Arabic" w:hint="cs"/>
          <w:color w:val="000000"/>
          <w:sz w:val="30"/>
          <w:szCs w:val="30"/>
          <w:rtl/>
        </w:rPr>
      </w:pPr>
      <w:r>
        <w:rPr>
          <w:rFonts w:ascii="Traditional Arabic" w:cs="Traditional Arabic" w:hint="cs"/>
          <w:color w:val="640000"/>
          <w:sz w:val="30"/>
          <w:szCs w:val="30"/>
          <w:rtl/>
        </w:rPr>
        <w:t>سيرى در علوم قرآن، ص: 268</w:t>
      </w:r>
    </w:p>
    <w:p w:rsidR="005E52BB" w:rsidRDefault="005E52BB" w:rsidP="005E52BB">
      <w:pPr>
        <w:rPr>
          <w:rFonts w:ascii="Times New Roman" w:cs="Times New Roman" w:hint="cs"/>
          <w:sz w:val="24"/>
          <w:szCs w:val="24"/>
          <w:rtl/>
        </w:rPr>
      </w:pPr>
      <w:r>
        <w:rPr>
          <w:rFonts w:ascii="Traditional Arabic" w:cs="Traditional Arabic" w:hint="cs"/>
          <w:color w:val="006400"/>
          <w:sz w:val="30"/>
          <w:szCs w:val="30"/>
          <w:rtl/>
        </w:rPr>
        <w:t>إِنَّا أَعْتَدْنا لِلظَّالِمِينَ ناراً أَحاطَ بِهِمْ سُرادِقُها وَ إِنْ يَسْتَغِيثُوا يُغاثُوا بِماءٍ كَالْمُهْلِ يَشْوِي الْوُجُوهَ بِئْسَ الشَّرابُ وَ ساءَتْ مُرْتَفَقاً</w:t>
      </w:r>
      <w:r>
        <w:rPr>
          <w:rStyle w:val="FootnoteReference"/>
          <w:rFonts w:ascii="Traditional Arabic" w:cs="Traditional Arabic"/>
          <w:color w:val="000000"/>
          <w:sz w:val="30"/>
          <w:szCs w:val="30"/>
          <w:rtl/>
        </w:rPr>
        <w:footnoteReference w:id="10"/>
      </w:r>
    </w:p>
    <w:p w:rsidR="005E52BB" w:rsidRDefault="005E52BB" w:rsidP="005E52BB">
      <w:pPr>
        <w:pStyle w:val="NormalWeb"/>
        <w:bidi/>
        <w:rPr>
          <w:rFonts w:hint="cs"/>
          <w:rtl/>
        </w:rPr>
      </w:pPr>
      <w:r>
        <w:rPr>
          <w:rFonts w:ascii="Traditional Arabic" w:cs="Traditional Arabic" w:hint="cs"/>
          <w:color w:val="000000"/>
          <w:sz w:val="30"/>
          <w:szCs w:val="30"/>
          <w:rtl/>
        </w:rPr>
        <w:t>ما براى ستمگران آتشى را آماده كرده‏ايم كه سرا پرده آن آنها را فراگرفته است و اگر طلب كمك كنند به آنها آبى همچون آهن گداخته داده مى‏شود كه چهره‏ها را بريان مى‏كند چه بد نوشابه‏اى است و چه زشت آسايشگاهى!</w:t>
      </w:r>
    </w:p>
    <w:p w:rsidR="005E52BB" w:rsidRDefault="005E52BB" w:rsidP="005E52BB">
      <w:pPr>
        <w:pStyle w:val="NormalWeb"/>
        <w:bidi/>
        <w:rPr>
          <w:rFonts w:hint="cs"/>
          <w:rtl/>
        </w:rPr>
      </w:pPr>
      <w:r>
        <w:rPr>
          <w:rFonts w:ascii="Traditional Arabic" w:cs="Traditional Arabic" w:hint="cs"/>
          <w:color w:val="006400"/>
          <w:sz w:val="30"/>
          <w:szCs w:val="30"/>
          <w:rtl/>
        </w:rPr>
        <w:t>وَ سِيقَ الَّذِينَ كَفَرُوا إِلى‏ جَهَنَّمَ زُمَراً حَتَّى إِذا جاؤُها فُتِحَتْ أَبْوابُها وَ قالَ لَهُمْ خَزَنَتُها أَ لَمْ يَأْتِكُمْ رُسُلٌ مِنْكُمْ يَتْلُونَ عَلَيْكُمْ آياتِ رَبِّكُمْ وَ يُنْذِرُونَكُمْ لِقاءَ يَوْمِكُمْ هذا قالُوا بَلى‏ وَ لكِنْ حَقَّتْ كَلِمَةُ الْعَذابِ عَلَى الْكافِرِينَ قِيلَ ادْخُلُوا أَبْوابَ جَهَنَّمَ خالِدِينَ فِيها فَبِئْسَ مَثْوَى الْمُتَكَبِّرِينَ‏</w:t>
      </w:r>
      <w:r>
        <w:rPr>
          <w:rStyle w:val="FootnoteReference"/>
          <w:rFonts w:ascii="Traditional Arabic" w:cs="Traditional Arabic"/>
          <w:color w:val="000000"/>
          <w:sz w:val="30"/>
          <w:szCs w:val="30"/>
          <w:rtl/>
        </w:rPr>
        <w:footnoteReference w:id="11"/>
      </w:r>
    </w:p>
    <w:p w:rsidR="005E52BB" w:rsidRDefault="005E52BB" w:rsidP="005E52BB">
      <w:pPr>
        <w:pStyle w:val="NormalWeb"/>
        <w:bidi/>
        <w:rPr>
          <w:rFonts w:hint="cs"/>
          <w:rtl/>
        </w:rPr>
      </w:pPr>
      <w:r>
        <w:rPr>
          <w:rFonts w:ascii="Traditional Arabic" w:cs="Traditional Arabic" w:hint="cs"/>
          <w:color w:val="000000"/>
          <w:sz w:val="30"/>
          <w:szCs w:val="30"/>
          <w:rtl/>
        </w:rPr>
        <w:t>و آنها كه كافر شدند گروه گروه به سوى جهنم كشيده شدند وقتى كه به سوى آن آمدند درهايش به روى آنها باز شد و نگهبانان آن به آنها گفتند آيا پيامبران ما به سوى شما نيامدند كه آيات پروردگارشان را بر شما بخوانند و شما را از ملاقات چنين روزى بترسانند گفتند: آرى اما سرنوشت عذاب بر كافران راست آمد. گفته شد وارد دربهاى جهنم شويد جاودانه در آن خواهيد بود و چه زشت است جايگاه متكبران.</w:t>
      </w:r>
    </w:p>
    <w:p w:rsidR="005E52BB" w:rsidRDefault="005E52BB" w:rsidP="005E52BB">
      <w:pPr>
        <w:pStyle w:val="NormalWeb"/>
        <w:bidi/>
        <w:rPr>
          <w:rFonts w:hint="cs"/>
          <w:rtl/>
        </w:rPr>
      </w:pPr>
      <w:r>
        <w:rPr>
          <w:rFonts w:ascii="Traditional Arabic" w:cs="Traditional Arabic" w:hint="cs"/>
          <w:color w:val="000000"/>
          <w:sz w:val="30"/>
          <w:szCs w:val="30"/>
          <w:rtl/>
        </w:rPr>
        <w:t>از اين تابلوهاى گويا و عجيب در قرآن فراوان است و ما فقط نمونه‏هائى را آورديم ضمنا يادآور مى‏شويم كه هم بهشت و نعمت‏هاى آن و هم جهنم و عذابهاى آن‏</w:t>
      </w:r>
    </w:p>
    <w:p w:rsidR="005E52BB" w:rsidRDefault="005E52BB" w:rsidP="005E52BB">
      <w:pPr>
        <w:pStyle w:val="NormalWeb"/>
        <w:bidi/>
        <w:rPr>
          <w:rFonts w:hint="cs"/>
          <w:rtl/>
        </w:rPr>
      </w:pPr>
      <w:r>
        <w:rPr>
          <w:rFonts w:ascii="Traditional Arabic" w:cs="Traditional Arabic" w:hint="cs"/>
          <w:color w:val="000000"/>
          <w:sz w:val="30"/>
          <w:szCs w:val="30"/>
          <w:rtl/>
        </w:rPr>
        <w:t>______________________________</w:t>
      </w:r>
      <w:r>
        <w:rPr>
          <w:rFonts w:ascii="Traditional Arabic" w:cs="Traditional Arabic" w:hint="cs"/>
          <w:color w:val="000000"/>
          <w:sz w:val="30"/>
          <w:szCs w:val="30"/>
          <w:rtl/>
        </w:rPr>
        <w:br/>
      </w:r>
      <w:r>
        <w:rPr>
          <w:rFonts w:ascii="Traditional Arabic" w:cs="Traditional Arabic" w:hint="cs"/>
          <w:color w:val="6C0598"/>
          <w:sz w:val="30"/>
          <w:szCs w:val="30"/>
          <w:rtl/>
        </w:rPr>
        <w:t>(1)- سوره كهف، آيه 29.</w:t>
      </w:r>
    </w:p>
    <w:p w:rsidR="005E52BB" w:rsidRDefault="005E52BB" w:rsidP="005E52BB">
      <w:pPr>
        <w:pStyle w:val="NormalWeb"/>
        <w:bidi/>
        <w:rPr>
          <w:rFonts w:hint="cs"/>
          <w:rtl/>
        </w:rPr>
      </w:pPr>
      <w:r>
        <w:rPr>
          <w:rFonts w:ascii="Traditional Arabic" w:cs="Traditional Arabic" w:hint="cs"/>
          <w:color w:val="6C0598"/>
          <w:sz w:val="30"/>
          <w:szCs w:val="30"/>
          <w:rtl/>
        </w:rPr>
        <w:t>(2)- سوره زمر، آيات 71- 72.</w:t>
      </w:r>
    </w:p>
    <w:p w:rsidR="005E52BB" w:rsidRDefault="005E52BB" w:rsidP="005E52BB">
      <w:pPr>
        <w:pStyle w:val="NormalWeb"/>
        <w:bidi/>
        <w:jc w:val="center"/>
        <w:rPr>
          <w:rFonts w:ascii="Traditional Arabic" w:cs="Traditional Arabic" w:hint="cs"/>
          <w:color w:val="000000"/>
          <w:sz w:val="30"/>
          <w:szCs w:val="30"/>
          <w:rtl/>
        </w:rPr>
      </w:pPr>
      <w:r>
        <w:rPr>
          <w:rFonts w:ascii="Traditional Arabic" w:cs="Traditional Arabic" w:hint="cs"/>
          <w:color w:val="640000"/>
          <w:sz w:val="30"/>
          <w:szCs w:val="30"/>
          <w:rtl/>
        </w:rPr>
        <w:t>سيرى در علوم قرآن، ص: 269</w:t>
      </w:r>
    </w:p>
    <w:p w:rsidR="005E52BB" w:rsidRDefault="005E52BB" w:rsidP="005E52BB">
      <w:pPr>
        <w:rPr>
          <w:rFonts w:ascii="Times New Roman" w:cs="Times New Roman" w:hint="cs"/>
          <w:sz w:val="24"/>
          <w:szCs w:val="24"/>
          <w:rtl/>
        </w:rPr>
      </w:pPr>
      <w:r>
        <w:rPr>
          <w:rFonts w:ascii="Traditional Arabic" w:cs="Traditional Arabic" w:hint="cs"/>
          <w:color w:val="000000"/>
          <w:sz w:val="30"/>
          <w:szCs w:val="30"/>
          <w:rtl/>
        </w:rPr>
        <w:lastRenderedPageBreak/>
        <w:t>كه در روز قيامت به نيكوكاران و بدكاران داده خواهد شد تجسم اعمال خوب و بد آنها در دنياست كارهاى خوب و اعمال صالح به صورت بهشت و لذات آن مجسم خواهد شد و اعمال بد و ناشايست به صورت جهنم و عذاب آن تجسم خواهد يافت:</w:t>
      </w:r>
    </w:p>
    <w:p w:rsidR="005E52BB" w:rsidRDefault="005E52BB" w:rsidP="005E52BB">
      <w:pPr>
        <w:pStyle w:val="NormalWeb"/>
        <w:bidi/>
        <w:rPr>
          <w:rFonts w:hint="cs"/>
          <w:rtl/>
        </w:rPr>
      </w:pPr>
      <w:r>
        <w:rPr>
          <w:rFonts w:ascii="Traditional Arabic" w:cs="Traditional Arabic" w:hint="cs"/>
          <w:color w:val="006400"/>
          <w:sz w:val="30"/>
          <w:szCs w:val="30"/>
          <w:rtl/>
        </w:rPr>
        <w:t>يَوْمَ تَجِدُ كُلُّ نَفْسٍ ما عَمِلَتْ مِنْ خَيْرٍ مُحْضَراً وَ ما عَمِلَتْ مِنْ سُوءٍ تَوَدُّ لَوْ أَنَّ بَيْنَها وَ بَيْنَهُ أَمَداً بَعِيداً</w:t>
      </w:r>
      <w:r>
        <w:rPr>
          <w:rStyle w:val="FootnoteReference"/>
          <w:rFonts w:ascii="Traditional Arabic" w:cs="Traditional Arabic"/>
          <w:color w:val="000000"/>
          <w:sz w:val="30"/>
          <w:szCs w:val="30"/>
          <w:rtl/>
        </w:rPr>
        <w:footnoteReference w:id="12"/>
      </w:r>
    </w:p>
    <w:p w:rsidR="005E52BB" w:rsidRDefault="005E52BB" w:rsidP="005E52BB">
      <w:pPr>
        <w:pStyle w:val="NormalWeb"/>
        <w:bidi/>
        <w:rPr>
          <w:rFonts w:hint="cs"/>
          <w:rtl/>
        </w:rPr>
      </w:pPr>
      <w:r>
        <w:rPr>
          <w:rFonts w:ascii="Traditional Arabic" w:cs="Traditional Arabic" w:hint="cs"/>
          <w:color w:val="000000"/>
          <w:sz w:val="30"/>
          <w:szCs w:val="30"/>
          <w:rtl/>
        </w:rPr>
        <w:t>روزى كه هر نفسى آنچه را كه از كار خير انجام داده آماده و حاضر مى‏يابد و همينطور آنچه را كه از كار بد انجام داده است. آرزو مى‏كند كه ميان او و آن مسافت دورى مى‏بود.</w:t>
      </w:r>
    </w:p>
    <w:p w:rsidR="005E52BB" w:rsidRDefault="005E52BB" w:rsidP="005E52BB">
      <w:pPr>
        <w:pStyle w:val="NormalWeb"/>
        <w:bidi/>
        <w:rPr>
          <w:rFonts w:hint="cs"/>
          <w:rtl/>
        </w:rPr>
      </w:pPr>
      <w:r>
        <w:rPr>
          <w:rFonts w:ascii="Traditional Arabic" w:cs="Traditional Arabic" w:hint="cs"/>
          <w:color w:val="000000"/>
          <w:sz w:val="30"/>
          <w:szCs w:val="30"/>
          <w:rtl/>
        </w:rPr>
        <w:t>______________________________</w:t>
      </w:r>
      <w:r>
        <w:rPr>
          <w:rFonts w:ascii="Traditional Arabic" w:cs="Traditional Arabic" w:hint="cs"/>
          <w:color w:val="000000"/>
          <w:sz w:val="30"/>
          <w:szCs w:val="30"/>
          <w:rtl/>
        </w:rPr>
        <w:br/>
      </w:r>
      <w:r>
        <w:rPr>
          <w:rFonts w:ascii="Traditional Arabic" w:cs="Traditional Arabic" w:hint="cs"/>
          <w:color w:val="6C0598"/>
          <w:sz w:val="30"/>
          <w:szCs w:val="30"/>
          <w:rtl/>
        </w:rPr>
        <w:t>(1)- سوره آل عمران، آيه 30.</w:t>
      </w:r>
    </w:p>
    <w:p w:rsidR="005E52BB" w:rsidRDefault="005E52BB">
      <w:pPr>
        <w:rPr>
          <w:rtl/>
        </w:rPr>
      </w:pPr>
    </w:p>
    <w:p w:rsidR="005A0ED3" w:rsidRDefault="005A0ED3">
      <w:bookmarkStart w:id="0" w:name="_GoBack"/>
      <w:bookmarkEnd w:id="0"/>
    </w:p>
    <w:sectPr w:rsidR="005A0ED3" w:rsidSect="00C77DEE">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442D" w:rsidRDefault="00BC442D" w:rsidP="005E52BB">
      <w:pPr>
        <w:spacing w:after="0" w:line="240" w:lineRule="auto"/>
      </w:pPr>
      <w:r>
        <w:separator/>
      </w:r>
    </w:p>
  </w:endnote>
  <w:endnote w:type="continuationSeparator" w:id="0">
    <w:p w:rsidR="00BC442D" w:rsidRDefault="00BC442D" w:rsidP="005E52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B2"/>
    <w:family w:val="auto"/>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442D" w:rsidRDefault="00BC442D" w:rsidP="005E52BB">
      <w:pPr>
        <w:spacing w:after="0" w:line="240" w:lineRule="auto"/>
      </w:pPr>
      <w:r>
        <w:separator/>
      </w:r>
    </w:p>
  </w:footnote>
  <w:footnote w:type="continuationSeparator" w:id="0">
    <w:p w:rsidR="00BC442D" w:rsidRDefault="00BC442D" w:rsidP="005E52BB">
      <w:pPr>
        <w:spacing w:after="0" w:line="240" w:lineRule="auto"/>
      </w:pPr>
      <w:r>
        <w:continuationSeparator/>
      </w:r>
    </w:p>
  </w:footnote>
  <w:footnote w:id="1">
    <w:p w:rsidR="005E52BB" w:rsidRDefault="005E52BB" w:rsidP="005E52BB">
      <w:pPr>
        <w:pStyle w:val="FootnoteText"/>
        <w:rPr>
          <w:rFonts w:hint="cs"/>
          <w:rtl/>
        </w:rPr>
      </w:pPr>
      <w:r>
        <w:rPr>
          <w:rStyle w:val="FootnoteReference"/>
        </w:rPr>
        <w:footnoteRef/>
      </w:r>
      <w:r>
        <w:rPr>
          <w:rFonts w:hAnsi="Traditional Arabic" w:hint="cs"/>
          <w:rtl/>
        </w:rPr>
        <w:t xml:space="preserve"> </w:t>
      </w:r>
      <w:r>
        <w:rPr>
          <w:rFonts w:hAnsi="Traditional Arabic" w:hint="cs"/>
          <w:rtl/>
          <w:lang w:bidi="fa-IR"/>
        </w:rPr>
        <w:t>( 1)- سوره بقره، آيه 119.</w:t>
      </w:r>
    </w:p>
  </w:footnote>
  <w:footnote w:id="2">
    <w:p w:rsidR="005E52BB" w:rsidRDefault="005E52BB" w:rsidP="005E52BB">
      <w:pPr>
        <w:pStyle w:val="FootnoteText"/>
        <w:rPr>
          <w:rFonts w:hint="cs"/>
          <w:rtl/>
        </w:rPr>
      </w:pPr>
      <w:r>
        <w:rPr>
          <w:rStyle w:val="FootnoteReference"/>
        </w:rPr>
        <w:footnoteRef/>
      </w:r>
      <w:r>
        <w:rPr>
          <w:rFonts w:hAnsi="Traditional Arabic" w:hint="cs"/>
          <w:rtl/>
        </w:rPr>
        <w:t xml:space="preserve"> </w:t>
      </w:r>
      <w:r>
        <w:rPr>
          <w:rFonts w:hAnsi="Traditional Arabic" w:hint="cs"/>
          <w:rtl/>
          <w:lang w:bidi="fa-IR"/>
        </w:rPr>
        <w:t>( 2)- سوره بقره، آيه 213.</w:t>
      </w:r>
    </w:p>
  </w:footnote>
  <w:footnote w:id="3">
    <w:p w:rsidR="005E52BB" w:rsidRDefault="005E52BB" w:rsidP="005E52BB">
      <w:pPr>
        <w:pStyle w:val="FootnoteText"/>
        <w:rPr>
          <w:rFonts w:hint="cs"/>
          <w:rtl/>
        </w:rPr>
      </w:pPr>
      <w:r>
        <w:rPr>
          <w:rStyle w:val="FootnoteReference"/>
        </w:rPr>
        <w:footnoteRef/>
      </w:r>
      <w:r>
        <w:rPr>
          <w:rFonts w:hAnsi="Traditional Arabic" w:hint="cs"/>
          <w:rtl/>
        </w:rPr>
        <w:t xml:space="preserve"> </w:t>
      </w:r>
      <w:r>
        <w:rPr>
          <w:rFonts w:hAnsi="Traditional Arabic" w:hint="cs"/>
          <w:rtl/>
          <w:lang w:bidi="fa-IR"/>
        </w:rPr>
        <w:t>( 1)- سوره نساء، آيه 122.</w:t>
      </w:r>
    </w:p>
  </w:footnote>
  <w:footnote w:id="4">
    <w:p w:rsidR="005E52BB" w:rsidRDefault="005E52BB" w:rsidP="005E52BB">
      <w:pPr>
        <w:pStyle w:val="FootnoteText"/>
        <w:rPr>
          <w:rFonts w:hint="cs"/>
          <w:rtl/>
        </w:rPr>
      </w:pPr>
      <w:r>
        <w:rPr>
          <w:rStyle w:val="FootnoteReference"/>
        </w:rPr>
        <w:footnoteRef/>
      </w:r>
      <w:r>
        <w:rPr>
          <w:rFonts w:hAnsi="Traditional Arabic" w:hint="cs"/>
          <w:rtl/>
        </w:rPr>
        <w:t xml:space="preserve"> </w:t>
      </w:r>
      <w:r>
        <w:rPr>
          <w:rFonts w:hAnsi="Traditional Arabic" w:hint="cs"/>
          <w:rtl/>
          <w:lang w:bidi="fa-IR"/>
        </w:rPr>
        <w:t>( 2)- سوره ق، آيه 45.</w:t>
      </w:r>
    </w:p>
  </w:footnote>
  <w:footnote w:id="5">
    <w:p w:rsidR="005E52BB" w:rsidRDefault="005E52BB" w:rsidP="005E52BB">
      <w:pPr>
        <w:pStyle w:val="FootnoteText"/>
        <w:rPr>
          <w:rFonts w:hint="cs"/>
          <w:rtl/>
        </w:rPr>
      </w:pPr>
      <w:r>
        <w:rPr>
          <w:rStyle w:val="FootnoteReference"/>
        </w:rPr>
        <w:footnoteRef/>
      </w:r>
      <w:r>
        <w:rPr>
          <w:rFonts w:hAnsi="Traditional Arabic" w:hint="cs"/>
          <w:rtl/>
        </w:rPr>
        <w:t xml:space="preserve"> </w:t>
      </w:r>
      <w:r>
        <w:rPr>
          <w:rFonts w:hAnsi="Traditional Arabic" w:hint="cs"/>
          <w:rtl/>
          <w:lang w:bidi="fa-IR"/>
        </w:rPr>
        <w:t>( 3)- سوره آل عمران، آيه 15.</w:t>
      </w:r>
    </w:p>
  </w:footnote>
  <w:footnote w:id="6">
    <w:p w:rsidR="005E52BB" w:rsidRDefault="005E52BB" w:rsidP="005E52BB">
      <w:pPr>
        <w:pStyle w:val="FootnoteText"/>
        <w:rPr>
          <w:rFonts w:hint="cs"/>
          <w:rtl/>
        </w:rPr>
      </w:pPr>
      <w:r>
        <w:rPr>
          <w:rStyle w:val="FootnoteReference"/>
        </w:rPr>
        <w:footnoteRef/>
      </w:r>
      <w:r>
        <w:rPr>
          <w:rFonts w:hAnsi="Traditional Arabic" w:hint="cs"/>
          <w:rtl/>
        </w:rPr>
        <w:t xml:space="preserve"> </w:t>
      </w:r>
      <w:r>
        <w:rPr>
          <w:rFonts w:hAnsi="Traditional Arabic" w:hint="cs"/>
          <w:rtl/>
          <w:lang w:bidi="fa-IR"/>
        </w:rPr>
        <w:t>( 1)- سوره محمد، آيه 15.</w:t>
      </w:r>
    </w:p>
  </w:footnote>
  <w:footnote w:id="7">
    <w:p w:rsidR="005E52BB" w:rsidRDefault="005E52BB" w:rsidP="005E52BB">
      <w:pPr>
        <w:pStyle w:val="FootnoteText"/>
        <w:rPr>
          <w:rFonts w:hint="cs"/>
          <w:rtl/>
        </w:rPr>
      </w:pPr>
      <w:r>
        <w:rPr>
          <w:rStyle w:val="FootnoteReference"/>
        </w:rPr>
        <w:footnoteRef/>
      </w:r>
      <w:r>
        <w:rPr>
          <w:rFonts w:hAnsi="Traditional Arabic" w:hint="cs"/>
          <w:rtl/>
        </w:rPr>
        <w:t xml:space="preserve"> </w:t>
      </w:r>
      <w:r>
        <w:rPr>
          <w:rFonts w:hAnsi="Traditional Arabic" w:hint="cs"/>
          <w:rtl/>
          <w:lang w:bidi="fa-IR"/>
        </w:rPr>
        <w:t>( 2)- سوره نبأ، آيات 31- 35.</w:t>
      </w:r>
    </w:p>
  </w:footnote>
  <w:footnote w:id="8">
    <w:p w:rsidR="005E52BB" w:rsidRDefault="005E52BB" w:rsidP="005E52BB">
      <w:pPr>
        <w:pStyle w:val="FootnoteText"/>
        <w:rPr>
          <w:rFonts w:hint="cs"/>
          <w:rtl/>
        </w:rPr>
      </w:pPr>
      <w:r>
        <w:rPr>
          <w:rStyle w:val="FootnoteReference"/>
        </w:rPr>
        <w:footnoteRef/>
      </w:r>
      <w:r>
        <w:rPr>
          <w:rFonts w:hAnsi="Traditional Arabic" w:hint="cs"/>
          <w:rtl/>
        </w:rPr>
        <w:t xml:space="preserve"> </w:t>
      </w:r>
      <w:r>
        <w:rPr>
          <w:rFonts w:hAnsi="Traditional Arabic" w:hint="cs"/>
          <w:rtl/>
          <w:lang w:bidi="fa-IR"/>
        </w:rPr>
        <w:t>( 1)- سوره زخرف، آيه 71.</w:t>
      </w:r>
    </w:p>
  </w:footnote>
  <w:footnote w:id="9">
    <w:p w:rsidR="005E52BB" w:rsidRDefault="005E52BB" w:rsidP="005E52BB">
      <w:pPr>
        <w:pStyle w:val="FootnoteText"/>
        <w:rPr>
          <w:rFonts w:hint="cs"/>
          <w:rtl/>
        </w:rPr>
      </w:pPr>
      <w:r>
        <w:rPr>
          <w:rStyle w:val="FootnoteReference"/>
        </w:rPr>
        <w:footnoteRef/>
      </w:r>
      <w:r>
        <w:rPr>
          <w:rFonts w:hAnsi="Traditional Arabic" w:hint="cs"/>
          <w:rtl/>
        </w:rPr>
        <w:t xml:space="preserve"> </w:t>
      </w:r>
      <w:r>
        <w:rPr>
          <w:rFonts w:hAnsi="Traditional Arabic" w:hint="cs"/>
          <w:rtl/>
          <w:lang w:bidi="fa-IR"/>
        </w:rPr>
        <w:t>( 2)- سوره ابراهيم، آيات 15- 17.</w:t>
      </w:r>
    </w:p>
  </w:footnote>
  <w:footnote w:id="10">
    <w:p w:rsidR="005E52BB" w:rsidRDefault="005E52BB" w:rsidP="005E52BB">
      <w:pPr>
        <w:pStyle w:val="FootnoteText"/>
        <w:rPr>
          <w:rFonts w:hint="cs"/>
          <w:rtl/>
        </w:rPr>
      </w:pPr>
      <w:r>
        <w:rPr>
          <w:rStyle w:val="FootnoteReference"/>
        </w:rPr>
        <w:footnoteRef/>
      </w:r>
      <w:r>
        <w:rPr>
          <w:rFonts w:hAnsi="Traditional Arabic" w:hint="cs"/>
          <w:rtl/>
        </w:rPr>
        <w:t xml:space="preserve"> </w:t>
      </w:r>
      <w:r>
        <w:rPr>
          <w:rFonts w:hAnsi="Traditional Arabic" w:hint="cs"/>
          <w:rtl/>
          <w:lang w:bidi="fa-IR"/>
        </w:rPr>
        <w:t>( 1)- سوره كهف، آيه 29.</w:t>
      </w:r>
    </w:p>
  </w:footnote>
  <w:footnote w:id="11">
    <w:p w:rsidR="005E52BB" w:rsidRDefault="005E52BB" w:rsidP="005E52BB">
      <w:pPr>
        <w:pStyle w:val="FootnoteText"/>
        <w:rPr>
          <w:rFonts w:hint="cs"/>
          <w:rtl/>
        </w:rPr>
      </w:pPr>
      <w:r>
        <w:rPr>
          <w:rStyle w:val="FootnoteReference"/>
        </w:rPr>
        <w:footnoteRef/>
      </w:r>
      <w:r>
        <w:rPr>
          <w:rFonts w:hAnsi="Traditional Arabic" w:hint="cs"/>
          <w:rtl/>
        </w:rPr>
        <w:t xml:space="preserve"> </w:t>
      </w:r>
      <w:r>
        <w:rPr>
          <w:rFonts w:hAnsi="Traditional Arabic" w:hint="cs"/>
          <w:rtl/>
          <w:lang w:bidi="fa-IR"/>
        </w:rPr>
        <w:t>( 2)- سوره زمر، آيات 71- 72.</w:t>
      </w:r>
    </w:p>
  </w:footnote>
  <w:footnote w:id="12">
    <w:p w:rsidR="005E52BB" w:rsidRDefault="005E52BB" w:rsidP="005E52BB">
      <w:pPr>
        <w:pStyle w:val="FootnoteText"/>
        <w:rPr>
          <w:rFonts w:hint="cs"/>
          <w:rtl/>
        </w:rPr>
      </w:pPr>
      <w:r>
        <w:rPr>
          <w:rStyle w:val="FootnoteReference"/>
        </w:rPr>
        <w:footnoteRef/>
      </w:r>
      <w:r>
        <w:rPr>
          <w:rFonts w:hAnsi="Traditional Arabic" w:hint="cs"/>
          <w:rtl/>
        </w:rPr>
        <w:t xml:space="preserve"> </w:t>
      </w:r>
      <w:r>
        <w:rPr>
          <w:rFonts w:hAnsi="Traditional Arabic" w:hint="cs"/>
          <w:rtl/>
          <w:lang w:bidi="fa-IR"/>
        </w:rPr>
        <w:t>( 1)- سوره آل عمران، آيه 30.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2BB"/>
    <w:rsid w:val="005A0ED3"/>
    <w:rsid w:val="005E52BB"/>
    <w:rsid w:val="00BC442D"/>
    <w:rsid w:val="00C77DE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5E52BB"/>
    <w:pPr>
      <w:spacing w:after="0" w:line="240" w:lineRule="auto"/>
      <w:jc w:val="both"/>
    </w:pPr>
    <w:rPr>
      <w:rFonts w:ascii="Traditional Arabic" w:hAnsi="Times New Roman" w:cs="Traditional Arabic"/>
      <w:sz w:val="20"/>
      <w:szCs w:val="20"/>
      <w:lang w:bidi="ar-SA"/>
    </w:rPr>
  </w:style>
  <w:style w:type="character" w:customStyle="1" w:styleId="FootnoteTextChar">
    <w:name w:val="Footnote Text Char"/>
    <w:basedOn w:val="DefaultParagraphFont"/>
    <w:link w:val="FootnoteText"/>
    <w:uiPriority w:val="99"/>
    <w:semiHidden/>
    <w:rsid w:val="005E52BB"/>
    <w:rPr>
      <w:rFonts w:ascii="Traditional Arabic" w:hAnsi="Times New Roman" w:cs="Traditional Arabic"/>
      <w:sz w:val="20"/>
      <w:szCs w:val="20"/>
      <w:lang w:bidi="ar-SA"/>
    </w:rPr>
  </w:style>
  <w:style w:type="character" w:styleId="FootnoteReference">
    <w:name w:val="footnote reference"/>
    <w:basedOn w:val="DefaultParagraphFont"/>
    <w:uiPriority w:val="99"/>
    <w:semiHidden/>
    <w:unhideWhenUsed/>
    <w:rsid w:val="005E52BB"/>
    <w:rPr>
      <w:vertAlign w:val="superscript"/>
    </w:rPr>
  </w:style>
  <w:style w:type="paragraph" w:styleId="NormalWeb">
    <w:name w:val="Normal (Web)"/>
    <w:basedOn w:val="Normal"/>
    <w:uiPriority w:val="99"/>
    <w:semiHidden/>
    <w:unhideWhenUsed/>
    <w:rsid w:val="005E52BB"/>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5E52BB"/>
    <w:pPr>
      <w:spacing w:after="0" w:line="240" w:lineRule="auto"/>
      <w:jc w:val="both"/>
    </w:pPr>
    <w:rPr>
      <w:rFonts w:ascii="Traditional Arabic" w:hAnsi="Times New Roman" w:cs="Traditional Arabic"/>
      <w:sz w:val="20"/>
      <w:szCs w:val="20"/>
      <w:lang w:bidi="ar-SA"/>
    </w:rPr>
  </w:style>
  <w:style w:type="character" w:customStyle="1" w:styleId="FootnoteTextChar">
    <w:name w:val="Footnote Text Char"/>
    <w:basedOn w:val="DefaultParagraphFont"/>
    <w:link w:val="FootnoteText"/>
    <w:uiPriority w:val="99"/>
    <w:semiHidden/>
    <w:rsid w:val="005E52BB"/>
    <w:rPr>
      <w:rFonts w:ascii="Traditional Arabic" w:hAnsi="Times New Roman" w:cs="Traditional Arabic"/>
      <w:sz w:val="20"/>
      <w:szCs w:val="20"/>
      <w:lang w:bidi="ar-SA"/>
    </w:rPr>
  </w:style>
  <w:style w:type="character" w:styleId="FootnoteReference">
    <w:name w:val="footnote reference"/>
    <w:basedOn w:val="DefaultParagraphFont"/>
    <w:uiPriority w:val="99"/>
    <w:semiHidden/>
    <w:unhideWhenUsed/>
    <w:rsid w:val="005E52BB"/>
    <w:rPr>
      <w:vertAlign w:val="superscript"/>
    </w:rPr>
  </w:style>
  <w:style w:type="paragraph" w:styleId="NormalWeb">
    <w:name w:val="Normal (Web)"/>
    <w:basedOn w:val="Normal"/>
    <w:uiPriority w:val="99"/>
    <w:semiHidden/>
    <w:unhideWhenUsed/>
    <w:rsid w:val="005E52BB"/>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0644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1175</Words>
  <Characters>6700</Characters>
  <Application>Microsoft Office Word</Application>
  <DocSecurity>0</DocSecurity>
  <Lines>55</Lines>
  <Paragraphs>15</Paragraphs>
  <ScaleCrop>false</ScaleCrop>
  <Company>MRT www.Win2Farsi.com</Company>
  <LinksUpToDate>false</LinksUpToDate>
  <CharactersWithSpaces>7860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 Pack 20 DVDs</dc:creator>
  <cp:lastModifiedBy>MRT Pack 20 DVDs</cp:lastModifiedBy>
  <cp:revision>2</cp:revision>
  <dcterms:created xsi:type="dcterms:W3CDTF">2018-10-12T12:33:00Z</dcterms:created>
  <dcterms:modified xsi:type="dcterms:W3CDTF">2018-10-12T12:34:00Z</dcterms:modified>
</cp:coreProperties>
</file>