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A43" w:rsidRDefault="00E66A43" w:rsidP="00E66A43">
      <w:pPr>
        <w:pStyle w:val="a6"/>
        <w:bidi/>
        <w:jc w:val="center"/>
      </w:pPr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 xml:space="preserve">ترجمه </w:t>
      </w:r>
      <w:proofErr w:type="spellStart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كاشف</w:t>
      </w:r>
      <w:proofErr w:type="spellEnd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 xml:space="preserve">    ج‏3    600</w:t>
      </w:r>
    </w:p>
    <w:p w:rsidR="00E66A43" w:rsidRDefault="00E66A43" w:rsidP="00E66A43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ترجمه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كاشف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، ج‏3، ص: 600</w:t>
      </w:r>
    </w:p>
    <w:p w:rsidR="00E66A43" w:rsidRDefault="00E66A43" w:rsidP="00E66A43">
      <w:pPr>
        <w:rPr>
          <w:rFonts w:ascii="Times New Roman" w:hAnsi="Times New Roman" w:cs="Times New Roman" w:hint="cs"/>
          <w:sz w:val="24"/>
          <w:szCs w:val="24"/>
          <w:rtl/>
        </w:rPr>
      </w:pP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سى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شب با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وعده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نهاديم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‏</w:t>
      </w:r>
    </w:p>
    <w:p w:rsidR="00E66A43" w:rsidRDefault="00E66A43" w:rsidP="00E66A43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[سوره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الأعراف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(7):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آيات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142 تا 145]</w:t>
      </w:r>
    </w:p>
    <w:p w:rsidR="00E66A43" w:rsidRDefault="00E66A43" w:rsidP="00E66A43">
      <w:pPr>
        <w:pStyle w:val="a6"/>
        <w:bidi/>
        <w:rPr>
          <w:rFonts w:hint="cs"/>
          <w:rtl/>
        </w:rPr>
      </w:pPr>
      <w:bookmarkStart w:id="0" w:name="_GoBack"/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واعَدْنا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مُوسى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‏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ثَلاثِينَ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لَيْلَةً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bookmarkEnd w:id="0"/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أَتْمَمْناها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بِعَشْرٍ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فَتَمَّ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مِيقاتُ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رَبِّهِ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أَرْبَعِينَ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لَيْلَةً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قالَ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مُوسى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‏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لِأَخِيهِ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هارُونَ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اخْلُفْنِي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قَوْمِي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أَصْلِحْ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لا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تَتَّبِعْ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سَبِيلَ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الْمُفْسِدِينَ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(142)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لَمَّا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جاءَ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مُوسى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‏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لِمِيقاتِنا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كَلَّمَهُ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رَبُّهُ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قالَ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رَبِّ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أَرِنِي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أَنْظُرْ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إِلَيْكَ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قالَ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لَنْ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تَرانِي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لكِنِ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انْظُرْ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إِلَى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الْجَبَلِ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فَإِنِ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اسْتَقَرَّ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مَكانَهُ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فَسَوْفَ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تَرانِي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فَلَمَّا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تَجَلَّى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رَبُّهُ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لِلْجَبَلِ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جَعَلَهُ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دَكًّا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خَرَّ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مُوسى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‏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صَعِقاً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فَلَمَّا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أَفاقَ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قالَ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سُبْحانَكَ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تُبْتُ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إِلَيْكَ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أَنَا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أَوَّلُ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الْمُؤْمِنِينَ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(143)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قالَ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يا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مُوسى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‏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إِنِّي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اصْطَفَيْتُكَ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عَلَى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النَّاسِ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بِرِسالاتِي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بِكَلامِي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فَخُذْ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ما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آتَيْتُكَ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كُنْ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مِنَ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الشَّاكِرِينَ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(144)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كَتَبْنا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لَهُ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الْأَلْواحِ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مِنْ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كُلِّ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شَيْ‏ءٍ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مَوْعِظَةً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تَفْصِيلاً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لِكُلِّ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شَيْ‏ءٍ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فَخُذْها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بِقُوَّةٍ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أْمُرْ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قَوْمَكَ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يَأْخُذُوا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بِأَحْسَنِها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سَأُرِيكُمْ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دارَ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الْفاسِقِينَ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(145)</w:t>
      </w:r>
    </w:p>
    <w:p w:rsidR="00E66A43" w:rsidRDefault="00E66A43" w:rsidP="00E66A43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شب با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وعده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نهاديم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ده شب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ديگر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افزوديم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تا وعده پروردگارش چهل شب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كامل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شد.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برادرش هارون گفت: بر قوم من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جانشين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من باش و راه صلاح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طريق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مفسدان مرو. (142)</w:t>
      </w:r>
    </w:p>
    <w:p w:rsidR="00E66A43" w:rsidRDefault="00E66A43" w:rsidP="00E66A43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چون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ميعادگاه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ما آمد و پروردگارش با او سخن گفت. گفت: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پروردگار من!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بنماى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تا در تو نظر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. گفت: هرگز مرا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نخواهى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E66A43" w:rsidRDefault="00E66A43" w:rsidP="00E66A43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به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كوه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بنگر، اگر 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خود قرار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يافت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. تو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خواهى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. چون پروردگارش 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كوه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تجلى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كوه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خرد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بيهوش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بيفتاد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. چون به هوش آمد گفت: تو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منزهى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به تو بازگشتم و من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نخستين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مؤمنانم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 (143)</w:t>
      </w:r>
    </w:p>
    <w:p w:rsidR="00E66A43" w:rsidRDefault="00E66A43" w:rsidP="00E66A43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گفت: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! من تو را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پيام‏هايم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سخن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گفتنم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</w:p>
    <w:p w:rsidR="00E66A43" w:rsidRDefault="00E66A43" w:rsidP="00E66A43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ترجمه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كاشف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، ج‏3، ص: 601</w:t>
      </w:r>
    </w:p>
    <w:p w:rsidR="00E66A43" w:rsidRDefault="00E66A43" w:rsidP="00E66A43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مردم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برگزيدم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پس آنچه را به تو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داده‏ام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فراگير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سپاسگزاران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باش. (144)</w:t>
      </w:r>
    </w:p>
    <w:p w:rsidR="00E66A43" w:rsidRDefault="00E66A43" w:rsidP="00E66A43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او در آن الواح هرگونه اندرز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تفصيل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هرچيز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نوشتيم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. پس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گفتيم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آن‏را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نيرومندى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بگير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قومت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بفرماى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تا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بهترين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 عمل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به‏زودى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جايگاه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نافرمان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به شما نشان دهم. (145)</w:t>
      </w:r>
    </w:p>
    <w:p w:rsidR="00E66A43" w:rsidRDefault="00E66A43" w:rsidP="00E66A43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واژگان‏</w:t>
      </w:r>
    </w:p>
    <w:p w:rsidR="00E66A43" w:rsidRDefault="00E66A43" w:rsidP="00E66A43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>الميقات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 وقت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معينى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مقرّر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مى‏شود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كارى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آن انجام شود.</w:t>
      </w:r>
    </w:p>
    <w:p w:rsidR="00E66A43" w:rsidRDefault="00E66A43" w:rsidP="00E66A43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اخْلُفْنِي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 پس از من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جانشينم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باش.</w:t>
      </w:r>
    </w:p>
    <w:p w:rsidR="00E66A43" w:rsidRDefault="00E66A43" w:rsidP="00E66A43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تجلّى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الشى‏ء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آشكار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شدن خود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نشانه‏ها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دلايل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آن.</w:t>
      </w:r>
    </w:p>
    <w:p w:rsidR="00E66A43" w:rsidRDefault="00E66A43" w:rsidP="00E66A43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خَرَّ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: افتاد.</w:t>
      </w:r>
    </w:p>
    <w:p w:rsidR="00E66A43" w:rsidRDefault="00E66A43" w:rsidP="00E66A43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صَعِقاً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: مدهوش.</w:t>
      </w:r>
    </w:p>
    <w:p w:rsidR="00E66A43" w:rsidRDefault="00E66A43" w:rsidP="00E66A43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اعراب‏</w:t>
      </w:r>
    </w:p>
    <w:p w:rsidR="00E66A43" w:rsidRDefault="00E66A43" w:rsidP="00E66A43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«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ثَلاثِينَ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لَيْلَةً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»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مفعول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دوم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«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واعَدْنا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»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بنابر حذف مضاف،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يعنى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«تمام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ثلاثين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».</w:t>
      </w:r>
    </w:p>
    <w:p w:rsidR="00E66A43" w:rsidRDefault="00E66A43" w:rsidP="00E66A43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«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أَرْبَعِينَ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لَيْلَةً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»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متعلق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محذوف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حال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ميقات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تقديرش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: «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كاملا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أربعين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ليلة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» است.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«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هارُونَ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»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بدل از</w:t>
      </w:r>
      <w:r>
        <w:rPr>
          <w:rFonts w:ascii="Traditional Arabic" w:hAnsi="Traditional Arabic" w:cs="Traditional Arabic" w:hint="cs"/>
          <w:color w:val="64287E"/>
          <w:sz w:val="30"/>
          <w:szCs w:val="30"/>
          <w:rtl/>
        </w:rPr>
        <w:t xml:space="preserve"> «</w:t>
      </w:r>
      <w:proofErr w:type="spellStart"/>
      <w:r>
        <w:rPr>
          <w:rFonts w:ascii="Traditional Arabic" w:hAnsi="Traditional Arabic" w:cs="Traditional Arabic" w:hint="cs"/>
          <w:color w:val="64287E"/>
          <w:sz w:val="30"/>
          <w:szCs w:val="30"/>
          <w:rtl/>
        </w:rPr>
        <w:t>أخيه</w:t>
      </w:r>
      <w:proofErr w:type="spellEnd"/>
      <w:r>
        <w:rPr>
          <w:rFonts w:ascii="Traditional Arabic" w:hAnsi="Traditional Arabic" w:cs="Traditional Arabic" w:hint="cs"/>
          <w:color w:val="64287E"/>
          <w:sz w:val="30"/>
          <w:szCs w:val="30"/>
          <w:rtl/>
        </w:rPr>
        <w:t>»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«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دَكًّا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»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مفعول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دوم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«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جَعَلَهُ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»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«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صَعِقاً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»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حال از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«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مُوسى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‏»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«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مَوْعِظَةً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تَفْصِيلًا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»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بدل از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«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كُلِّ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شَيْ‏ءٍ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»،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اعتبار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محلّ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 است؛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زيرا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«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كُلِّ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شَيْ‏ءٍ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»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مفعول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معناى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مفعول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«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كَتَبْنا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»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بدين‏سبب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مراد از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«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كُلِّ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شَيْ‏ءٍ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»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عموم اندرز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جزئيات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احكام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است.</w:t>
      </w:r>
    </w:p>
    <w:p w:rsidR="00E66A43" w:rsidRDefault="00E66A43" w:rsidP="00E66A43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تفسير</w:t>
      </w:r>
      <w:proofErr w:type="spellEnd"/>
    </w:p>
    <w:p w:rsidR="00E66A43" w:rsidRDefault="00E66A43" w:rsidP="00E66A43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واعَدْنا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مُوسى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‏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ثَلاثِينَ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لَيْلَةً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أَتْمَمْناها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بِعَشْرٍ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فَتَمَّ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مِيقاتُ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رَبِّهِ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أَرْبَعِينَ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لَيْلَةً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.</w:t>
      </w:r>
    </w:p>
    <w:p w:rsidR="00E66A43" w:rsidRDefault="00E66A43" w:rsidP="00E66A43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السّلام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پروردگارش درخواست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كتابى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 او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فروفرستد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 آن مردم را به‏</w:t>
      </w:r>
    </w:p>
    <w:p w:rsidR="00E66A43" w:rsidRDefault="00E66A43" w:rsidP="00E66A43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ترجمه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كاشف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، ج‏3، ص: 602</w:t>
      </w:r>
    </w:p>
    <w:p w:rsidR="00E66A43" w:rsidRDefault="00E66A43" w:rsidP="00E66A43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آنچه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نياز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دارند،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يعنى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امور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دينشان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راهنمايى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. خدا به او وعده داد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كتاب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پس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شب بر او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فروخواهد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فرستاد و عمل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فروفرستادن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 در ده شب ادامه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پيدا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خواهد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.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بنابراين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مجموع مدّت وعده و مدّت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فروفرستادن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چهل شب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مى‏شود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خداوند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اين‏جا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آن‏را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تفصيل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51 از سوره بقره به اجمال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است.</w:t>
      </w:r>
    </w:p>
    <w:p w:rsidR="00E66A43" w:rsidRDefault="00E66A43" w:rsidP="00E66A43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آن‏جا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مى‏فرمايد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: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«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إِذْ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واعَدْنا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مُوسى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‏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أَرْبَعِينَ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لَيْلَةً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».</w:t>
      </w:r>
    </w:p>
    <w:p w:rsidR="00E66A43" w:rsidRDefault="00E66A43" w:rsidP="00E66A43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قالَ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مُوسى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‏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لِأَخِيهِ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هارُونَ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اخْلُفْنِي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قَوْمِي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أَصْلِحْ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لا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تَتَّبِعْ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سَبِيلَ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الْمُفْسِدِينَ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.</w:t>
      </w:r>
    </w:p>
    <w:p w:rsidR="00E66A43" w:rsidRDefault="00E66A43" w:rsidP="00E66A43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>وقتى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[به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ميقات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‏] رفت، برادرش هارون را به عنوان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جانشين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خود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اسرائيل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تعيين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به او سفارش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اداره و اصلاح امور آنان بپردازد و به سرشت آنها،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همانا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تمايل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تباهى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است، به او هشدار داد؛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چراكه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گذشته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بسيار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نزديك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آنان به پرستش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بت‏ها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گرايش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پيدا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السّلام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آنها فرمود: شما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قومى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نادان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هستيد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چنان‏كه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138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شد. هارون با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كمال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اندرز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پذيرفت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چنان‏كه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مرئوس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رئيس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اندرزگو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مى‏پذيرد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E66A43" w:rsidRDefault="00E66A43" w:rsidP="00E66A43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لَمَّا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جاءَ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مُوسى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‏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لِمِيقاتِنا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.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وقتى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السّلام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ميعادگاهى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آمد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خداوند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آن‏را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دادن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كتاب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تورات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تعيين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بود.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كَلَّمَهُ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رَبُّهُ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؛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پروردگارش از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پرده با او سخن گفت: «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هيچ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بشرى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نرسد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 جز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وحى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پرده با او سخن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گويد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.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فرشته‏اى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مى‏فرستد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».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</w:p>
    <w:p w:rsidR="00E66A43" w:rsidRDefault="00E66A43" w:rsidP="00E66A43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قالَ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رَبِّ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أَرِنِي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أَنْظُرْ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إِلَيْكَ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؛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گفت: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پروردگار من!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بنماى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تا در تو نظر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.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برخى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علما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مى‏گويند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رؤيت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خودش تقاضا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بلكه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آن‏را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جهت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قومش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خواست.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نظريه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 سخن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منافات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دارد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گفت: «تو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منزهى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. به تو بازگشتم».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هرصورت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السّلام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رؤيت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پروردگار را خواه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خودش خواه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قومش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درخواست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ديدگاه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هيچ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ايرادى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درخواست وجود ندارد؛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زيرا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روح انسان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جستجوى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موجود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غير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موجود است؛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ويژه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</w:t>
      </w:r>
    </w:p>
    <w:p w:rsidR="00E66A43" w:rsidRDefault="00E66A43" w:rsidP="00E66A43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ترجمه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كاشف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، ج‏3، ص: 603</w:t>
      </w:r>
    </w:p>
    <w:p w:rsidR="00E66A43" w:rsidRDefault="00E66A43" w:rsidP="00E66A43">
      <w:pPr>
        <w:rPr>
          <w:rFonts w:ascii="Times New Roman" w:hAnsi="Times New Roman" w:cs="Times New Roman" w:hint="cs"/>
          <w:sz w:val="24"/>
          <w:szCs w:val="24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جستجوى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رؤيتى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موجب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افزايش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اطمينان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اعتماد به نفس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مى‏شود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.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ابراهيم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السّلام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درخواستى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پيشگاه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خداوند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بود: «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ابراهيم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گفت: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پروردگار من! به من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بنماى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چگونه مردگان را زنده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مى‏سازى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. گفت: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هنوز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نياورده‏اى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؟ گفت:</w:t>
      </w:r>
    </w:p>
    <w:p w:rsidR="00E66A43" w:rsidRDefault="00E66A43" w:rsidP="00E66A43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لكن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مى‏خواهم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دلم آرام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يابد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».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2"/>
      </w:r>
    </w:p>
    <w:p w:rsidR="00E66A43" w:rsidRDefault="00E66A43" w:rsidP="00E66A43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قالَ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لَنْ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تَرانِي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؛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گفت: مرا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نخواهى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؛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زيرا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رؤيت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 با چشم محال است. ما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دراين‏باره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51 از سوره بقره، ج 1، تحت عنوان «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رؤيت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خدا»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تفصيل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سخن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گفتيم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لكِنِ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انْظُرْ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إِلَى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الْجَبَلِ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فَإِنِ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اسْتَقَرَّ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مَكانَهُ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فَسَوْفَ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تَرانِي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.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رويش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كوه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برگرداند تا خدا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ببيند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ناگهان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كوه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فرورفت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اثرى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برجاى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نماند. خدا با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رويداد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خواست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بفهماند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ديدن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 بر او و 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ديگران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محال است.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خداى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سبحان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ديدنش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برجاى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ماندن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كوه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مربوط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وقتى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كوه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برجاى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نماند،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بنابراين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ديدن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محال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غير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ممكن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است.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شيوه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قبيل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ضرب‏المثل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معروف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هرگاه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كلاغ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سفيد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شود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هرگاه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شتر از سوراخ سوزن عبور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E66A43" w:rsidRDefault="00E66A43" w:rsidP="00E66A43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lastRenderedPageBreak/>
        <w:t>فَلَمَّا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تَجَلَّى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رَبُّهُ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لِلْجَبَلِ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جَعَلَهُ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دَكًّا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؛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يعنى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وقتى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فرمان پروردگارش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آشكار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شد نه خود پروردگار.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نظير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«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جاءَ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رَبُّكَ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الْمَلَكُ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صَفًّا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صَفًّا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»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مى‏باشد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معنايش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است:</w:t>
      </w:r>
      <w:r>
        <w:rPr>
          <w:rFonts w:ascii="Traditional Arabic" w:hAnsi="Traditional Arabic" w:cs="Traditional Arabic" w:hint="cs"/>
          <w:color w:val="64287E"/>
          <w:sz w:val="30"/>
          <w:szCs w:val="30"/>
          <w:rtl/>
        </w:rPr>
        <w:t xml:space="preserve"> «</w:t>
      </w:r>
      <w:proofErr w:type="spellStart"/>
      <w:r>
        <w:rPr>
          <w:rFonts w:ascii="Traditional Arabic" w:hAnsi="Traditional Arabic" w:cs="Traditional Arabic" w:hint="cs"/>
          <w:color w:val="64287E"/>
          <w:sz w:val="30"/>
          <w:szCs w:val="30"/>
          <w:rtl/>
        </w:rPr>
        <w:t>جاء</w:t>
      </w:r>
      <w:proofErr w:type="spellEnd"/>
      <w:r>
        <w:rPr>
          <w:rFonts w:ascii="Traditional Arabic" w:hAnsi="Traditional Arabic" w:cs="Traditional Arabic" w:hint="cs"/>
          <w:color w:val="64287E"/>
          <w:sz w:val="30"/>
          <w:szCs w:val="30"/>
          <w:rtl/>
        </w:rPr>
        <w:t xml:space="preserve"> امر </w:t>
      </w:r>
      <w:proofErr w:type="spellStart"/>
      <w:r>
        <w:rPr>
          <w:rFonts w:ascii="Traditional Arabic" w:hAnsi="Traditional Arabic" w:cs="Traditional Arabic" w:hint="cs"/>
          <w:color w:val="64287E"/>
          <w:sz w:val="30"/>
          <w:szCs w:val="30"/>
          <w:rtl/>
        </w:rPr>
        <w:t>ربك</w:t>
      </w:r>
      <w:proofErr w:type="spellEnd"/>
      <w:r>
        <w:rPr>
          <w:rFonts w:ascii="Traditional Arabic" w:hAnsi="Traditional Arabic" w:cs="Traditional Arabic" w:hint="cs"/>
          <w:color w:val="64287E"/>
          <w:sz w:val="30"/>
          <w:szCs w:val="30"/>
          <w:rtl/>
        </w:rPr>
        <w:t>»؛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يعنى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فرمان پروردگارت آمد.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خَرَّ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مُوسى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‏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صَعِقاً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.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سبب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پديدار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شدن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حادثه‏اى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ناگهانى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بيهوش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شد. خداوند به او لطف و او را مشمول رحمت خود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نتيجه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هوش آمد.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فَلَمَّا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أَفاقَ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قالَ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سُبْحانَكَ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تُبْتُ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إِلَيْكَ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؛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وقتى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هوش آمد گفت: از درخواست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ديدنت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تو بازگشتم.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أَنَا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أَوَّلُ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الْمُؤْمِنِينَ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؛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من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نخستين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كسانى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هستم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دارم تو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بزرگ‏تر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هستى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 چشم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. مقصود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جمله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نيست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السّلام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لحاظ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زمانى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نخستين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مسلمان است،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بلكه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مقصود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پايدارى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تأكيد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 اسلام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مى‏باشد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E66A43" w:rsidRDefault="00E66A43" w:rsidP="00E66A43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ترجمه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كاشف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، ج‏3، ص: 604</w:t>
      </w:r>
    </w:p>
    <w:p w:rsidR="00E66A43" w:rsidRDefault="00E66A43" w:rsidP="00E66A43">
      <w:pPr>
        <w:rPr>
          <w:rFonts w:ascii="Times New Roman" w:hAnsi="Times New Roman" w:cs="Times New Roman" w:hint="cs"/>
          <w:sz w:val="24"/>
          <w:szCs w:val="24"/>
          <w:rtl/>
        </w:rPr>
      </w:pP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قالَ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يا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مُوسى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‏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إِنِّي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اصْطَفَيْتُكَ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عَلَى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النَّاسِ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بِرِسالاتِي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بِكَلامِي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فَخُذْ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ما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آتَيْتُكَ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كُنْ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مِنَ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الشَّاكِرِينَ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.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پس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آن‏كه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پيشگاه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آفريننده‏اش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زارى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خدا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نعمت‏هاى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خود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بزرگ‏ترين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آنها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نبوت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يادآور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شد. مراد از واژه‏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«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النَّاسِ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»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مردم زمان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است؛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زيرا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مى‏گويد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: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«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بِرِسالاتِي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»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؛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يعنى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تو را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پيام‏هاى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برگزيدم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حالى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پس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افراد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زيادى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به عنوان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پيامبران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برگزيده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است. امّا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اين‏كه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به سخن گفتن اختصاص داده،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دليلى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برترى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نيست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؛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زيرا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امر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نشان‏دهنده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فضيلت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برترى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باشد، همانا فرستادن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جبرئيل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آخرين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فرستادگان و سرور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پيامبران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[- حضرت محمّد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صلّى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اللّه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آله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‏]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بى‏چون‏وچرا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بالاترين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برترين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درجه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فضيلت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است.</w:t>
      </w:r>
    </w:p>
    <w:p w:rsidR="00E66A43" w:rsidRDefault="00E66A43" w:rsidP="00E66A43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كَتَبْنا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لَهُ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الْأَلْواحِ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مِنْ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كُلِّ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شَيْ‏ءٍ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مَوْعِظَةً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تَفْصِيلًا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لِكُلِّ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شَيْ‏ءٍ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.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مراد از الواح، تورات است؛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زيرا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همو بود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آن‏را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السّلام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فروفرستاد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در آن هرگونه اندرز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تفصيل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هرچيزى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است.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«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كُلِّ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شَيْ‏ءٍ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»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واژه‏اى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عام و مقصود از آن خاص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مى‏باشد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آن عبارت است از: آنچه به موضوع رسالت مربوط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مى‏شود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؛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يعنى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اندرزها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حكمت‏ها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اصول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عقيده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نظير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خدا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پيامبر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او و روز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قيامت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احكام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شرعى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همچون حلال و حرام.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بنابراين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، سخن خدا: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مَوْعِظَةً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تَفْصِيلًا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سخن خدا: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«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مِنْ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كُلِّ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شَيْ‏ءٍ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»؛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زيرا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مراد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تفصيل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احكام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شرعى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است.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فَخُذْها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بِقُوَّةٍ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؛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يعنى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نگهبان تورات باش و با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نيّت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راستين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بدان عمل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E66A43" w:rsidRDefault="00E66A43" w:rsidP="00E66A43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أْمُرْ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قَوْمَكَ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يَأْخُذُوا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بِأَحْسَنِها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.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هرچيزى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كتاب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فروفرستاده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باشد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نيكوست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؛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لكن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برخى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نيكوتر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مى‏باشد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. خدا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مى‏فرمايد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: «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هركس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 شما ستم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- سپس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مى‏گويد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:-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نيكى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نيكوكاران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دوست دارد».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3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مى‏گويد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 «... و هر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زخمى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قصاصى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هركه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قصاص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درگذرد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گناهش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كفاره‏اى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خواهد بود».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4"/>
      </w:r>
    </w:p>
    <w:p w:rsidR="00E66A43" w:rsidRDefault="00E66A43" w:rsidP="00E66A43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lastRenderedPageBreak/>
        <w:t xml:space="preserve">ترجمه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كاشف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، ج‏3، ص: 605</w:t>
      </w:r>
    </w:p>
    <w:p w:rsidR="00E66A43" w:rsidRDefault="00E66A43" w:rsidP="00E66A43">
      <w:pPr>
        <w:rPr>
          <w:rFonts w:ascii="Times New Roman" w:hAnsi="Times New Roman" w:cs="Times New Roman" w:hint="cs"/>
          <w:sz w:val="24"/>
          <w:szCs w:val="24"/>
          <w:rtl/>
        </w:rPr>
      </w:pP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سَأُرِيكُمْ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دارَ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الْفاسِقِينَ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؛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يعنى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فاسق و ستمگر مراحل سخت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دردناكى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پشت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مى‏گذارد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معنايى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آن‏را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رجوع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تفاسير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جمله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فهميدم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امّا پس از رجوع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تفاسير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نظرياتى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درباره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يافتيم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جمله آنها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نظريه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بود: خدا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زودى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جايگاه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فرعون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قومش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پس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هلاك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شدن به آنها نشان خواهد داد.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نظريه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ديگر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زودى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سرزمين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شام را به آنان نشان خواهد داد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آن زمان در چنگال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بت‏پرستان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قرار داشت.</w:t>
      </w:r>
    </w:p>
    <w:p w:rsidR="00E66A43" w:rsidRDefault="00E66A43" w:rsidP="00E66A43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ترجمه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كاشف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، ج‏3، ص: 606</w:t>
      </w:r>
    </w:p>
    <w:p w:rsidR="00E66A43" w:rsidRDefault="00E66A43" w:rsidP="00E66A43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5"/>
      </w:r>
    </w:p>
    <w:p w:rsidR="00E66A43" w:rsidRDefault="00E66A43">
      <w:pPr>
        <w:rPr>
          <w:rtl/>
        </w:rPr>
      </w:pPr>
    </w:p>
    <w:p w:rsidR="00C020D8" w:rsidRDefault="00C020D8"/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926" w:rsidRDefault="00B00926" w:rsidP="00E66A43">
      <w:pPr>
        <w:spacing w:after="0" w:line="240" w:lineRule="auto"/>
      </w:pPr>
      <w:r>
        <w:separator/>
      </w:r>
    </w:p>
  </w:endnote>
  <w:endnote w:type="continuationSeparator" w:id="0">
    <w:p w:rsidR="00B00926" w:rsidRDefault="00B00926" w:rsidP="00E66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926" w:rsidRDefault="00B00926" w:rsidP="00E66A43">
      <w:pPr>
        <w:spacing w:after="0" w:line="240" w:lineRule="auto"/>
      </w:pPr>
      <w:r>
        <w:separator/>
      </w:r>
    </w:p>
  </w:footnote>
  <w:footnote w:type="continuationSeparator" w:id="0">
    <w:p w:rsidR="00B00926" w:rsidRDefault="00B00926" w:rsidP="00E66A43">
      <w:pPr>
        <w:spacing w:after="0" w:line="240" w:lineRule="auto"/>
      </w:pPr>
      <w:r>
        <w:continuationSeparator/>
      </w:r>
    </w:p>
  </w:footnote>
  <w:footnote w:id="1">
    <w:p w:rsidR="00E66A43" w:rsidRDefault="00E66A43" w:rsidP="00E66A43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. </w:t>
      </w:r>
      <w:proofErr w:type="spellStart"/>
      <w:r>
        <w:rPr>
          <w:rtl/>
          <w:lang w:bidi="fa-IR"/>
        </w:rPr>
        <w:t>شورى</w:t>
      </w:r>
      <w:proofErr w:type="spellEnd"/>
      <w:r>
        <w:rPr>
          <w:rtl/>
          <w:lang w:bidi="fa-IR"/>
        </w:rPr>
        <w:t xml:space="preserve">( 42) </w:t>
      </w:r>
      <w:proofErr w:type="spellStart"/>
      <w:r>
        <w:rPr>
          <w:rtl/>
          <w:lang w:bidi="fa-IR"/>
        </w:rPr>
        <w:t>آيه</w:t>
      </w:r>
      <w:proofErr w:type="spellEnd"/>
      <w:r>
        <w:rPr>
          <w:rtl/>
          <w:lang w:bidi="fa-IR"/>
        </w:rPr>
        <w:t xml:space="preserve"> 51.</w:t>
      </w:r>
    </w:p>
  </w:footnote>
  <w:footnote w:id="2">
    <w:p w:rsidR="00E66A43" w:rsidRDefault="00E66A43" w:rsidP="00E66A43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. بقره( 2) </w:t>
      </w:r>
      <w:proofErr w:type="spellStart"/>
      <w:r>
        <w:rPr>
          <w:rtl/>
          <w:lang w:bidi="fa-IR"/>
        </w:rPr>
        <w:t>آيه</w:t>
      </w:r>
      <w:proofErr w:type="spellEnd"/>
      <w:r>
        <w:rPr>
          <w:rtl/>
          <w:lang w:bidi="fa-IR"/>
        </w:rPr>
        <w:t xml:space="preserve"> 260.</w:t>
      </w:r>
    </w:p>
  </w:footnote>
  <w:footnote w:id="3">
    <w:p w:rsidR="00E66A43" w:rsidRDefault="00E66A43" w:rsidP="00E66A43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. بقره( 2) </w:t>
      </w:r>
      <w:proofErr w:type="spellStart"/>
      <w:r>
        <w:rPr>
          <w:rtl/>
          <w:lang w:bidi="fa-IR"/>
        </w:rPr>
        <w:t>آيه</w:t>
      </w:r>
      <w:proofErr w:type="spellEnd"/>
      <w:r>
        <w:rPr>
          <w:rtl/>
          <w:lang w:bidi="fa-IR"/>
        </w:rPr>
        <w:t xml:space="preserve"> 194- 195.</w:t>
      </w:r>
    </w:p>
  </w:footnote>
  <w:footnote w:id="4">
    <w:p w:rsidR="00E66A43" w:rsidRDefault="00E66A43" w:rsidP="00E66A43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. مائده( 5) </w:t>
      </w:r>
      <w:proofErr w:type="spellStart"/>
      <w:r>
        <w:rPr>
          <w:rtl/>
          <w:lang w:bidi="fa-IR"/>
        </w:rPr>
        <w:t>آيه</w:t>
      </w:r>
      <w:proofErr w:type="spellEnd"/>
      <w:r>
        <w:rPr>
          <w:rtl/>
          <w:lang w:bidi="fa-IR"/>
        </w:rPr>
        <w:t xml:space="preserve"> 45.</w:t>
      </w:r>
    </w:p>
  </w:footnote>
  <w:footnote w:id="5">
    <w:p w:rsidR="00E66A43" w:rsidRDefault="00E66A43" w:rsidP="00E66A43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proofErr w:type="spellStart"/>
      <w:r>
        <w:rPr>
          <w:rtl/>
          <w:lang w:bidi="fa-IR"/>
        </w:rPr>
        <w:t>مغنيه</w:t>
      </w:r>
      <w:proofErr w:type="spellEnd"/>
      <w:r>
        <w:rPr>
          <w:rtl/>
          <w:lang w:bidi="fa-IR"/>
        </w:rPr>
        <w:t xml:space="preserve">، </w:t>
      </w:r>
      <w:proofErr w:type="spellStart"/>
      <w:r>
        <w:rPr>
          <w:rtl/>
          <w:lang w:bidi="fa-IR"/>
        </w:rPr>
        <w:t>محمدجواد</w:t>
      </w:r>
      <w:proofErr w:type="spellEnd"/>
      <w:r>
        <w:rPr>
          <w:rtl/>
          <w:lang w:bidi="fa-IR"/>
        </w:rPr>
        <w:t xml:space="preserve">، ترجمه </w:t>
      </w:r>
      <w:proofErr w:type="spellStart"/>
      <w:r>
        <w:rPr>
          <w:rtl/>
          <w:lang w:bidi="fa-IR"/>
        </w:rPr>
        <w:t>تفسير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كاشف</w:t>
      </w:r>
      <w:proofErr w:type="spellEnd"/>
      <w:r>
        <w:rPr>
          <w:rtl/>
          <w:lang w:bidi="fa-IR"/>
        </w:rPr>
        <w:t xml:space="preserve">، 8جلد، بوستان </w:t>
      </w:r>
      <w:proofErr w:type="spellStart"/>
      <w:r>
        <w:rPr>
          <w:rtl/>
          <w:lang w:bidi="fa-IR"/>
        </w:rPr>
        <w:t>كتاب</w:t>
      </w:r>
      <w:proofErr w:type="spellEnd"/>
      <w:r>
        <w:rPr>
          <w:rtl/>
          <w:lang w:bidi="fa-IR"/>
        </w:rPr>
        <w:t xml:space="preserve"> قم (انتشارات دفتر </w:t>
      </w:r>
      <w:proofErr w:type="spellStart"/>
      <w:r>
        <w:rPr>
          <w:rtl/>
          <w:lang w:bidi="fa-IR"/>
        </w:rPr>
        <w:t>تبليغات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اسلامى</w:t>
      </w:r>
      <w:proofErr w:type="spellEnd"/>
      <w:r>
        <w:rPr>
          <w:rtl/>
          <w:lang w:bidi="fa-IR"/>
        </w:rPr>
        <w:t xml:space="preserve"> حوزه </w:t>
      </w:r>
      <w:proofErr w:type="spellStart"/>
      <w:r>
        <w:rPr>
          <w:rtl/>
          <w:lang w:bidi="fa-IR"/>
        </w:rPr>
        <w:t>علميه</w:t>
      </w:r>
      <w:proofErr w:type="spellEnd"/>
      <w:r>
        <w:rPr>
          <w:rtl/>
          <w:lang w:bidi="fa-IR"/>
        </w:rPr>
        <w:t xml:space="preserve"> قم) - </w:t>
      </w:r>
      <w:proofErr w:type="spellStart"/>
      <w:r>
        <w:rPr>
          <w:rtl/>
          <w:lang w:bidi="fa-IR"/>
        </w:rPr>
        <w:t>ايران</w:t>
      </w:r>
      <w:proofErr w:type="spellEnd"/>
      <w:r>
        <w:rPr>
          <w:rtl/>
          <w:lang w:bidi="fa-IR"/>
        </w:rPr>
        <w:t xml:space="preserve"> - قم، چاپ: 1، 1378 </w:t>
      </w:r>
      <w:proofErr w:type="spellStart"/>
      <w:r>
        <w:rPr>
          <w:rtl/>
          <w:lang w:bidi="fa-IR"/>
        </w:rPr>
        <w:t>ه.ش</w:t>
      </w:r>
      <w:proofErr w:type="spellEnd"/>
      <w:r>
        <w:rPr>
          <w:rtl/>
          <w:lang w:bidi="fa-IR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43"/>
    <w:rsid w:val="00B00926"/>
    <w:rsid w:val="00C020D8"/>
    <w:rsid w:val="00E333C0"/>
    <w:rsid w:val="00E6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66A43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a4">
    <w:name w:val="متن پاورقی نویسه"/>
    <w:basedOn w:val="a0"/>
    <w:link w:val="a3"/>
    <w:uiPriority w:val="99"/>
    <w:semiHidden/>
    <w:rsid w:val="00E66A43"/>
    <w:rPr>
      <w:rFonts w:ascii="Traditional Arabic" w:hAnsi="Traditional Arabic" w:cs="Traditional Arabic"/>
      <w:sz w:val="20"/>
      <w:szCs w:val="20"/>
      <w:lang w:bidi="ar-SA"/>
    </w:rPr>
  </w:style>
  <w:style w:type="character" w:styleId="a5">
    <w:name w:val="footnote reference"/>
    <w:basedOn w:val="a0"/>
    <w:uiPriority w:val="99"/>
    <w:semiHidden/>
    <w:unhideWhenUsed/>
    <w:rsid w:val="00E66A43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E66A4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66A43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a4">
    <w:name w:val="متن پاورقی نویسه"/>
    <w:basedOn w:val="a0"/>
    <w:link w:val="a3"/>
    <w:uiPriority w:val="99"/>
    <w:semiHidden/>
    <w:rsid w:val="00E66A43"/>
    <w:rPr>
      <w:rFonts w:ascii="Traditional Arabic" w:hAnsi="Traditional Arabic" w:cs="Traditional Arabic"/>
      <w:sz w:val="20"/>
      <w:szCs w:val="20"/>
      <w:lang w:bidi="ar-SA"/>
    </w:rPr>
  </w:style>
  <w:style w:type="character" w:styleId="a5">
    <w:name w:val="footnote reference"/>
    <w:basedOn w:val="a0"/>
    <w:uiPriority w:val="99"/>
    <w:semiHidden/>
    <w:unhideWhenUsed/>
    <w:rsid w:val="00E66A43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E66A4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1243</Words>
  <Characters>7091</Characters>
  <Application>Microsoft Office Word</Application>
  <DocSecurity>0</DocSecurity>
  <Lines>59</Lines>
  <Paragraphs>16</Paragraphs>
  <ScaleCrop>false</ScaleCrop>
  <Company/>
  <LinksUpToDate>false</LinksUpToDate>
  <CharactersWithSpaces>8318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2018-07-09T13:12:00Z</dcterms:created>
  <dcterms:modified xsi:type="dcterms:W3CDTF">2018-07-09T13:44:00Z</dcterms:modified>
</cp:coreProperties>
</file>