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EC0" w:rsidRPr="00A702F6" w:rsidRDefault="00987EC0" w:rsidP="00A702F6">
      <w:pPr>
        <w:rPr>
          <w:b/>
          <w:bCs/>
          <w:rtl/>
        </w:rPr>
      </w:pPr>
      <w:bookmarkStart w:id="0" w:name="_GoBack"/>
      <w:r w:rsidRPr="00A702F6">
        <w:rPr>
          <w:rFonts w:cs="Arial"/>
          <w:b/>
          <w:bCs/>
          <w:rtl/>
        </w:rPr>
        <w:t xml:space="preserve">اثربخشي وعده الهي </w:t>
      </w:r>
    </w:p>
    <w:bookmarkEnd w:id="0"/>
    <w:p w:rsidR="00987EC0" w:rsidRDefault="00987EC0" w:rsidP="00A702F6">
      <w:pPr>
        <w:rPr>
          <w:rtl/>
        </w:rPr>
      </w:pPr>
      <w:r>
        <w:rPr>
          <w:rFonts w:cs="Arial"/>
          <w:rtl/>
        </w:rPr>
        <w:t>وعده وقتي اثربخش است كه وعده دهنده قادر بر انجاز آن باشد و چيزي از قلمرو علمي او بيرون نباشد و خداوند كه مالك نظام كيهاني است از يك سو: (ولِلّهِ ما فِي السَّماواتِ وما فِي الأرض) و مَلِك و فرمانرواي آن است از سوي ديگر: (تَبارَكَ الَّذي بِيَدِهِ المُلك)</w:t>
      </w:r>
      <w:r w:rsidR="00A702F6">
        <w:rPr>
          <w:rStyle w:val="FootnoteReference"/>
          <w:rFonts w:cs="Arial"/>
          <w:rtl/>
        </w:rPr>
        <w:footnoteReference w:id="1"/>
      </w:r>
      <w:r>
        <w:rPr>
          <w:rFonts w:cs="Arial"/>
          <w:rtl/>
        </w:rPr>
        <w:t xml:space="preserve"> و همه چيز در حوزه احاطه علمي وي قراردارد از سوي سوم: (وكانَ اللهُ بِكُلِّ شي‏ءٍ مُحيطا) وعده او قطعاً طمأنينه‏آور است، از اين رو آنچه در اين آيه آمده مي‏تواند ناظر به قدرت بر وفاي به وعده‏هاي الهي باشد.</w:t>
      </w:r>
    </w:p>
    <w:p w:rsidR="00987EC0" w:rsidRDefault="00987EC0" w:rsidP="00987EC0">
      <w:pPr>
        <w:rPr>
          <w:rtl/>
        </w:rPr>
      </w:pPr>
      <w:r>
        <w:rPr>
          <w:rFonts w:cs="Arial"/>
          <w:rtl/>
        </w:rPr>
        <w:t>بر پايه اينكه همه چيز از آنِ خداي دانا و تواناست، نه تنها او به همه وعده‏هايش وفا مي‏كند، بلكه مي‏تواند به وعيد و تهديدهاي خود نيز جامه عمل بپوشاند.</w:t>
      </w:r>
    </w:p>
    <w:p w:rsidR="00987EC0" w:rsidRDefault="00987EC0" w:rsidP="00987EC0">
      <w:pPr>
        <w:rPr>
          <w:rtl/>
        </w:rPr>
      </w:pPr>
      <w:r>
        <w:rPr>
          <w:rFonts w:cs="Arial"/>
          <w:rtl/>
        </w:rPr>
        <w:t>گفتني است كه هر چيزي كه هستي‏اش حدوثاً و بقائاً از خداست، شايسته و بايسته است كه از هستي‏بخش خود پيروي كند؛ وقتي نظام هستي در بندگي حضرت حق به سر مي‏برند، چرا انسان از كاروان بندگي حق بازماند؟</w:t>
      </w:r>
      <w:r w:rsidR="00A702F6">
        <w:rPr>
          <w:rStyle w:val="FootnoteReference"/>
          <w:rFonts w:cs="Arial"/>
          <w:rtl/>
        </w:rPr>
        <w:footnoteReference w:id="2"/>
      </w:r>
    </w:p>
    <w:p w:rsidR="00987EC0" w:rsidRPr="00A702F6" w:rsidRDefault="00987EC0" w:rsidP="00987EC0">
      <w:pPr>
        <w:rPr>
          <w:b/>
          <w:bCs/>
          <w:rtl/>
        </w:rPr>
      </w:pPr>
      <w:r w:rsidRPr="00A702F6">
        <w:rPr>
          <w:rFonts w:cs="Arial"/>
          <w:b/>
          <w:bCs/>
          <w:rtl/>
        </w:rPr>
        <w:t>احاطه قدرتي خدا بر هستي</w:t>
      </w:r>
    </w:p>
    <w:p w:rsidR="00987EC0" w:rsidRDefault="00987EC0" w:rsidP="00987EC0">
      <w:pPr>
        <w:rPr>
          <w:rtl/>
        </w:rPr>
      </w:pPr>
      <w:r>
        <w:rPr>
          <w:rFonts w:cs="Arial"/>
          <w:rtl/>
        </w:rPr>
        <w:t>هرچه مصداق شي‏ء باشد تحت احاطه وجودي پروردگار است، از اين رو اگر چيزي فعلاً موجود نبود يا موجود بود و فرضاً خارج از آسمان‏ها و زمين باشد، حتماً تحت احاطه خداوند خواهد بود، زيرا مقتضاي توحيد و نيز مستفاد از آيه مورد بحث همين است.</w:t>
      </w:r>
    </w:p>
    <w:p w:rsidR="00987EC0" w:rsidRDefault="00987EC0" w:rsidP="00987EC0">
      <w:pPr>
        <w:rPr>
          <w:rtl/>
        </w:rPr>
      </w:pPr>
      <w:r>
        <w:rPr>
          <w:rFonts w:cs="Arial"/>
          <w:rtl/>
        </w:rPr>
        <w:t>مراد از محيط در (وكانَ اللهُ بِكُلِّ شي‏ءٍ مُحيطا) احاطه قدرتي است نه علمي؛ و تكرار مفاد (ولِلّهِ ما فِي السَّماواتِ وما فِي الأرض) نيست. مالكيت غير از قدرت است، چنان‏كه مي‏فرمايد: (تَبارَكَ الَّذي بِيَدِهِ المُلكُ وهُوَ عَلي كُلِّ شي‏ءٍ قَدير)[1] كه جمله نخست نشان مالكيت مطلق خدا و جمله دوم بيانگر قدرت اوست، پس او با آنكه مالك است، مَلِك نيز هست.</w:t>
      </w:r>
    </w:p>
    <w:p w:rsidR="00987EC0" w:rsidRDefault="00987EC0" w:rsidP="00A702F6">
      <w:pPr>
        <w:rPr>
          <w:rtl/>
        </w:rPr>
      </w:pPr>
      <w:r>
        <w:rPr>
          <w:rFonts w:cs="Arial"/>
          <w:rtl/>
        </w:rPr>
        <w:t>به نقل فخر رازي، جمله (ولِلّهِ ما فِي السَّماواتِ وما فِي الأرض) بيانگر احاطه قدرتي و جمله (وكانَ اللهُ بِكُلِّ شي‏ءٍ مُحيطا) نشان احاطه علمي اوست؛ آن‏گاه در بيان علت تقديم قدرت خدا بر علم وي مي‏گويد: از راه فعل خدا، قدرت او را در مي‏يابيم، چون بر اساس برهان حدوث، از ديدن فعل با فاعل آشنا مي‏شويم، پس نخست توانايي آفريننده را مي‏فهميم؛ سپس از نظم شگفت جهان آفرينش، به علم او پي مي‏بريم، بنابراين اثبات قدرت پيش از اثبات علم است</w:t>
      </w:r>
      <w:r w:rsidR="00A702F6">
        <w:rPr>
          <w:rStyle w:val="FootnoteReference"/>
          <w:rFonts w:cs="Arial"/>
          <w:rtl/>
        </w:rPr>
        <w:footnoteReference w:id="3"/>
      </w:r>
      <w:r>
        <w:rPr>
          <w:rFonts w:cs="Arial"/>
          <w:rtl/>
        </w:rPr>
        <w:t>؛ ليكن حكيمان معمولاً بحث علم را پيش از قدرت مي‏آورند.</w:t>
      </w:r>
    </w:p>
    <w:p w:rsidR="00987EC0" w:rsidRDefault="00987EC0" w:rsidP="00987EC0">
      <w:pPr>
        <w:rPr>
          <w:rtl/>
        </w:rPr>
      </w:pPr>
      <w:r>
        <w:rPr>
          <w:rFonts w:cs="Arial"/>
          <w:rtl/>
        </w:rPr>
        <w:t>در حكمت براي اثبات اصل وجود خدا كمتر از برهان نظم مدد مي‏جويند؛ اما پس از اثبات واجب و توحيد، گاهي در اثبات اوصاف وي از آن برهان بهره مي‏گيرند، زيرا در حكمت و فلسفه، برهان نظم جايگاه عميقي ندارد و حكما از مجرد بودن ذات خدا، علم او را استنباط مي‏كنند؛يعني وقتي روشن شد كه خدا هست و مجرّد محض است و اين وجود مجرّد حجابي ندارد، پس هم خودش پيش خودش حاضر است و هم همه چيزهاي ديگر مشهود اوست.</w:t>
      </w:r>
    </w:p>
    <w:p w:rsidR="00987EC0" w:rsidRDefault="00987EC0" w:rsidP="00A702F6">
      <w:pPr>
        <w:rPr>
          <w:rtl/>
        </w:rPr>
      </w:pPr>
      <w:r>
        <w:rPr>
          <w:rFonts w:cs="Arial"/>
          <w:rtl/>
        </w:rPr>
        <w:t>محقق طوسي از راه تجرّد واجب، علم وي را ثابت مي‏كند و چون اراده از اوصاف كمال و به علم متّكي است، از مجموع اراده و علم به اثبات قدرت مي‏پردازد.</w:t>
      </w:r>
      <w:r w:rsidR="00A702F6">
        <w:rPr>
          <w:rStyle w:val="FootnoteReference"/>
          <w:rFonts w:cs="Arial"/>
          <w:rtl/>
        </w:rPr>
        <w:footnoteReference w:id="4"/>
      </w:r>
    </w:p>
    <w:p w:rsidR="00987EC0" w:rsidRDefault="00987EC0" w:rsidP="00A702F6">
      <w:pPr>
        <w:rPr>
          <w:rtl/>
        </w:rPr>
      </w:pPr>
      <w:r>
        <w:rPr>
          <w:rFonts w:cs="Arial"/>
          <w:rtl/>
        </w:rPr>
        <w:t>معمولاً در آيات قرآن نيز علم پيش از قدرت آمده است: (وما كانَ اللهُ</w:t>
      </w:r>
      <w:r w:rsidR="00A702F6">
        <w:rPr>
          <w:rFonts w:hint="cs"/>
          <w:rtl/>
        </w:rPr>
        <w:t xml:space="preserve"> </w:t>
      </w:r>
      <w:r>
        <w:rPr>
          <w:rFonts w:cs="Arial"/>
          <w:rtl/>
        </w:rPr>
        <w:t>لِيُعجِزَهُ مِن شي‏ءٍ فِي السَّماواتِ ولافِي الأرض إنَّهُ كانَ عَليماً قَديرا)[1]؛ (لِكَي لا يَعلَمَ بَعدَ عِلمٍ شيئاً إنَّ اللهَ عَليمٌ قَدير)[2] ولي چون توده مردم نخست از فعل به فاعل پي مي‏برند؛ سپس از راه نظم، عالم بودن فاعل را در مي‏يابند، آن راه (ذكر قدرت و سپس علم الهي) را نيز قرآن كريم نشان داده است، چنان‏كه پس از اشاره به آفرينش زمين و آسمان‏ها مي‏فرمايد: (لِتَعلَموا أن اللهَ عَلي كُلِّ شي‏ءٍ قَديرٌ وأن اللهَ قَد أحاطَ بِكُلِّ شي‏ءٍ عِلما).[3]</w:t>
      </w:r>
    </w:p>
    <w:p w:rsidR="00987EC0" w:rsidRDefault="00987EC0" w:rsidP="00A702F6">
      <w:pPr>
        <w:rPr>
          <w:rtl/>
        </w:rPr>
      </w:pPr>
      <w:r>
        <w:rPr>
          <w:rFonts w:cs="Arial"/>
          <w:rtl/>
        </w:rPr>
        <w:t>تذكّر: اوصاف ذاتي خداوند و اسماي حسناي الهي مفهوماً از هم جدا ولي مصداقاً عين هم‏اند و هيچ تقدّم ثبوتي بين علم خدا و قدرت او نيست و در مقام اثبات گاهي قدرت قبل از علم و زماني به عكس مطرح مي‏شود</w:t>
      </w:r>
      <w:r w:rsidR="00A702F6">
        <w:rPr>
          <w:rStyle w:val="FootnoteReference"/>
          <w:rFonts w:cs="Arial"/>
          <w:rtl/>
        </w:rPr>
        <w:footnoteReference w:id="5"/>
      </w:r>
      <w:r>
        <w:rPr>
          <w:rFonts w:cs="Arial"/>
          <w:rtl/>
        </w:rPr>
        <w:t>.</w:t>
      </w:r>
    </w:p>
    <w:p w:rsidR="00C020D8" w:rsidRDefault="00C020D8" w:rsidP="00987EC0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D6" w:rsidRDefault="00F80CD6" w:rsidP="00A702F6">
      <w:pPr>
        <w:spacing w:after="0" w:line="240" w:lineRule="auto"/>
      </w:pPr>
      <w:r>
        <w:separator/>
      </w:r>
    </w:p>
  </w:endnote>
  <w:endnote w:type="continuationSeparator" w:id="0">
    <w:p w:rsidR="00F80CD6" w:rsidRDefault="00F80CD6" w:rsidP="00A70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D6" w:rsidRDefault="00F80CD6" w:rsidP="00A702F6">
      <w:pPr>
        <w:spacing w:after="0" w:line="240" w:lineRule="auto"/>
      </w:pPr>
      <w:r>
        <w:separator/>
      </w:r>
    </w:p>
  </w:footnote>
  <w:footnote w:type="continuationSeparator" w:id="0">
    <w:p w:rsidR="00F80CD6" w:rsidRDefault="00F80CD6" w:rsidP="00A702F6">
      <w:pPr>
        <w:spacing w:after="0" w:line="240" w:lineRule="auto"/>
      </w:pPr>
      <w:r>
        <w:continuationSeparator/>
      </w:r>
    </w:p>
  </w:footnote>
  <w:footnote w:id="1">
    <w:p w:rsidR="00A702F6" w:rsidRDefault="00A702F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>
        <w:rPr>
          <w:rFonts w:cs="Arial"/>
          <w:rtl/>
        </w:rPr>
        <w:t xml:space="preserve"> سوره ملك، آيه 1.</w:t>
      </w:r>
    </w:p>
  </w:footnote>
  <w:footnote w:id="2">
    <w:p w:rsidR="00A702F6" w:rsidRDefault="00A702F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تسنيم، جلد 20صفحه 561</w:t>
      </w:r>
    </w:p>
  </w:footnote>
  <w:footnote w:id="3">
    <w:p w:rsidR="00A702F6" w:rsidRDefault="00A702F6" w:rsidP="00A702F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التفسير الكبير، مج6، ج11، ص61 ـ 62.</w:t>
      </w:r>
    </w:p>
  </w:footnote>
  <w:footnote w:id="4">
    <w:p w:rsidR="00A702F6" w:rsidRDefault="00A702F6" w:rsidP="00A702F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كشف المراد، ص284.</w:t>
      </w:r>
    </w:p>
  </w:footnote>
  <w:footnote w:id="5">
    <w:p w:rsidR="00A702F6" w:rsidRDefault="00A702F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تسنيم، جلد 20صفحه 563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C0"/>
    <w:rsid w:val="00987EC0"/>
    <w:rsid w:val="00A702F6"/>
    <w:rsid w:val="00C020D8"/>
    <w:rsid w:val="00E333C0"/>
    <w:rsid w:val="00F8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0BE57"/>
  <w15:docId w15:val="{053AC96C-2CFB-45FA-92D6-640FBF9E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702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2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0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2018-07-09T10:31:00Z</dcterms:created>
  <dcterms:modified xsi:type="dcterms:W3CDTF">2018-08-06T06:08:00Z</dcterms:modified>
</cp:coreProperties>
</file>