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111C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و چهل روایت بر </w:t>
      </w:r>
      <w:proofErr w:type="spellStart"/>
      <w:r w:rsidR="00B111CF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 امیرالمومنین (ع)</w:t>
      </w:r>
    </w:p>
    <w:p w:rsidR="009D748E" w:rsidRDefault="00796EE5" w:rsidP="00796EE5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>
        <w:rPr>
          <w:rFonts w:cs="B Mitra" w:hint="cs"/>
          <w:color w:val="FF0000"/>
          <w:sz w:val="28"/>
          <w:szCs w:val="28"/>
          <w:rtl/>
          <w:lang w:bidi="fa-IR"/>
        </w:rPr>
        <w:t xml:space="preserve">حدیث 30 از مراجعه 48 </w:t>
      </w:r>
    </w:p>
    <w:p w:rsidR="00796EE5" w:rsidRDefault="00796EE5" w:rsidP="008D1F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 w:rsidRPr="00796EE5">
        <w:rPr>
          <w:rFonts w:cs="B Mitra" w:hint="cs"/>
          <w:sz w:val="28"/>
          <w:szCs w:val="28"/>
          <w:rtl/>
          <w:lang w:bidi="fa-IR"/>
        </w:rPr>
        <w:t xml:space="preserve">در این روایت پیامبر اکرم (ص) </w:t>
      </w:r>
      <w:r>
        <w:rPr>
          <w:rFonts w:cs="B Mitra" w:hint="cs"/>
          <w:sz w:val="28"/>
          <w:szCs w:val="28"/>
          <w:rtl/>
          <w:lang w:bidi="fa-IR"/>
        </w:rPr>
        <w:t xml:space="preserve">به امیرالمومنین (ع) فرمود: </w:t>
      </w:r>
      <w:r w:rsidRPr="00796EE5">
        <w:rPr>
          <w:rFonts w:cs="B Mitra"/>
          <w:sz w:val="28"/>
          <w:szCs w:val="28"/>
          <w:rtl/>
          <w:lang w:bidi="fa-IR"/>
        </w:rPr>
        <w:t>«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يا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796EE5">
        <w:rPr>
          <w:rFonts w:cs="B Mitra" w:hint="cs"/>
          <w:sz w:val="28"/>
          <w:szCs w:val="28"/>
          <w:rtl/>
          <w:lang w:bidi="fa-IR"/>
        </w:rPr>
        <w:t>،</w:t>
      </w:r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r w:rsidRPr="00796EE5">
        <w:rPr>
          <w:rFonts w:cs="B Mitra" w:hint="cs"/>
          <w:sz w:val="28"/>
          <w:szCs w:val="28"/>
          <w:rtl/>
          <w:lang w:bidi="fa-IR"/>
        </w:rPr>
        <w:t>لا</w:t>
      </w:r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يحل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لأحد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يجنب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المسجد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غيري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r w:rsidRPr="00796EE5">
        <w:rPr>
          <w:rFonts w:cs="B Mitra" w:hint="cs"/>
          <w:sz w:val="28"/>
          <w:szCs w:val="28"/>
          <w:rtl/>
          <w:lang w:bidi="fa-IR"/>
        </w:rPr>
        <w:t>و</w:t>
      </w:r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غيرك</w:t>
      </w:r>
      <w:proofErr w:type="spellEnd"/>
      <w:r w:rsidRPr="00796EE5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Fonts w:cs="B Mitra" w:hint="cs"/>
          <w:sz w:val="28"/>
          <w:szCs w:val="28"/>
          <w:rtl/>
          <w:lang w:bidi="fa-IR"/>
        </w:rPr>
        <w:t xml:space="preserve">: ای علی برای جز من و تو جایز نیست کسی در این مسجد جنب باشد. مانند همین روایت است آنچه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طبرانی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ام سلمه از بزار </w:t>
      </w:r>
      <w:r w:rsidR="008D1F14">
        <w:rPr>
          <w:rFonts w:cs="B Mitra" w:hint="cs"/>
          <w:sz w:val="28"/>
          <w:szCs w:val="28"/>
          <w:rtl/>
          <w:lang w:bidi="fa-IR"/>
        </w:rPr>
        <w:t xml:space="preserve">نقل کرده که پیامبر خدا (ص) فرمود: </w:t>
      </w:r>
      <w:r w:rsidRPr="00796EE5">
        <w:rPr>
          <w:rFonts w:cs="B Mitra"/>
          <w:sz w:val="28"/>
          <w:szCs w:val="28"/>
          <w:rtl/>
          <w:lang w:bidi="fa-IR"/>
        </w:rPr>
        <w:t>«</w:t>
      </w:r>
      <w:r w:rsidRPr="00796EE5">
        <w:rPr>
          <w:rFonts w:cs="B Mitra" w:hint="cs"/>
          <w:sz w:val="28"/>
          <w:szCs w:val="28"/>
          <w:rtl/>
          <w:lang w:bidi="fa-IR"/>
        </w:rPr>
        <w:t>لا</w:t>
      </w:r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يحل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لأحد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يجنب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في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المسجد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إلّا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أنا</w:t>
      </w:r>
      <w:proofErr w:type="spellEnd"/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r w:rsidRPr="00796EE5">
        <w:rPr>
          <w:rFonts w:cs="B Mitra" w:hint="cs"/>
          <w:sz w:val="28"/>
          <w:szCs w:val="28"/>
          <w:rtl/>
          <w:lang w:bidi="fa-IR"/>
        </w:rPr>
        <w:t>و</w:t>
      </w:r>
      <w:r w:rsidRPr="00796EE5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796EE5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796EE5">
        <w:rPr>
          <w:rFonts w:cs="B Mitra" w:hint="eastAsia"/>
          <w:sz w:val="28"/>
          <w:szCs w:val="28"/>
          <w:rtl/>
          <w:lang w:bidi="fa-IR"/>
        </w:rPr>
        <w:t>»</w:t>
      </w:r>
      <w:r w:rsidR="008D1F14"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796EE5" w:rsidRDefault="00796EE5" w:rsidP="008D1F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علامه شرف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فرماید این حدیث را ابن حجر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الصواعق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نقل کرده است. و درباره </w:t>
      </w:r>
      <w:r w:rsidR="008D1F14">
        <w:rPr>
          <w:rFonts w:cs="B Mitra" w:hint="cs"/>
          <w:sz w:val="28"/>
          <w:szCs w:val="28"/>
          <w:rtl/>
          <w:lang w:bidi="fa-IR"/>
        </w:rPr>
        <w:t xml:space="preserve">آن به مطالبی که </w:t>
      </w:r>
      <w:r>
        <w:rPr>
          <w:rFonts w:cs="B Mitra" w:hint="cs"/>
          <w:sz w:val="28"/>
          <w:szCs w:val="28"/>
          <w:rtl/>
          <w:lang w:bidi="fa-IR"/>
        </w:rPr>
        <w:t xml:space="preserve">در مراجعه 34 در این خصوص بیان شده رجوع شود، زیرا در آنجا روایات مربوط به آنجا بیان شده است. وی در آنجا این حدیث را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المسند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احمد 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حنبل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و سنن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ترمذی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المستدرک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حاکم نیشابوری،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کنز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العمال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متقی هندی، صواعق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المحرقه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ابن حجر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مکی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المناقب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المغازلی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ینابیع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الموده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قندوزی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حنفی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از 17 نفر از صحابه نقل کرده است. </w:t>
      </w:r>
    </w:p>
    <w:p w:rsidR="00796EE5" w:rsidRDefault="00B575C3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مورد سند این روایت به همان جا رجوع کنید اما در مورد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مدلول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آن نکاتی است که بیان آنها سودمند است.</w:t>
      </w:r>
    </w:p>
    <w:p w:rsidR="00B575C3" w:rsidRDefault="00B575C3" w:rsidP="008D1F14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1. مقصود </w:t>
      </w:r>
      <w:r w:rsidR="008D1F14">
        <w:rPr>
          <w:rFonts w:cs="B Mitra" w:hint="cs"/>
          <w:sz w:val="28"/>
          <w:szCs w:val="28"/>
          <w:rtl/>
          <w:lang w:bidi="fa-IR"/>
        </w:rPr>
        <w:t xml:space="preserve">از این روایت </w:t>
      </w:r>
      <w:r>
        <w:rPr>
          <w:rFonts w:cs="B Mitra" w:hint="cs"/>
          <w:sz w:val="28"/>
          <w:szCs w:val="28"/>
          <w:rtl/>
          <w:lang w:bidi="fa-IR"/>
        </w:rPr>
        <w:t xml:space="preserve">این نیست که </w:t>
      </w:r>
      <w:r w:rsidR="008D1F14">
        <w:rPr>
          <w:rFonts w:cs="B Mitra" w:hint="cs"/>
          <w:sz w:val="28"/>
          <w:szCs w:val="28"/>
          <w:rtl/>
          <w:lang w:bidi="fa-IR"/>
        </w:rPr>
        <w:t xml:space="preserve">پیامبر اکرم (ص) و امیرالمومنین (ع) </w:t>
      </w:r>
      <w:r>
        <w:rPr>
          <w:rFonts w:cs="B Mitra" w:hint="cs"/>
          <w:sz w:val="28"/>
          <w:szCs w:val="28"/>
          <w:rtl/>
          <w:lang w:bidi="fa-IR"/>
        </w:rPr>
        <w:t xml:space="preserve">داخل </w:t>
      </w:r>
      <w:r w:rsidR="008D1F14">
        <w:rPr>
          <w:rFonts w:cs="B Mitra" w:hint="cs"/>
          <w:sz w:val="28"/>
          <w:szCs w:val="28"/>
          <w:rtl/>
          <w:lang w:bidi="fa-IR"/>
        </w:rPr>
        <w:t xml:space="preserve">مسجد </w:t>
      </w:r>
      <w:r>
        <w:rPr>
          <w:rFonts w:cs="B Mitra" w:hint="cs"/>
          <w:sz w:val="28"/>
          <w:szCs w:val="28"/>
          <w:rtl/>
          <w:lang w:bidi="fa-IR"/>
        </w:rPr>
        <w:t>ساکن شوند و جنابت در همان جا واقع شود</w:t>
      </w:r>
      <w:r w:rsidR="008D1F14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بلکه مقصود این است که با حال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جنابتی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در محل سکونت عارض شده، با همان حال وارد مسجد شوند. شاید وجه این تعبیر این است که چون خانه پیامبر (ص) و امیرالمومنین (ع) متصل به مسجد بود و درب آن به سوی مسجد باز می شد، در روایت تعبیر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یجنب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فی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المسجد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» آمده است.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ترمذی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سنن خود </w:t>
      </w:r>
      <w:r w:rsidR="008D1F14">
        <w:rPr>
          <w:rFonts w:cs="B Mitra" w:hint="cs"/>
          <w:sz w:val="28"/>
          <w:szCs w:val="28"/>
          <w:rtl/>
          <w:lang w:bidi="fa-IR"/>
        </w:rPr>
        <w:t xml:space="preserve">و </w:t>
      </w:r>
      <w:r w:rsidR="00D906AB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D906AB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D906AB">
        <w:rPr>
          <w:rFonts w:cs="B Mitra" w:hint="cs"/>
          <w:sz w:val="28"/>
          <w:szCs w:val="28"/>
          <w:rtl/>
          <w:lang w:bidi="fa-IR"/>
        </w:rPr>
        <w:t>قرطبی</w:t>
      </w:r>
      <w:proofErr w:type="spellEnd"/>
      <w:r w:rsidR="00D906AB">
        <w:rPr>
          <w:rFonts w:cs="B Mitra" w:hint="cs"/>
          <w:sz w:val="28"/>
          <w:szCs w:val="28"/>
          <w:rtl/>
          <w:lang w:bidi="fa-IR"/>
        </w:rPr>
        <w:t xml:space="preserve"> در </w:t>
      </w:r>
      <w:proofErr w:type="spellStart"/>
      <w:r w:rsidR="00D906AB">
        <w:rPr>
          <w:rFonts w:cs="B Mitra" w:hint="cs"/>
          <w:sz w:val="28"/>
          <w:szCs w:val="28"/>
          <w:rtl/>
          <w:lang w:bidi="fa-IR"/>
        </w:rPr>
        <w:t>الجامع</w:t>
      </w:r>
      <w:proofErr w:type="spellEnd"/>
      <w:r w:rsidR="00D906AB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D906AB">
        <w:rPr>
          <w:rFonts w:cs="B Mitra" w:hint="cs"/>
          <w:sz w:val="28"/>
          <w:szCs w:val="28"/>
          <w:rtl/>
          <w:lang w:bidi="fa-IR"/>
        </w:rPr>
        <w:t>لاحکام</w:t>
      </w:r>
      <w:proofErr w:type="spellEnd"/>
      <w:r w:rsidR="00D906AB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D906AB">
        <w:rPr>
          <w:rFonts w:cs="B Mitra" w:hint="cs"/>
          <w:sz w:val="28"/>
          <w:szCs w:val="28"/>
          <w:rtl/>
          <w:lang w:bidi="fa-IR"/>
        </w:rPr>
        <w:t>القرآن</w:t>
      </w:r>
      <w:proofErr w:type="spellEnd"/>
      <w:r w:rsidR="00D906AB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D906AB">
        <w:rPr>
          <w:rFonts w:cs="B Mitra" w:hint="cs"/>
          <w:sz w:val="28"/>
          <w:szCs w:val="28"/>
          <w:rtl/>
          <w:lang w:bidi="fa-IR"/>
        </w:rPr>
        <w:t xml:space="preserve"> این مطلب را </w:t>
      </w:r>
      <w:r w:rsidR="008D1F14">
        <w:rPr>
          <w:rFonts w:cs="B Mitra" w:hint="cs"/>
          <w:sz w:val="28"/>
          <w:szCs w:val="28"/>
          <w:rtl/>
          <w:lang w:bidi="fa-IR"/>
        </w:rPr>
        <w:t xml:space="preserve">بعد از نقل روایت </w:t>
      </w:r>
      <w:r w:rsidR="00D906AB">
        <w:rPr>
          <w:rFonts w:cs="B Mitra" w:hint="cs"/>
          <w:sz w:val="28"/>
          <w:szCs w:val="28"/>
          <w:rtl/>
          <w:lang w:bidi="fa-IR"/>
        </w:rPr>
        <w:t xml:space="preserve">بیان کرده </w:t>
      </w:r>
      <w:proofErr w:type="spellStart"/>
      <w:r w:rsidR="00D906AB">
        <w:rPr>
          <w:rFonts w:cs="B Mitra" w:hint="cs"/>
          <w:sz w:val="28"/>
          <w:szCs w:val="28"/>
          <w:rtl/>
          <w:lang w:bidi="fa-IR"/>
        </w:rPr>
        <w:t>ا</w:t>
      </w:r>
      <w:r w:rsidR="008D1F14">
        <w:rPr>
          <w:rFonts w:cs="B Mitra" w:hint="cs"/>
          <w:sz w:val="28"/>
          <w:szCs w:val="28"/>
          <w:rtl/>
          <w:lang w:bidi="fa-IR"/>
        </w:rPr>
        <w:t>ند</w:t>
      </w:r>
      <w:proofErr w:type="spellEnd"/>
      <w:r w:rsidR="00D906AB">
        <w:rPr>
          <w:rFonts w:cs="B Mitra" w:hint="cs"/>
          <w:sz w:val="28"/>
          <w:szCs w:val="28"/>
          <w:rtl/>
          <w:lang w:bidi="fa-IR"/>
        </w:rPr>
        <w:t>.</w:t>
      </w:r>
    </w:p>
    <w:p w:rsidR="00D906AB" w:rsidRDefault="00D906AB" w:rsidP="00460002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2. همان طور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قرطبی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گفته است پیامبر اکرم (ص) از سوی خدای متعال احکام ویژه ای داشته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دو مورد از آنها بازکردن درب خانه به مسجد و جواز ورود به مسجد در حال جنابت بوده است. آن حضرت به دستور خداوند متعال علی (ع) را در این حکم شریک خود نمودند.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قرطبی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گوید: «</w:t>
      </w:r>
      <w:r w:rsidR="00460002">
        <w:rPr>
          <w:rFonts w:cs="B Mitra" w:hint="cs"/>
          <w:sz w:val="28"/>
          <w:szCs w:val="28"/>
          <w:rtl/>
          <w:lang w:bidi="fa-IR"/>
        </w:rPr>
        <w:t xml:space="preserve">و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یجوز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أن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یکون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ذلک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تخصیصا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لهما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و قد کان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النبی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(ص)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خصّ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باشیاء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یکون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هذا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مما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خص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به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ثم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خص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النبی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(ص) علیا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فرخص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له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فیما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لم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یرخص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فیه</w:t>
      </w:r>
      <w:proofErr w:type="spellEnd"/>
      <w:r w:rsidR="00460002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460002">
        <w:rPr>
          <w:rFonts w:cs="B Mitra" w:hint="cs"/>
          <w:sz w:val="28"/>
          <w:szCs w:val="28"/>
          <w:rtl/>
          <w:lang w:bidi="fa-IR"/>
        </w:rPr>
        <w:t>لغیره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 w:rsidR="00460002">
        <w:rPr>
          <w:rFonts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</w:p>
    <w:p w:rsidR="00460002" w:rsidRDefault="00460002" w:rsidP="0061643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نکته مهم در این باره این است که اختصاص این حکم به پیامبر (ص) و امیرالمومنین (ع) از باب تخصص بوده است نه تخصیص. به این معنا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خباثتی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از نظر جسمی و روحی برای انسان </w:t>
      </w:r>
      <w:r w:rsidR="00616437">
        <w:rPr>
          <w:rFonts w:cs="B Mitra" w:hint="cs"/>
          <w:sz w:val="28"/>
          <w:szCs w:val="28"/>
          <w:rtl/>
          <w:lang w:bidi="fa-IR"/>
        </w:rPr>
        <w:t xml:space="preserve">در اثر جنابت </w:t>
      </w:r>
      <w:r>
        <w:rPr>
          <w:rFonts w:cs="B Mitra" w:hint="cs"/>
          <w:sz w:val="28"/>
          <w:szCs w:val="28"/>
          <w:rtl/>
          <w:lang w:bidi="fa-IR"/>
        </w:rPr>
        <w:t xml:space="preserve">حاصل می شود و آن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خباثت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مناسب مسجد و خانه خداوند نیست، این عارضه برای این دو بزرگوار حاصل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شده و لذا </w:t>
      </w:r>
      <w:proofErr w:type="spellStart"/>
      <w:r w:rsidR="00616437">
        <w:rPr>
          <w:rFonts w:cs="B Mitra" w:hint="cs"/>
          <w:sz w:val="28"/>
          <w:szCs w:val="28"/>
          <w:rtl/>
          <w:lang w:bidi="fa-IR"/>
        </w:rPr>
        <w:t>واردن</w:t>
      </w:r>
      <w:proofErr w:type="spellEnd"/>
      <w:r w:rsidR="00616437">
        <w:rPr>
          <w:rFonts w:cs="B Mitra" w:hint="cs"/>
          <w:sz w:val="28"/>
          <w:szCs w:val="28"/>
          <w:rtl/>
          <w:lang w:bidi="fa-IR"/>
        </w:rPr>
        <w:t xml:space="preserve"> شدن آنها با این حال به مسجد </w:t>
      </w:r>
      <w:r>
        <w:rPr>
          <w:rFonts w:cs="B Mitra" w:hint="cs"/>
          <w:sz w:val="28"/>
          <w:szCs w:val="28"/>
          <w:rtl/>
          <w:lang w:bidi="fa-IR"/>
        </w:rPr>
        <w:t xml:space="preserve">با قداست و طهارت </w:t>
      </w:r>
      <w:r w:rsidR="00616437">
        <w:rPr>
          <w:rFonts w:cs="B Mitra" w:hint="cs"/>
          <w:sz w:val="28"/>
          <w:szCs w:val="28"/>
          <w:rtl/>
          <w:lang w:bidi="fa-IR"/>
        </w:rPr>
        <w:lastRenderedPageBreak/>
        <w:t xml:space="preserve">آنجا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منافاتی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نداشته است. موید این مطلب آن است که امام علی (ع) در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احتجاح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با شورای خلافت، دستور ویژه پیامبر اکرم (ص) درباره باز بودن درب خانه ایشان به مسجد و جایز بودن وارد شدن ایشان با حال جنابت به مسجد را یادآور شدند و این را مترتب بر آیه تطهیر نمود</w:t>
      </w:r>
      <w:r w:rsidR="00616437">
        <w:rPr>
          <w:rFonts w:cs="B Mitra" w:hint="cs"/>
          <w:sz w:val="28"/>
          <w:szCs w:val="28"/>
          <w:rtl/>
          <w:lang w:bidi="fa-IR"/>
        </w:rPr>
        <w:t xml:space="preserve">ه </w:t>
      </w:r>
      <w:r>
        <w:rPr>
          <w:rFonts w:cs="B Mitra" w:hint="cs"/>
          <w:sz w:val="28"/>
          <w:szCs w:val="28"/>
          <w:rtl/>
          <w:lang w:bidi="fa-IR"/>
        </w:rPr>
        <w:t>فرمودند: «</w:t>
      </w:r>
      <w:r w:rsidRPr="00460002">
        <w:rPr>
          <w:rFonts w:cs="B Mitra" w:hint="cs"/>
          <w:sz w:val="28"/>
          <w:szCs w:val="28"/>
          <w:rtl/>
          <w:lang w:bidi="fa-IR"/>
        </w:rPr>
        <w:t>أ</w:t>
      </w:r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فيكم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أحد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يطهّر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كتاب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غيري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حتّى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سدّ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النبيّ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صلّى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اللّه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عليه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r w:rsidRPr="00460002">
        <w:rPr>
          <w:rFonts w:cs="B Mitra" w:hint="cs"/>
          <w:sz w:val="28"/>
          <w:szCs w:val="28"/>
          <w:rtl/>
          <w:lang w:bidi="fa-IR"/>
        </w:rPr>
        <w:t>و</w:t>
      </w:r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آله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أبواب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المهاجرين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جميعا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r w:rsidRPr="00460002">
        <w:rPr>
          <w:rFonts w:cs="B Mitra" w:hint="cs"/>
          <w:sz w:val="28"/>
          <w:szCs w:val="28"/>
          <w:rtl/>
          <w:lang w:bidi="fa-IR"/>
        </w:rPr>
        <w:t>و</w:t>
      </w:r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r w:rsidRPr="00460002">
        <w:rPr>
          <w:rFonts w:cs="B Mitra" w:hint="cs"/>
          <w:sz w:val="28"/>
          <w:szCs w:val="28"/>
          <w:rtl/>
          <w:lang w:bidi="fa-IR"/>
        </w:rPr>
        <w:t>فتح</w:t>
      </w:r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بابي</w:t>
      </w:r>
      <w:proofErr w:type="spellEnd"/>
      <w:r w:rsidRPr="00460002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460002">
        <w:rPr>
          <w:rFonts w:cs="B Mitra" w:hint="cs"/>
          <w:sz w:val="28"/>
          <w:szCs w:val="28"/>
          <w:rtl/>
          <w:lang w:bidi="fa-IR"/>
        </w:rPr>
        <w:t>إليه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</w:p>
    <w:p w:rsidR="00796EE5" w:rsidRDefault="00460002" w:rsidP="0061643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برخی از محققان به این نکته (جواز ورود اینان به مسجد در حال جنابت، به خاطر عارض نشدن عوارض جنابت) توجه کرده و آن را بیان کرده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. علامه شیخ محمد مظفر در کتاب دلائل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الصدق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3B6DFF">
        <w:rPr>
          <w:rFonts w:cs="B Mitra" w:hint="cs"/>
          <w:sz w:val="28"/>
          <w:szCs w:val="28"/>
          <w:rtl/>
          <w:lang w:bidi="fa-IR"/>
        </w:rPr>
        <w:t xml:space="preserve"> گفته است این ویژگی برای ایشان صرفا یک فضیلت اعتباری نبود بلکه یک فضیلت تکوینی است و دلالت بر طهارت آن حضرت دارد به گونه ای که برای امیرالمومنین (ع) </w:t>
      </w:r>
      <w:proofErr w:type="spellStart"/>
      <w:r w:rsidR="003B6DFF">
        <w:rPr>
          <w:rFonts w:cs="B Mitra" w:hint="cs"/>
          <w:sz w:val="28"/>
          <w:szCs w:val="28"/>
          <w:rtl/>
          <w:lang w:bidi="fa-IR"/>
        </w:rPr>
        <w:t>جائز</w:t>
      </w:r>
      <w:proofErr w:type="spellEnd"/>
      <w:r w:rsidR="003B6DFF">
        <w:rPr>
          <w:rFonts w:cs="B Mitra" w:hint="cs"/>
          <w:sz w:val="28"/>
          <w:szCs w:val="28"/>
          <w:rtl/>
          <w:lang w:bidi="fa-IR"/>
        </w:rPr>
        <w:t xml:space="preserve"> بود در حال جنابت وارد مسجد شده و در آن بخوابد همان گونه که برای پیامبر اکرم (ص) جایز بود زیرا غرض عمده از بسته شدن درب ها به مسجد این بود که مسجد از </w:t>
      </w:r>
      <w:proofErr w:type="spellStart"/>
      <w:r w:rsidR="003B6DFF">
        <w:rPr>
          <w:rFonts w:cs="B Mitra" w:hint="cs"/>
          <w:sz w:val="28"/>
          <w:szCs w:val="28"/>
          <w:rtl/>
          <w:lang w:bidi="fa-IR"/>
        </w:rPr>
        <w:t>مکروهات</w:t>
      </w:r>
      <w:proofErr w:type="spellEnd"/>
      <w:r w:rsidR="003B6DFF">
        <w:rPr>
          <w:rFonts w:cs="B Mitra" w:hint="cs"/>
          <w:sz w:val="28"/>
          <w:szCs w:val="28"/>
          <w:rtl/>
          <w:lang w:bidi="fa-IR"/>
        </w:rPr>
        <w:t xml:space="preserve"> و آنچه مربوط به خانه است پیراسته باشد.</w:t>
      </w:r>
      <w:r w:rsidR="003B6DFF"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</w:p>
    <w:p w:rsidR="00796EE5" w:rsidRDefault="003B6DFF" w:rsidP="00AD2D97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علامه امینی نیز در کتاب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الغدیر</w:t>
      </w:r>
      <w:proofErr w:type="spellEnd"/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>
        <w:rPr>
          <w:rFonts w:cs="B Mitra" w:hint="cs"/>
          <w:sz w:val="28"/>
          <w:szCs w:val="28"/>
          <w:rtl/>
          <w:lang w:bidi="fa-IR"/>
        </w:rPr>
        <w:t xml:space="preserve"> این بحث را بیان کرده و به آیه تطهیر</w:t>
      </w:r>
      <w:r w:rsidR="00AD2D97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روایت ابن عباس </w:t>
      </w:r>
      <w:r w:rsidR="00AD2D97">
        <w:rPr>
          <w:rFonts w:cs="B Mitra" w:hint="cs"/>
          <w:sz w:val="28"/>
          <w:szCs w:val="28"/>
          <w:rtl/>
          <w:lang w:bidi="fa-IR"/>
        </w:rPr>
        <w:t xml:space="preserve">و احتجاج امیرالمومنین (ع) در شورای خلافت </w:t>
      </w:r>
      <w:r>
        <w:rPr>
          <w:rFonts w:cs="B Mitra" w:hint="cs"/>
          <w:sz w:val="28"/>
          <w:szCs w:val="28"/>
          <w:rtl/>
          <w:lang w:bidi="fa-IR"/>
        </w:rPr>
        <w:t xml:space="preserve">استناد کرده است. در روایت ابن عباس آمده است پیامبر اکرم (ص) به امیرالمومنین (ع) فرمود: موسی (ع) از خداوند خواست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مسجدش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برای هارون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ذریه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اش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طاهر گرداند و من هم از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پروردگارم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خواسته ام که مسجد را برای من و تو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ذریه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تو پاکیزه نماید.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  <w:r>
        <w:rPr>
          <w:rFonts w:cs="B Mitra" w:hint="cs"/>
          <w:sz w:val="28"/>
          <w:szCs w:val="28"/>
          <w:rtl/>
          <w:lang w:bidi="fa-IR"/>
        </w:rPr>
        <w:t xml:space="preserve"> این به معنای آن است که این ویژگی جنبه تکوینی داشت</w:t>
      </w:r>
      <w:r w:rsidR="00AD2D97">
        <w:rPr>
          <w:rFonts w:cs="B Mitra" w:hint="cs"/>
          <w:sz w:val="28"/>
          <w:szCs w:val="28"/>
          <w:rtl/>
          <w:lang w:bidi="fa-IR"/>
        </w:rPr>
        <w:t>ه</w:t>
      </w:r>
      <w:r>
        <w:rPr>
          <w:rFonts w:cs="B Mitra" w:hint="cs"/>
          <w:sz w:val="28"/>
          <w:szCs w:val="28"/>
          <w:rtl/>
          <w:lang w:bidi="fa-IR"/>
        </w:rPr>
        <w:t xml:space="preserve"> و عوارض بشری باعث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شد حالت روحی و معنوی آنها بهم بخورد. </w:t>
      </w:r>
    </w:p>
    <w:p w:rsidR="00796EE5" w:rsidRDefault="004B4452" w:rsidP="00DA36F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3. نحوه دلالت این حدیث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چنین است که </w:t>
      </w:r>
      <w:r w:rsidR="00DB4C27">
        <w:rPr>
          <w:rFonts w:cs="B Mitra" w:hint="cs"/>
          <w:sz w:val="28"/>
          <w:szCs w:val="28"/>
          <w:rtl/>
          <w:lang w:bidi="fa-IR"/>
        </w:rPr>
        <w:t xml:space="preserve">این روایت بر </w:t>
      </w:r>
      <w:proofErr w:type="spellStart"/>
      <w:r w:rsidR="00DB4C27">
        <w:rPr>
          <w:rFonts w:cs="B Mitra" w:hint="cs"/>
          <w:sz w:val="28"/>
          <w:szCs w:val="28"/>
          <w:rtl/>
          <w:lang w:bidi="fa-IR"/>
        </w:rPr>
        <w:t>افضلیت</w:t>
      </w:r>
      <w:proofErr w:type="spellEnd"/>
      <w:r w:rsidR="00DB4C27">
        <w:rPr>
          <w:rFonts w:cs="B Mitra" w:hint="cs"/>
          <w:sz w:val="28"/>
          <w:szCs w:val="28"/>
          <w:rtl/>
          <w:lang w:bidi="fa-IR"/>
        </w:rPr>
        <w:t xml:space="preserve"> و عصمت آن حضرت دلالت می کند زیرا بیان می کند که مقام و مرتبه روحی امیرالمومنین (ع) همانند مقام و مرتبه روحی پیامبر (ص) است و در نتیجه همانند ایشان از </w:t>
      </w:r>
      <w:proofErr w:type="spellStart"/>
      <w:r w:rsidR="00DB4C27">
        <w:rPr>
          <w:rFonts w:cs="B Mitra" w:hint="cs"/>
          <w:sz w:val="28"/>
          <w:szCs w:val="28"/>
          <w:rtl/>
          <w:lang w:bidi="fa-IR"/>
        </w:rPr>
        <w:t>افضلیت</w:t>
      </w:r>
      <w:proofErr w:type="spellEnd"/>
      <w:r w:rsidR="00DB4C27">
        <w:rPr>
          <w:rFonts w:cs="B Mitra" w:hint="cs"/>
          <w:sz w:val="28"/>
          <w:szCs w:val="28"/>
          <w:rtl/>
          <w:lang w:bidi="fa-IR"/>
        </w:rPr>
        <w:t xml:space="preserve"> و عصمت هم برخوردار </w:t>
      </w:r>
      <w:r w:rsidR="00DA36F1">
        <w:rPr>
          <w:rFonts w:cs="B Mitra" w:hint="cs"/>
          <w:sz w:val="28"/>
          <w:szCs w:val="28"/>
          <w:rtl/>
          <w:lang w:bidi="fa-IR"/>
        </w:rPr>
        <w:t xml:space="preserve">است. </w:t>
      </w:r>
      <w:r w:rsidR="00DB4C27">
        <w:rPr>
          <w:rFonts w:cs="B Mitra" w:hint="cs"/>
          <w:sz w:val="28"/>
          <w:szCs w:val="28"/>
          <w:rtl/>
          <w:lang w:bidi="fa-IR"/>
        </w:rPr>
        <w:t xml:space="preserve">و از آنجا که </w:t>
      </w:r>
      <w:proofErr w:type="spellStart"/>
      <w:r w:rsidR="00DB4C27">
        <w:rPr>
          <w:rFonts w:cs="B Mitra" w:hint="cs"/>
          <w:sz w:val="28"/>
          <w:szCs w:val="28"/>
          <w:rtl/>
          <w:lang w:bidi="fa-IR"/>
        </w:rPr>
        <w:t>افضلیت</w:t>
      </w:r>
      <w:proofErr w:type="spellEnd"/>
      <w:r w:rsidR="00DB4C27">
        <w:rPr>
          <w:rFonts w:cs="B Mitra" w:hint="cs"/>
          <w:sz w:val="28"/>
          <w:szCs w:val="28"/>
          <w:rtl/>
          <w:lang w:bidi="fa-IR"/>
        </w:rPr>
        <w:t xml:space="preserve"> شرط </w:t>
      </w:r>
      <w:proofErr w:type="spellStart"/>
      <w:r w:rsidR="00DB4C27"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 w:rsidR="00DB4C27">
        <w:rPr>
          <w:rFonts w:cs="B Mitra" w:hint="cs"/>
          <w:sz w:val="28"/>
          <w:szCs w:val="28"/>
          <w:rtl/>
          <w:lang w:bidi="fa-IR"/>
        </w:rPr>
        <w:t xml:space="preserve"> است (</w:t>
      </w:r>
      <w:proofErr w:type="spellStart"/>
      <w:r w:rsidR="00DB4C27">
        <w:rPr>
          <w:rFonts w:cs="B Mitra" w:hint="cs"/>
          <w:sz w:val="28"/>
          <w:szCs w:val="28"/>
          <w:rtl/>
          <w:lang w:bidi="fa-IR"/>
        </w:rPr>
        <w:t>تفتازانی</w:t>
      </w:r>
      <w:proofErr w:type="spellEnd"/>
      <w:r w:rsidR="00DB4C27">
        <w:rPr>
          <w:rFonts w:cs="B Mitra" w:hint="cs"/>
          <w:sz w:val="28"/>
          <w:szCs w:val="28"/>
          <w:rtl/>
          <w:lang w:bidi="fa-IR"/>
        </w:rPr>
        <w:t xml:space="preserve"> می گوید: معظم اهل سنت قبول دارند که با وجود افضل</w:t>
      </w:r>
      <w:r w:rsidR="00DA36F1">
        <w:rPr>
          <w:rFonts w:cs="B Mitra" w:hint="cs"/>
          <w:sz w:val="28"/>
          <w:szCs w:val="28"/>
          <w:rtl/>
          <w:lang w:bidi="fa-IR"/>
        </w:rPr>
        <w:t>،</w:t>
      </w:r>
      <w:r w:rsidR="00DB4C27">
        <w:rPr>
          <w:rFonts w:cs="B Mitra" w:hint="cs"/>
          <w:sz w:val="28"/>
          <w:szCs w:val="28"/>
          <w:rtl/>
          <w:lang w:bidi="fa-IR"/>
        </w:rPr>
        <w:t xml:space="preserve"> در </w:t>
      </w:r>
      <w:proofErr w:type="spellStart"/>
      <w:r w:rsidR="00DB4C27"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 w:rsidR="00DB4C27">
        <w:rPr>
          <w:rFonts w:cs="B Mitra" w:hint="cs"/>
          <w:sz w:val="28"/>
          <w:szCs w:val="28"/>
          <w:rtl/>
          <w:lang w:bidi="fa-IR"/>
        </w:rPr>
        <w:t xml:space="preserve"> نوبت به </w:t>
      </w:r>
      <w:proofErr w:type="spellStart"/>
      <w:r w:rsidR="00DB4C27">
        <w:rPr>
          <w:rFonts w:cs="B Mitra" w:hint="cs"/>
          <w:sz w:val="28"/>
          <w:szCs w:val="28"/>
          <w:rtl/>
          <w:lang w:bidi="fa-IR"/>
        </w:rPr>
        <w:t>مفضول</w:t>
      </w:r>
      <w:proofErr w:type="spellEnd"/>
      <w:r w:rsidR="00DB4C27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DB4C27">
        <w:rPr>
          <w:rFonts w:cs="B Mitra" w:hint="cs"/>
          <w:sz w:val="28"/>
          <w:szCs w:val="28"/>
          <w:rtl/>
          <w:lang w:bidi="fa-IR"/>
        </w:rPr>
        <w:t>نمی</w:t>
      </w:r>
      <w:proofErr w:type="spellEnd"/>
      <w:r w:rsidR="00DB4C27">
        <w:rPr>
          <w:rFonts w:cs="B Mitra" w:hint="cs"/>
          <w:sz w:val="28"/>
          <w:szCs w:val="28"/>
          <w:rtl/>
          <w:lang w:bidi="fa-IR"/>
        </w:rPr>
        <w:t xml:space="preserve"> رسد) و نیز عصمت، دلالت این روایت بر </w:t>
      </w:r>
      <w:proofErr w:type="spellStart"/>
      <w:r w:rsidR="00DB4C27"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 w:rsidR="00DB4C27">
        <w:rPr>
          <w:rFonts w:cs="B Mitra" w:hint="cs"/>
          <w:sz w:val="28"/>
          <w:szCs w:val="28"/>
          <w:rtl/>
          <w:lang w:bidi="fa-IR"/>
        </w:rPr>
        <w:t xml:space="preserve"> امیرالمومنین (ع) روشن است.</w:t>
      </w:r>
    </w:p>
    <w:p w:rsidR="00DB4C27" w:rsidRDefault="00DB4C27" w:rsidP="00DA36F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علامه مجلسی در بحارالانوار بعد از بیان حدیث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سدالابواب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روایات مربوط به آن از منابع شیعه و اهل سنت اینگونه نتیجه می گیرد: این خبر متواتر بر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فضلیتی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جلیل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منقبتی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نبیل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دلالت می کند که مستلزم خلافت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عصمت و طهارت است. به همین خاطر است که آن حضرت در جلسه شور</w:t>
      </w:r>
      <w:r w:rsidR="00DA36F1">
        <w:rPr>
          <w:rFonts w:cs="B Mitra" w:hint="cs"/>
          <w:sz w:val="28"/>
          <w:szCs w:val="28"/>
          <w:rtl/>
          <w:lang w:bidi="fa-IR"/>
        </w:rPr>
        <w:t>ا</w:t>
      </w:r>
      <w:r>
        <w:rPr>
          <w:rFonts w:cs="B Mitra" w:hint="cs"/>
          <w:sz w:val="28"/>
          <w:szCs w:val="28"/>
          <w:rtl/>
          <w:lang w:bidi="fa-IR"/>
        </w:rPr>
        <w:t xml:space="preserve"> که بحث خلافت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بود به آن احتجاج نموده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0"/>
      </w:r>
    </w:p>
    <w:p w:rsidR="00796EE5" w:rsidRDefault="00DB4C27" w:rsidP="002652D3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انشاءالله حدیث 31 در جلسه آینده بیان می شود. </w:t>
      </w:r>
    </w:p>
    <w:p w:rsidR="009D748E" w:rsidRPr="00981DD2" w:rsidRDefault="009D748E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bookmarkStart w:id="0" w:name="_GoBack"/>
      <w:bookmarkEnd w:id="0"/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154" w:rsidRDefault="00055154" w:rsidP="00BC6EBB">
      <w:pPr>
        <w:spacing w:after="0" w:line="240" w:lineRule="auto"/>
      </w:pPr>
      <w:r>
        <w:separator/>
      </w:r>
    </w:p>
  </w:endnote>
  <w:endnote w:type="continuationSeparator" w:id="0">
    <w:p w:rsidR="00055154" w:rsidRDefault="00055154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154" w:rsidRDefault="00055154" w:rsidP="00BC6EBB">
      <w:pPr>
        <w:spacing w:after="0" w:line="240" w:lineRule="auto"/>
      </w:pPr>
      <w:r>
        <w:separator/>
      </w:r>
    </w:p>
  </w:footnote>
  <w:footnote w:type="continuationSeparator" w:id="0">
    <w:p w:rsidR="00055154" w:rsidRDefault="00055154" w:rsidP="00BC6EBB">
      <w:pPr>
        <w:spacing w:after="0" w:line="240" w:lineRule="auto"/>
      </w:pPr>
      <w:r>
        <w:continuationSeparator/>
      </w:r>
    </w:p>
  </w:footnote>
  <w:footnote w:id="1">
    <w:p w:rsidR="008D1F14" w:rsidRDefault="008D1F14" w:rsidP="008D1F14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المراجعات</w:t>
      </w:r>
      <w:proofErr w:type="spellEnd"/>
      <w:r>
        <w:rPr>
          <w:rFonts w:hint="cs"/>
          <w:rtl/>
          <w:lang w:bidi="fa-IR"/>
        </w:rPr>
        <w:t xml:space="preserve">، امام شرف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>، ص 341</w:t>
      </w:r>
    </w:p>
  </w:footnote>
  <w:footnote w:id="2">
    <w:p w:rsidR="00D906AB" w:rsidRDefault="00D906A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سنن، </w:t>
      </w:r>
      <w:proofErr w:type="spellStart"/>
      <w:r>
        <w:rPr>
          <w:rFonts w:hint="cs"/>
          <w:rtl/>
          <w:lang w:bidi="fa-IR"/>
        </w:rPr>
        <w:t>تزمذیف</w:t>
      </w:r>
      <w:proofErr w:type="spellEnd"/>
      <w:r>
        <w:rPr>
          <w:rFonts w:hint="cs"/>
          <w:rtl/>
          <w:lang w:bidi="fa-IR"/>
        </w:rPr>
        <w:t xml:space="preserve"> ج4، ص 479، ح 7332 ؛ </w:t>
      </w:r>
    </w:p>
  </w:footnote>
  <w:footnote w:id="3">
    <w:p w:rsidR="00D906AB" w:rsidRDefault="00D906A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الجامع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لاحکام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القرآن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قرطبی</w:t>
      </w:r>
      <w:proofErr w:type="spellEnd"/>
      <w:r>
        <w:rPr>
          <w:rFonts w:hint="cs"/>
          <w:rtl/>
          <w:lang w:bidi="fa-IR"/>
        </w:rPr>
        <w:t>، ج5، ص 200</w:t>
      </w:r>
    </w:p>
  </w:footnote>
  <w:footnote w:id="4">
    <w:p w:rsidR="00D906AB" w:rsidRDefault="00D906A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الجامع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لاحکام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القرآن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قرطبیف</w:t>
      </w:r>
      <w:proofErr w:type="spellEnd"/>
      <w:r>
        <w:rPr>
          <w:rFonts w:hint="cs"/>
          <w:rtl/>
          <w:lang w:bidi="fa-IR"/>
        </w:rPr>
        <w:t xml:space="preserve"> ج5، ص 200</w:t>
      </w:r>
    </w:p>
  </w:footnote>
  <w:footnote w:id="5">
    <w:p w:rsidR="00460002" w:rsidRDefault="0046000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مناقب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خوارزمی</w:t>
      </w:r>
      <w:proofErr w:type="spellEnd"/>
      <w:r>
        <w:rPr>
          <w:rFonts w:hint="cs"/>
          <w:rtl/>
          <w:lang w:bidi="fa-IR"/>
        </w:rPr>
        <w:t>، ص 314- 315، ح 314</w:t>
      </w:r>
    </w:p>
  </w:footnote>
  <w:footnote w:id="6">
    <w:p w:rsidR="00460002" w:rsidRDefault="00460002" w:rsidP="0046000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آل مظفر سه برادر بودند: شیخ محمد حسن مظفر که برادر بزرگتر بوده و صاحب کتاب دلائل </w:t>
      </w:r>
      <w:proofErr w:type="spellStart"/>
      <w:r>
        <w:rPr>
          <w:rFonts w:hint="cs"/>
          <w:rtl/>
          <w:lang w:bidi="fa-IR"/>
        </w:rPr>
        <w:t>الصدق</w:t>
      </w:r>
      <w:proofErr w:type="spellEnd"/>
      <w:r>
        <w:rPr>
          <w:rFonts w:hint="cs"/>
          <w:rtl/>
          <w:lang w:bidi="fa-IR"/>
        </w:rPr>
        <w:t xml:space="preserve"> است. (این کتاب پاسخ بر اشکالات فضل بن </w:t>
      </w:r>
      <w:proofErr w:type="spellStart"/>
      <w:r>
        <w:rPr>
          <w:rFonts w:hint="cs"/>
          <w:rtl/>
          <w:lang w:bidi="fa-IR"/>
        </w:rPr>
        <w:t>روزبهان</w:t>
      </w:r>
      <w:proofErr w:type="spellEnd"/>
      <w:r>
        <w:rPr>
          <w:rFonts w:hint="cs"/>
          <w:rtl/>
          <w:lang w:bidi="fa-IR"/>
        </w:rPr>
        <w:t xml:space="preserve"> اشعری بر کتاب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الحق</w:t>
      </w:r>
      <w:proofErr w:type="spellEnd"/>
      <w:r>
        <w:rPr>
          <w:rFonts w:hint="cs"/>
          <w:rtl/>
          <w:lang w:bidi="fa-IR"/>
        </w:rPr>
        <w:t xml:space="preserve"> و کشف </w:t>
      </w:r>
      <w:proofErr w:type="spellStart"/>
      <w:r>
        <w:rPr>
          <w:rFonts w:hint="cs"/>
          <w:rtl/>
          <w:lang w:bidi="fa-IR"/>
        </w:rPr>
        <w:t>الحق</w:t>
      </w:r>
      <w:proofErr w:type="spellEnd"/>
      <w:r>
        <w:rPr>
          <w:rFonts w:hint="cs"/>
          <w:rtl/>
          <w:lang w:bidi="fa-IR"/>
        </w:rPr>
        <w:t xml:space="preserve"> علامه </w:t>
      </w:r>
      <w:proofErr w:type="spellStart"/>
      <w:r>
        <w:rPr>
          <w:rFonts w:hint="cs"/>
          <w:rtl/>
          <w:lang w:bidi="fa-IR"/>
        </w:rPr>
        <w:t>حلی</w:t>
      </w:r>
      <w:proofErr w:type="spellEnd"/>
      <w:r>
        <w:rPr>
          <w:rFonts w:hint="cs"/>
          <w:rtl/>
          <w:lang w:bidi="fa-IR"/>
        </w:rPr>
        <w:t xml:space="preserve"> است). </w:t>
      </w:r>
    </w:p>
  </w:footnote>
  <w:footnote w:id="7">
    <w:p w:rsidR="003B6DFF" w:rsidRDefault="003B6DF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دلائل </w:t>
      </w:r>
      <w:proofErr w:type="spellStart"/>
      <w:r>
        <w:rPr>
          <w:rFonts w:hint="cs"/>
          <w:rtl/>
          <w:lang w:bidi="fa-IR"/>
        </w:rPr>
        <w:t>الصدق</w:t>
      </w:r>
      <w:proofErr w:type="spellEnd"/>
      <w:r>
        <w:rPr>
          <w:rFonts w:hint="cs"/>
          <w:rtl/>
          <w:lang w:bidi="fa-IR"/>
        </w:rPr>
        <w:t>، محمد حسن مظفر، ج2، ص 403</w:t>
      </w:r>
    </w:p>
  </w:footnote>
  <w:footnote w:id="8">
    <w:p w:rsidR="003B6DFF" w:rsidRDefault="003B6DF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الغدیر</w:t>
      </w:r>
      <w:proofErr w:type="spellEnd"/>
      <w:r>
        <w:rPr>
          <w:rFonts w:hint="cs"/>
          <w:rtl/>
          <w:lang w:bidi="fa-IR"/>
        </w:rPr>
        <w:t>، علامه امینی، ج3، ص 299- 301</w:t>
      </w:r>
    </w:p>
  </w:footnote>
  <w:footnote w:id="9">
    <w:p w:rsidR="003B6DFF" w:rsidRDefault="003B6DF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جامع </w:t>
      </w:r>
      <w:proofErr w:type="spellStart"/>
      <w:r>
        <w:rPr>
          <w:rFonts w:hint="cs"/>
          <w:rtl/>
          <w:lang w:bidi="fa-IR"/>
        </w:rPr>
        <w:t>الاحادیث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سیوطی</w:t>
      </w:r>
      <w:proofErr w:type="spellEnd"/>
      <w:r>
        <w:rPr>
          <w:rFonts w:hint="cs"/>
          <w:rtl/>
          <w:lang w:bidi="fa-IR"/>
        </w:rPr>
        <w:t>، ج16، ص 274، ح 7931</w:t>
      </w:r>
    </w:p>
  </w:footnote>
  <w:footnote w:id="10">
    <w:p w:rsidR="00DB4C27" w:rsidRDefault="00DB4C2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بحارالانوار، علامه  مجلسی، ج39، ص 34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090F00" w:rsidRDefault="00090F00" w:rsidP="00796EE5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796EE5">
      <w:rPr>
        <w:rFonts w:ascii="Tahoma" w:hAnsi="Tahoma" w:cs="Traditional Arabic" w:hint="cs"/>
        <w:sz w:val="28"/>
        <w:szCs w:val="28"/>
        <w:rtl/>
        <w:lang w:bidi="fa-IR"/>
      </w:rPr>
      <w:t xml:space="preserve">سه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796EE5">
      <w:rPr>
        <w:rFonts w:ascii="Tahoma" w:hAnsi="Tahoma" w:cs="Traditional Arabic" w:hint="cs"/>
        <w:sz w:val="28"/>
        <w:szCs w:val="28"/>
        <w:rtl/>
        <w:lang w:bidi="fa-IR"/>
      </w:rPr>
      <w:t>28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8367B8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1B6603">
      <w:rPr>
        <w:rFonts w:ascii="Tahoma" w:hAnsi="Tahoma" w:cs="Traditional Arabic" w:hint="cs"/>
        <w:sz w:val="28"/>
        <w:szCs w:val="28"/>
        <w:rtl/>
        <w:lang w:bidi="fa-IR"/>
      </w:rPr>
      <w:t>1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154"/>
    <w:rsid w:val="00055A0C"/>
    <w:rsid w:val="00057E3E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6610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4D35"/>
    <w:rsid w:val="001B5BA1"/>
    <w:rsid w:val="001B6603"/>
    <w:rsid w:val="001C1185"/>
    <w:rsid w:val="001C1950"/>
    <w:rsid w:val="001C2FAF"/>
    <w:rsid w:val="001C3086"/>
    <w:rsid w:val="001C6744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3F85"/>
    <w:rsid w:val="00315A21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B6DFF"/>
    <w:rsid w:val="003C20C9"/>
    <w:rsid w:val="003C34EC"/>
    <w:rsid w:val="003C4B9A"/>
    <w:rsid w:val="003C6B57"/>
    <w:rsid w:val="003C79BA"/>
    <w:rsid w:val="003D27D2"/>
    <w:rsid w:val="003D3729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7EEF"/>
    <w:rsid w:val="00460002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4452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2D2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437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2520D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6EE5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1F14"/>
    <w:rsid w:val="008D2CD2"/>
    <w:rsid w:val="008D7456"/>
    <w:rsid w:val="008E1683"/>
    <w:rsid w:val="008E180B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1F95"/>
    <w:rsid w:val="009D56E2"/>
    <w:rsid w:val="009D6923"/>
    <w:rsid w:val="009D748E"/>
    <w:rsid w:val="009E1E66"/>
    <w:rsid w:val="009E267D"/>
    <w:rsid w:val="009E5230"/>
    <w:rsid w:val="009F2455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4010"/>
    <w:rsid w:val="00AC60BC"/>
    <w:rsid w:val="00AC68D3"/>
    <w:rsid w:val="00AC7972"/>
    <w:rsid w:val="00AC7C55"/>
    <w:rsid w:val="00AD2D97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684"/>
    <w:rsid w:val="00B556E3"/>
    <w:rsid w:val="00B575C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283"/>
    <w:rsid w:val="00D84872"/>
    <w:rsid w:val="00D8527F"/>
    <w:rsid w:val="00D8567C"/>
    <w:rsid w:val="00D85CEC"/>
    <w:rsid w:val="00D863DE"/>
    <w:rsid w:val="00D906AB"/>
    <w:rsid w:val="00D90E0C"/>
    <w:rsid w:val="00D912E2"/>
    <w:rsid w:val="00D96151"/>
    <w:rsid w:val="00DA187D"/>
    <w:rsid w:val="00DA36F1"/>
    <w:rsid w:val="00DB1E16"/>
    <w:rsid w:val="00DB383B"/>
    <w:rsid w:val="00DB4A75"/>
    <w:rsid w:val="00DB4C27"/>
    <w:rsid w:val="00DB7461"/>
    <w:rsid w:val="00DB759D"/>
    <w:rsid w:val="00DC5A6F"/>
    <w:rsid w:val="00DC6C1B"/>
    <w:rsid w:val="00DD7A8F"/>
    <w:rsid w:val="00DE2A3C"/>
    <w:rsid w:val="00DE6202"/>
    <w:rsid w:val="00E12CE3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0966DFB-4B47-4F36-BFF6-44D7DB734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9</cp:revision>
  <dcterms:created xsi:type="dcterms:W3CDTF">2021-02-16T19:03:00Z</dcterms:created>
  <dcterms:modified xsi:type="dcterms:W3CDTF">2021-02-17T06:14:00Z</dcterms:modified>
</cp:coreProperties>
</file>