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877DC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877DC1">
        <w:rPr>
          <w:rFonts w:ascii="Traditional Arabic" w:hAnsi="Traditional Arabic" w:cs="Traditional Arabic" w:hint="cs"/>
          <w:sz w:val="28"/>
          <w:szCs w:val="28"/>
          <w:rtl/>
        </w:rPr>
        <w:t>مراجعه 48</w:t>
      </w:r>
    </w:p>
    <w:p w:rsidR="00927A21" w:rsidRDefault="00927A21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927A21" w:rsidRPr="00991789" w:rsidRDefault="00927A21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91789">
        <w:rPr>
          <w:rFonts w:cs="B Mitra" w:hint="cs"/>
          <w:color w:val="FF0000"/>
          <w:sz w:val="28"/>
          <w:szCs w:val="28"/>
          <w:rtl/>
          <w:lang w:bidi="fa-IR"/>
        </w:rPr>
        <w:t xml:space="preserve">حدیث باب </w:t>
      </w:r>
      <w:proofErr w:type="spellStart"/>
      <w:r w:rsidRPr="00991789">
        <w:rPr>
          <w:rFonts w:cs="B Mitra" w:hint="cs"/>
          <w:color w:val="FF0000"/>
          <w:sz w:val="28"/>
          <w:szCs w:val="28"/>
          <w:rtl/>
          <w:lang w:bidi="fa-IR"/>
        </w:rPr>
        <w:t>حطه</w:t>
      </w:r>
      <w:proofErr w:type="spellEnd"/>
    </w:p>
    <w:p w:rsidR="00DA729F" w:rsidRDefault="00927A21" w:rsidP="00DA729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سخن در بررسی روایاتی است که علامه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درخواست شیخ سلیم بشری در مراجعه 48 در رابطه با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بیان کرده است. از میان روایت چهل گانه ای که در این مراجعه </w:t>
      </w:r>
      <w:r w:rsidR="00DA729F">
        <w:rPr>
          <w:rFonts w:cs="B Mitra" w:hint="cs"/>
          <w:sz w:val="28"/>
          <w:szCs w:val="28"/>
          <w:rtl/>
          <w:lang w:bidi="fa-IR"/>
        </w:rPr>
        <w:t>آمده</w:t>
      </w:r>
      <w:r w:rsidR="00877DC1">
        <w:rPr>
          <w:rFonts w:cs="B Mitra" w:hint="cs"/>
          <w:sz w:val="28"/>
          <w:szCs w:val="28"/>
          <w:rtl/>
          <w:lang w:bidi="fa-IR"/>
        </w:rPr>
        <w:t>،</w:t>
      </w:r>
      <w:r w:rsidR="00DA729F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تا کنون 13 روایت بررسی شد. </w:t>
      </w:r>
      <w:r w:rsidR="00DA729F">
        <w:rPr>
          <w:rFonts w:cs="B Mitra" w:hint="cs"/>
          <w:sz w:val="28"/>
          <w:szCs w:val="28"/>
          <w:rtl/>
          <w:lang w:bidi="fa-IR"/>
        </w:rPr>
        <w:t>روایت 14 از ابن عباس است که می گوید پیامبر (ص) فرمود: «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بن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طالب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باب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حطّة</w:t>
      </w:r>
      <w:proofErr w:type="spellEnd"/>
      <w:r w:rsidR="00DA729F" w:rsidRPr="00DA729F">
        <w:rPr>
          <w:rFonts w:cs="B Mitra" w:hint="cs"/>
          <w:sz w:val="28"/>
          <w:szCs w:val="28"/>
          <w:rtl/>
          <w:lang w:bidi="fa-IR"/>
        </w:rPr>
        <w:t>،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من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دخل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منه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مؤمنا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و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من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خرج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منه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كافرا</w:t>
      </w:r>
      <w:proofErr w:type="spellEnd"/>
      <w:r w:rsidR="00DA729F">
        <w:rPr>
          <w:rFonts w:cs="B Mitra" w:hint="cs"/>
          <w:sz w:val="28"/>
          <w:szCs w:val="28"/>
          <w:rtl/>
          <w:lang w:bidi="fa-IR"/>
        </w:rPr>
        <w:t>». در پاورقی آمده است: «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و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هو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2528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من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أحاديث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الكنز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ص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153 </w:t>
      </w:r>
      <w:r w:rsidR="00DA729F" w:rsidRPr="00DA729F">
        <w:rPr>
          <w:rFonts w:cs="B Mitra" w:hint="cs"/>
          <w:sz w:val="28"/>
          <w:szCs w:val="28"/>
          <w:rtl/>
          <w:lang w:bidi="fa-IR"/>
        </w:rPr>
        <w:t>من</w:t>
      </w:r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جزئه</w:t>
      </w:r>
      <w:proofErr w:type="spellEnd"/>
      <w:r w:rsidR="00DA729F" w:rsidRPr="00DA729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DA729F" w:rsidRPr="00DA729F">
        <w:rPr>
          <w:rFonts w:cs="B Mitra" w:hint="cs"/>
          <w:sz w:val="28"/>
          <w:szCs w:val="28"/>
          <w:rtl/>
          <w:lang w:bidi="fa-IR"/>
        </w:rPr>
        <w:t>السادس</w:t>
      </w:r>
      <w:proofErr w:type="spellEnd"/>
      <w:r w:rsidR="00DA729F" w:rsidRPr="00DA729F">
        <w:rPr>
          <w:rFonts w:cs="B Mitra" w:hint="cs"/>
          <w:sz w:val="28"/>
          <w:szCs w:val="28"/>
          <w:rtl/>
          <w:lang w:bidi="fa-IR"/>
        </w:rPr>
        <w:t>‏</w:t>
      </w:r>
      <w:r w:rsidR="00DA729F">
        <w:rPr>
          <w:rFonts w:cs="B Mitra" w:hint="cs"/>
          <w:sz w:val="28"/>
          <w:szCs w:val="28"/>
          <w:rtl/>
          <w:lang w:bidi="fa-IR"/>
        </w:rPr>
        <w:t>»</w:t>
      </w:r>
      <w:r w:rsidR="00DA729F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DA729F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5F2074" w:rsidRPr="005F2074" w:rsidRDefault="00DA729F" w:rsidP="009917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سیوطی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الجامع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الصغیر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دارقطنی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و آن را ضعیف دانسته است. دیلمی هم در مسند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الفردوس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>
        <w:rPr>
          <w:rFonts w:cs="B Mitra" w:hint="cs"/>
          <w:sz w:val="28"/>
          <w:szCs w:val="28"/>
          <w:rtl/>
          <w:lang w:bidi="fa-IR"/>
        </w:rPr>
        <w:t xml:space="preserve"> و 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مکی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صواعق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المحرقه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 xml:space="preserve"> این حدیث را نقل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دارقطنی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از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شریک قاضی روایت کرده و گفته است «تفرد به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عن شریک و لیس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بقوی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قال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البخاری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مناکیر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قال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هزوی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کذاب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این روایت را در ترجمه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و آن را باطل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الحجج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الدامغات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وجه باطل شمردن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</w:t>
      </w:r>
      <w:r w:rsidR="00991789">
        <w:rPr>
          <w:rFonts w:cs="B Mitra" w:hint="cs"/>
          <w:sz w:val="28"/>
          <w:szCs w:val="28"/>
          <w:rtl/>
          <w:lang w:bidi="fa-IR"/>
        </w:rPr>
        <w:t xml:space="preserve">این دانسته که </w:t>
      </w:r>
      <w:r>
        <w:rPr>
          <w:rFonts w:cs="B Mitra" w:hint="cs"/>
          <w:sz w:val="28"/>
          <w:szCs w:val="28"/>
          <w:rtl/>
          <w:lang w:bidi="fa-IR"/>
        </w:rPr>
        <w:t xml:space="preserve">در سند آن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وجود دارد و شریک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القاضی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هم از نظر حفظ ضعیف است و لذا وی نیز روایت را باطل و ساختگی شمرده است. </w:t>
      </w:r>
      <w:r w:rsidR="00991789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5F2074" w:rsidRPr="00991789" w:rsidRDefault="00991789" w:rsidP="002652D3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991789">
        <w:rPr>
          <w:rFonts w:cs="B Mitra" w:hint="cs"/>
          <w:color w:val="FF0000"/>
          <w:sz w:val="28"/>
          <w:szCs w:val="28"/>
          <w:rtl/>
          <w:lang w:bidi="fa-IR"/>
        </w:rPr>
        <w:t>تحقیق درباره سند روایت</w:t>
      </w:r>
    </w:p>
    <w:p w:rsidR="00991789" w:rsidRDefault="00991789" w:rsidP="00877DC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در کتب رجالی برای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هم تضعیف </w:t>
      </w:r>
      <w:r w:rsidR="00877DC1">
        <w:rPr>
          <w:rFonts w:cs="B Mitra" w:hint="cs"/>
          <w:sz w:val="28"/>
          <w:szCs w:val="28"/>
          <w:rtl/>
          <w:lang w:bidi="fa-IR"/>
        </w:rPr>
        <w:t xml:space="preserve">آمده </w:t>
      </w:r>
      <w:r>
        <w:rPr>
          <w:rFonts w:cs="B Mitra" w:hint="cs"/>
          <w:sz w:val="28"/>
          <w:szCs w:val="28"/>
          <w:rtl/>
          <w:lang w:bidi="fa-IR"/>
        </w:rPr>
        <w:t xml:space="preserve">است.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حبان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وی را در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الثقات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 ذکر کرده</w:t>
      </w:r>
      <w:r w:rsidR="00877DC1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و یحیی بن معین وی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 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گفته است </w:t>
      </w:r>
      <w:r w:rsidR="00877DC1">
        <w:rPr>
          <w:rFonts w:cs="B Mitra" w:hint="cs"/>
          <w:sz w:val="28"/>
          <w:szCs w:val="28"/>
          <w:rtl/>
          <w:lang w:bidi="fa-IR"/>
        </w:rPr>
        <w:t xml:space="preserve">او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اما مطالب سست نیز دارد و در تشیع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غالی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  <w:r>
        <w:rPr>
          <w:rFonts w:cs="B Mitra" w:hint="cs"/>
          <w:sz w:val="28"/>
          <w:szCs w:val="28"/>
          <w:rtl/>
          <w:lang w:bidi="fa-IR"/>
        </w:rPr>
        <w:t xml:space="preserve"> لازم به ذکر است که 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تعبیر </w:t>
      </w:r>
      <w:r w:rsidR="00877DC1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یهن</w:t>
      </w:r>
      <w:proofErr w:type="spellEnd"/>
      <w:r w:rsidR="00877DC1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را درباره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راویانی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کار برده که از نظر اعتبار در درجه پنجم </w:t>
      </w: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قرار دارد و لذا </w:t>
      </w:r>
      <w:r w:rsidR="00877DC1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>روایت مقبول است هر چند مرتبه آن بالا نیست.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>
        <w:rPr>
          <w:rFonts w:cs="B Mitra" w:hint="cs"/>
          <w:sz w:val="28"/>
          <w:szCs w:val="28"/>
          <w:rtl/>
          <w:lang w:bidi="fa-IR"/>
        </w:rPr>
        <w:t xml:space="preserve"> نکته دیگر اینکه ایشان مرتبه شش را مخصوص کسانی دانسته که اگر حدیث آنها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داشته باشد مقبول است. از اینجا معلوم می شود </w:t>
      </w:r>
      <w:r w:rsidR="00877DC1">
        <w:rPr>
          <w:rFonts w:cs="B Mitra" w:hint="cs"/>
          <w:sz w:val="28"/>
          <w:szCs w:val="28"/>
          <w:rtl/>
          <w:lang w:bidi="fa-IR"/>
        </w:rPr>
        <w:t xml:space="preserve">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راویانی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در مرتبه پنجم قرار دارند،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روایاتشان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بدون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مقبول است. </w:t>
      </w:r>
      <w:r w:rsidR="008D4F26">
        <w:rPr>
          <w:rFonts w:cs="B Mitra" w:hint="cs"/>
          <w:sz w:val="28"/>
          <w:szCs w:val="28"/>
          <w:rtl/>
          <w:lang w:bidi="fa-IR"/>
        </w:rPr>
        <w:t xml:space="preserve">البته </w:t>
      </w:r>
      <w:r>
        <w:rPr>
          <w:rFonts w:cs="B Mitra" w:hint="cs"/>
          <w:sz w:val="28"/>
          <w:szCs w:val="28"/>
          <w:rtl/>
          <w:lang w:bidi="fa-IR"/>
        </w:rPr>
        <w:t xml:space="preserve">ابن حجر در فتح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الباری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  <w:r>
        <w:rPr>
          <w:rFonts w:cs="B Mitra" w:hint="cs"/>
          <w:sz w:val="28"/>
          <w:szCs w:val="28"/>
          <w:rtl/>
          <w:lang w:bidi="fa-IR"/>
        </w:rPr>
        <w:t xml:space="preserve">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ضعیف شمرده است.</w:t>
      </w:r>
    </w:p>
    <w:p w:rsidR="00991789" w:rsidRDefault="00991789" w:rsidP="009917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مکی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از وی به عنوان شیعی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غالی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نام برده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2"/>
      </w:r>
      <w:r>
        <w:rPr>
          <w:rFonts w:cs="B Mitra" w:hint="cs"/>
          <w:sz w:val="28"/>
          <w:szCs w:val="28"/>
          <w:rtl/>
          <w:lang w:bidi="fa-IR"/>
        </w:rPr>
        <w:t xml:space="preserve"> نور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هیثمی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مجمع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الزوائد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3"/>
      </w:r>
      <w:r>
        <w:rPr>
          <w:rFonts w:cs="B Mitra" w:hint="cs"/>
          <w:sz w:val="28"/>
          <w:szCs w:val="28"/>
          <w:rtl/>
          <w:lang w:bidi="fa-IR"/>
        </w:rPr>
        <w:t xml:space="preserve"> وقتی روایت آیه نزول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مودت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القربی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نقل کرده، در سند آن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آورده و گفته است آنان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جماعتی آنان را تضعیف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B233D" w:rsidRDefault="00991789" w:rsidP="009917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گونه نیست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روایتش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مردود باشد بلکه افرادی از اهل حدیث وی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91789" w:rsidRDefault="009B233D" w:rsidP="009B233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r w:rsidR="00991789">
        <w:rPr>
          <w:rFonts w:cs="B Mitra" w:hint="cs"/>
          <w:sz w:val="28"/>
          <w:szCs w:val="28"/>
          <w:rtl/>
          <w:lang w:bidi="fa-IR"/>
        </w:rPr>
        <w:t xml:space="preserve">نکته دیگر این است که عبارت </w:t>
      </w:r>
      <w:proofErr w:type="spellStart"/>
      <w:r w:rsidR="00991789">
        <w:rPr>
          <w:rFonts w:cs="B Mitra" w:hint="cs"/>
          <w:sz w:val="28"/>
          <w:szCs w:val="28"/>
          <w:rtl/>
          <w:lang w:bidi="fa-IR"/>
        </w:rPr>
        <w:t>هایی</w:t>
      </w:r>
      <w:proofErr w:type="spellEnd"/>
      <w:r w:rsidR="00991789">
        <w:rPr>
          <w:rFonts w:cs="B Mitra" w:hint="cs"/>
          <w:sz w:val="28"/>
          <w:szCs w:val="28"/>
          <w:rtl/>
          <w:lang w:bidi="fa-IR"/>
        </w:rPr>
        <w:t xml:space="preserve"> که درباره تضعیف حسین </w:t>
      </w:r>
      <w:proofErr w:type="spellStart"/>
      <w:r w:rsidR="00991789"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 w:rsidR="00991789">
        <w:rPr>
          <w:rFonts w:cs="B Mitra" w:hint="cs"/>
          <w:sz w:val="28"/>
          <w:szCs w:val="28"/>
          <w:rtl/>
          <w:lang w:bidi="fa-IR"/>
        </w:rPr>
        <w:t xml:space="preserve"> آمده، نوعا مساله </w:t>
      </w:r>
      <w:proofErr w:type="spellStart"/>
      <w:r w:rsidR="00991789">
        <w:rPr>
          <w:rFonts w:cs="B Mitra" w:hint="cs"/>
          <w:sz w:val="28"/>
          <w:szCs w:val="28"/>
          <w:rtl/>
          <w:lang w:bidi="fa-IR"/>
        </w:rPr>
        <w:t>غلو</w:t>
      </w:r>
      <w:proofErr w:type="spellEnd"/>
      <w:r w:rsidR="00991789">
        <w:rPr>
          <w:rFonts w:cs="B Mitra" w:hint="cs"/>
          <w:sz w:val="28"/>
          <w:szCs w:val="28"/>
          <w:rtl/>
          <w:lang w:bidi="fa-IR"/>
        </w:rPr>
        <w:t xml:space="preserve"> در تشیع را برشمرده </w:t>
      </w:r>
      <w:proofErr w:type="spellStart"/>
      <w:r w:rsidR="00991789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 w:rsidR="00991789">
        <w:rPr>
          <w:rFonts w:cs="B Mitra" w:hint="cs"/>
          <w:sz w:val="28"/>
          <w:szCs w:val="28"/>
          <w:rtl/>
          <w:lang w:bidi="fa-IR"/>
        </w:rPr>
        <w:t xml:space="preserve"> و همان طور که در مباحث قبل بیان شد، این وجه، وجه صحیحی برای تضعیف راوی </w:t>
      </w:r>
      <w:r w:rsidR="008D17CC">
        <w:rPr>
          <w:rFonts w:cs="B Mitra" w:hint="cs"/>
          <w:sz w:val="28"/>
          <w:szCs w:val="28"/>
          <w:rtl/>
          <w:lang w:bidi="fa-IR"/>
        </w:rPr>
        <w:t xml:space="preserve">از نظر علمای اهل سنت به شمار </w:t>
      </w:r>
      <w:proofErr w:type="spellStart"/>
      <w:r w:rsidR="008D17CC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8D17CC">
        <w:rPr>
          <w:rFonts w:cs="B Mitra" w:hint="cs"/>
          <w:sz w:val="28"/>
          <w:szCs w:val="28"/>
          <w:rtl/>
          <w:lang w:bidi="fa-IR"/>
        </w:rPr>
        <w:t xml:space="preserve"> رود. </w:t>
      </w:r>
    </w:p>
    <w:p w:rsidR="008D17CC" w:rsidRDefault="008D17CC" w:rsidP="009B233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غالب جرح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در مورد حسین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الاشقر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آمده است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مصرح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نیست و وجه خاصی در ضعف </w:t>
      </w:r>
      <w:r w:rsidR="009B233D">
        <w:rPr>
          <w:rFonts w:cs="B Mitra" w:hint="cs"/>
          <w:sz w:val="28"/>
          <w:szCs w:val="28"/>
          <w:rtl/>
          <w:lang w:bidi="fa-IR"/>
        </w:rPr>
        <w:t xml:space="preserve">آن </w:t>
      </w:r>
      <w:r>
        <w:rPr>
          <w:rFonts w:cs="B Mitra" w:hint="cs"/>
          <w:sz w:val="28"/>
          <w:szCs w:val="28"/>
          <w:rtl/>
          <w:lang w:bidi="fa-IR"/>
        </w:rPr>
        <w:t xml:space="preserve">نیامده است. و طبق قاعده، در این گونه موارد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تضعیف تقدم دارد.</w:t>
      </w:r>
    </w:p>
    <w:p w:rsidR="008D17CC" w:rsidRDefault="008D17CC" w:rsidP="009B233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با صرف نظر از این نکات، بحث میان علامه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شیخ سلیم، بحثی بین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</w:t>
      </w:r>
      <w:r w:rsidR="009B233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و وقتی یک طرف روایتی را </w:t>
      </w:r>
      <w:r w:rsidR="009B233D">
        <w:rPr>
          <w:rFonts w:cs="B Mitra" w:hint="cs"/>
          <w:sz w:val="28"/>
          <w:szCs w:val="28"/>
          <w:rtl/>
          <w:lang w:bidi="fa-IR"/>
        </w:rPr>
        <w:t xml:space="preserve">از مذهب دیگری </w:t>
      </w:r>
      <w:r>
        <w:rPr>
          <w:rFonts w:cs="B Mitra" w:hint="cs"/>
          <w:sz w:val="28"/>
          <w:szCs w:val="28"/>
          <w:rtl/>
          <w:lang w:bidi="fa-IR"/>
        </w:rPr>
        <w:t xml:space="preserve">می آورد سه صورت پیش می آید: 1. همه عالمان آن مذهب آن روایت را رد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9B233D">
        <w:rPr>
          <w:rFonts w:cs="B Mitra" w:hint="cs"/>
          <w:sz w:val="28"/>
          <w:szCs w:val="28"/>
          <w:rtl/>
          <w:lang w:bidi="fa-IR"/>
        </w:rPr>
        <w:t>؛</w:t>
      </w:r>
      <w:r>
        <w:rPr>
          <w:rFonts w:cs="B Mitra" w:hint="cs"/>
          <w:sz w:val="28"/>
          <w:szCs w:val="28"/>
          <w:rtl/>
          <w:lang w:bidi="fa-IR"/>
        </w:rPr>
        <w:t xml:space="preserve"> 2. همه آن را قبول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9B233D">
        <w:rPr>
          <w:rFonts w:cs="B Mitra" w:hint="cs"/>
          <w:sz w:val="28"/>
          <w:szCs w:val="28"/>
          <w:rtl/>
          <w:lang w:bidi="fa-IR"/>
        </w:rPr>
        <w:t>؛</w:t>
      </w:r>
      <w:r>
        <w:rPr>
          <w:rFonts w:cs="B Mitra" w:hint="cs"/>
          <w:sz w:val="28"/>
          <w:szCs w:val="28"/>
          <w:rtl/>
          <w:lang w:bidi="fa-IR"/>
        </w:rPr>
        <w:t xml:space="preserve"> 3. برخی رد و برخی قبول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صورت </w:t>
      </w:r>
      <w:r w:rsidR="009B233D">
        <w:rPr>
          <w:rFonts w:cs="B Mitra" w:hint="cs"/>
          <w:sz w:val="28"/>
          <w:szCs w:val="28"/>
          <w:rtl/>
          <w:lang w:bidi="fa-IR"/>
        </w:rPr>
        <w:t xml:space="preserve">اول </w:t>
      </w:r>
      <w:r>
        <w:rPr>
          <w:rFonts w:cs="B Mitra" w:hint="cs"/>
          <w:sz w:val="28"/>
          <w:szCs w:val="28"/>
          <w:rtl/>
          <w:lang w:bidi="fa-IR"/>
        </w:rPr>
        <w:t xml:space="preserve">در بحث بین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قابل احتجاج نیست</w:t>
      </w:r>
      <w:r w:rsidR="009B233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صورت دوم و سوم قابل استناد است زیرا شرط نیست که آن روایت مورد اجماع در آن مذهب باشد. همین که جمع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متنابهی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آن حدیث اعتماد داشته باشند می تواند مورد استناد قرار گیرد. بله در این موارد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اختلافی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صحیح نیست که نظر را به عموم علمای مذهب مقابل نسبت دهد، بلکه انصاف آن است که بگوید این روایت از نظر جمعی </w:t>
      </w:r>
      <w:r w:rsidR="009B233D">
        <w:rPr>
          <w:rFonts w:cs="B Mitra" w:hint="cs"/>
          <w:sz w:val="28"/>
          <w:szCs w:val="28"/>
          <w:rtl/>
          <w:lang w:bidi="fa-IR"/>
        </w:rPr>
        <w:t xml:space="preserve">و یا اکثر </w:t>
      </w:r>
      <w:r>
        <w:rPr>
          <w:rFonts w:cs="B Mitra" w:hint="cs"/>
          <w:sz w:val="28"/>
          <w:szCs w:val="28"/>
          <w:rtl/>
          <w:lang w:bidi="fa-IR"/>
        </w:rPr>
        <w:t xml:space="preserve">مورد قبول واقع شده است. بنابراین اینکه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سند روایت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مناقشه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کند و آن را ساختگی بداند، به معنای آن نیست که سخن وی نمایندگی از همه عالمان اهل سنت دارد</w:t>
      </w:r>
      <w:r w:rsidR="009B233D">
        <w:rPr>
          <w:rFonts w:cs="B Mitra" w:hint="cs"/>
          <w:sz w:val="28"/>
          <w:szCs w:val="28"/>
          <w:rtl/>
          <w:lang w:bidi="fa-IR"/>
        </w:rPr>
        <w:t>، بلکه</w:t>
      </w:r>
      <w:r>
        <w:rPr>
          <w:rFonts w:cs="B Mitra" w:hint="cs"/>
          <w:sz w:val="28"/>
          <w:szCs w:val="28"/>
          <w:rtl/>
          <w:lang w:bidi="fa-IR"/>
        </w:rPr>
        <w:t xml:space="preserve"> بحث اجتهادی است.</w:t>
      </w:r>
    </w:p>
    <w:p w:rsidR="008D17CC" w:rsidRDefault="008D17CC" w:rsidP="009B233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ضعف حافظه شریک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القاضی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بیان کرده </w:t>
      </w:r>
      <w:r w:rsidR="009B233D">
        <w:rPr>
          <w:rFonts w:cs="B Mitra" w:hint="cs"/>
          <w:sz w:val="28"/>
          <w:szCs w:val="28"/>
          <w:rtl/>
          <w:lang w:bidi="fa-IR"/>
        </w:rPr>
        <w:t xml:space="preserve">نیز طبق آنچه در </w:t>
      </w:r>
      <w:r>
        <w:rPr>
          <w:rFonts w:cs="B Mitra" w:hint="cs"/>
          <w:sz w:val="28"/>
          <w:szCs w:val="28"/>
          <w:rtl/>
          <w:lang w:bidi="fa-IR"/>
        </w:rPr>
        <w:t xml:space="preserve">حدیث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بیان شد </w:t>
      </w:r>
      <w:r w:rsidR="009B233D">
        <w:rPr>
          <w:rFonts w:cs="B Mitra" w:hint="cs"/>
          <w:sz w:val="28"/>
          <w:szCs w:val="28"/>
          <w:rtl/>
          <w:lang w:bidi="fa-IR"/>
        </w:rPr>
        <w:t xml:space="preserve">نادرست است. </w:t>
      </w:r>
      <w:r>
        <w:rPr>
          <w:rFonts w:cs="B Mitra" w:hint="cs"/>
          <w:sz w:val="28"/>
          <w:szCs w:val="28"/>
          <w:rtl/>
          <w:lang w:bidi="fa-IR"/>
        </w:rPr>
        <w:t xml:space="preserve">اما باطل شمردن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با توجه به شناختی که از وی درباره روایات فضایل وجود دارد، اعتباری ندارد.</w:t>
      </w:r>
    </w:p>
    <w:p w:rsidR="008D17CC" w:rsidRPr="008D17CC" w:rsidRDefault="008D17CC" w:rsidP="008D17CC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8D17CC">
        <w:rPr>
          <w:rFonts w:cs="B Mitra" w:hint="cs"/>
          <w:color w:val="FF0000"/>
          <w:sz w:val="28"/>
          <w:szCs w:val="28"/>
          <w:rtl/>
          <w:lang w:bidi="fa-IR"/>
        </w:rPr>
        <w:t xml:space="preserve">بررس </w:t>
      </w:r>
      <w:proofErr w:type="spellStart"/>
      <w:r w:rsidRPr="008D17CC">
        <w:rPr>
          <w:rFonts w:cs="B Mitra" w:hint="cs"/>
          <w:color w:val="FF0000"/>
          <w:sz w:val="28"/>
          <w:szCs w:val="28"/>
          <w:rtl/>
          <w:lang w:bidi="fa-IR"/>
        </w:rPr>
        <w:t>مدلول</w:t>
      </w:r>
      <w:proofErr w:type="spellEnd"/>
      <w:r w:rsidRPr="008D17CC">
        <w:rPr>
          <w:rFonts w:cs="B Mitra" w:hint="cs"/>
          <w:color w:val="FF0000"/>
          <w:sz w:val="28"/>
          <w:szCs w:val="28"/>
          <w:rtl/>
          <w:lang w:bidi="fa-IR"/>
        </w:rPr>
        <w:t xml:space="preserve"> روایت</w:t>
      </w:r>
    </w:p>
    <w:p w:rsidR="008D17CC" w:rsidRPr="005F2074" w:rsidRDefault="00997AB6" w:rsidP="00B623D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lastRenderedPageBreak/>
        <w:t>عبدالرؤوف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صاحب فیض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القدیر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اینجا می گوید: معنای حدیث این است </w:t>
      </w:r>
      <w:r w:rsidR="00B623D9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همان گونه که خداوند داخل شدن بنی اسرائیل </w:t>
      </w:r>
      <w:r w:rsidR="00B623D9">
        <w:rPr>
          <w:rFonts w:cs="B Mitra" w:hint="cs"/>
          <w:sz w:val="28"/>
          <w:szCs w:val="28"/>
          <w:rtl/>
          <w:lang w:bidi="fa-IR"/>
        </w:rPr>
        <w:t xml:space="preserve">از </w:t>
      </w:r>
      <w:r>
        <w:rPr>
          <w:rFonts w:cs="B Mitra" w:hint="cs"/>
          <w:sz w:val="28"/>
          <w:szCs w:val="28"/>
          <w:rtl/>
          <w:lang w:bidi="fa-IR"/>
        </w:rPr>
        <w:t xml:space="preserve">در بیت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المقدس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 با حالت خشوع </w:t>
      </w:r>
      <w:r w:rsidR="00B623D9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سبب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غفران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قرار داده بود، برای این امت نیز علی (ع)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اقتدای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هدایت و پیمودن راه وی سبب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غفران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داخل شدن در بهشت و رهایی از دوزخ قرار داده شده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4"/>
      </w:r>
      <w:r w:rsidR="008D17CC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97AB6" w:rsidRDefault="00997AB6" w:rsidP="00B623D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در مورد امیرالمومنین (ع) بیانگر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ایشان است زیرا کسی که می خواهد مورد آمرزش قرار گیرد باید به ولایت حضرت تن دهد و به امر و نهی او گوش </w:t>
      </w:r>
      <w:r w:rsidR="00B623D9">
        <w:rPr>
          <w:rFonts w:cs="B Mitra" w:hint="cs"/>
          <w:sz w:val="28"/>
          <w:szCs w:val="28"/>
          <w:rtl/>
          <w:lang w:bidi="fa-IR"/>
        </w:rPr>
        <w:t xml:space="preserve">داده و </w:t>
      </w:r>
      <w:r>
        <w:rPr>
          <w:rFonts w:cs="B Mitra" w:hint="cs"/>
          <w:sz w:val="28"/>
          <w:szCs w:val="28"/>
          <w:rtl/>
          <w:lang w:bidi="fa-IR"/>
        </w:rPr>
        <w:t>از او تبعیت کند.</w:t>
      </w:r>
    </w:p>
    <w:p w:rsidR="005F2074" w:rsidRDefault="00997AB6" w:rsidP="002652D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قرآن کریم درباره باب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حطه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آمده است: «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إِذْ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قُلْنَا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ادْخُلُوا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هذِهِ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الْقَرْيَةَ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فَكُلُوا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مِنْها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حَيْثُ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شِئْتُمْ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رَغَداً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ادْخُلُوا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الْبابَ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سُجَّداً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قُولُوا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حِطَّةٌ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نَغْفِرْ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لَكُمْ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خَطاياكُمْ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سَنَزيدُ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الْمُحْسِنين</w:t>
      </w:r>
      <w:proofErr w:type="spellEnd"/>
      <w:r w:rsidRPr="00997AB6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5"/>
      </w:r>
      <w:r>
        <w:rPr>
          <w:rFonts w:cs="B Mitra" w:hint="cs"/>
          <w:sz w:val="28"/>
          <w:szCs w:val="28"/>
          <w:rtl/>
          <w:lang w:bidi="fa-IR"/>
        </w:rPr>
        <w:t xml:space="preserve">: 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و</w:t>
      </w:r>
      <w:r w:rsidRPr="00997AB6">
        <w:rPr>
          <w:rFonts w:cs="B Mitra"/>
          <w:sz w:val="28"/>
          <w:szCs w:val="28"/>
          <w:rtl/>
          <w:lang w:bidi="fa-IR"/>
        </w:rPr>
        <w:t xml:space="preserve"> [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ياد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كنيد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]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هنگامى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گفتيم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: </w:t>
      </w:r>
      <w:r w:rsidRPr="00997AB6">
        <w:rPr>
          <w:rFonts w:cs="B Mitra" w:hint="cs"/>
          <w:sz w:val="28"/>
          <w:szCs w:val="28"/>
          <w:rtl/>
          <w:lang w:bidi="fa-IR"/>
        </w:rPr>
        <w:t>به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اين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شهر</w:t>
      </w:r>
      <w:r w:rsidRPr="00997AB6">
        <w:rPr>
          <w:rFonts w:cs="B Mitra"/>
          <w:sz w:val="28"/>
          <w:szCs w:val="28"/>
          <w:rtl/>
          <w:lang w:bidi="fa-IR"/>
        </w:rPr>
        <w:t xml:space="preserve"> [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بيت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المقدس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] </w:t>
      </w:r>
      <w:r w:rsidRPr="00997AB6">
        <w:rPr>
          <w:rFonts w:cs="B Mitra" w:hint="cs"/>
          <w:sz w:val="28"/>
          <w:szCs w:val="28"/>
          <w:rtl/>
          <w:lang w:bidi="fa-IR"/>
        </w:rPr>
        <w:t>وارد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شويد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،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و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از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نعمت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هاى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آن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هر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چه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خواستيد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فراوان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و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گوارا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بخوريد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و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از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دروازه</w:t>
      </w:r>
      <w:r w:rsidRPr="00997AB6">
        <w:rPr>
          <w:rFonts w:cs="B Mitra"/>
          <w:sz w:val="28"/>
          <w:szCs w:val="28"/>
          <w:rtl/>
          <w:lang w:bidi="fa-IR"/>
        </w:rPr>
        <w:t xml:space="preserve"> [ </w:t>
      </w:r>
      <w:r w:rsidRPr="00997AB6">
        <w:rPr>
          <w:rFonts w:cs="B Mitra" w:hint="cs"/>
          <w:sz w:val="28"/>
          <w:szCs w:val="28"/>
          <w:rtl/>
          <w:lang w:bidi="fa-IR"/>
        </w:rPr>
        <w:t>شهر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درِ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معبد</w:t>
      </w:r>
      <w:r w:rsidRPr="00997AB6">
        <w:rPr>
          <w:rFonts w:cs="B Mitra"/>
          <w:sz w:val="28"/>
          <w:szCs w:val="28"/>
          <w:rtl/>
          <w:lang w:bidi="fa-IR"/>
        </w:rPr>
        <w:t xml:space="preserve"> ]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سجده‏كنان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درآييد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و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بگوييد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: [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خدايا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! </w:t>
      </w:r>
      <w:r w:rsidRPr="00997AB6">
        <w:rPr>
          <w:rFonts w:cs="B Mitra" w:hint="cs"/>
          <w:sz w:val="28"/>
          <w:szCs w:val="28"/>
          <w:rtl/>
          <w:lang w:bidi="fa-IR"/>
        </w:rPr>
        <w:t>خواسته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ما</w:t>
      </w:r>
      <w:r w:rsidRPr="00997AB6">
        <w:rPr>
          <w:rFonts w:cs="B Mitra"/>
          <w:sz w:val="28"/>
          <w:szCs w:val="28"/>
          <w:rtl/>
          <w:lang w:bidi="fa-IR"/>
        </w:rPr>
        <w:t xml:space="preserve"> ]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ريزش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گناهان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ماست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،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تا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گناهانتان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را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بيامرزيم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و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به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زودى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[ </w:t>
      </w:r>
      <w:r w:rsidRPr="00997AB6">
        <w:rPr>
          <w:rFonts w:cs="B Mitra" w:hint="cs"/>
          <w:sz w:val="28"/>
          <w:szCs w:val="28"/>
          <w:rtl/>
          <w:lang w:bidi="fa-IR"/>
        </w:rPr>
        <w:t>پاداش</w:t>
      </w:r>
      <w:r w:rsidRPr="00997AB6">
        <w:rPr>
          <w:rFonts w:cs="B Mitra"/>
          <w:sz w:val="28"/>
          <w:szCs w:val="28"/>
          <w:rtl/>
          <w:lang w:bidi="fa-IR"/>
        </w:rPr>
        <w:t xml:space="preserve"> ]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نيكوكاران</w:t>
      </w:r>
      <w:proofErr w:type="spellEnd"/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r w:rsidRPr="00997AB6">
        <w:rPr>
          <w:rFonts w:cs="B Mitra" w:hint="cs"/>
          <w:sz w:val="28"/>
          <w:szCs w:val="28"/>
          <w:rtl/>
          <w:lang w:bidi="fa-IR"/>
        </w:rPr>
        <w:t>را</w:t>
      </w:r>
      <w:r w:rsidRPr="00997A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97AB6">
        <w:rPr>
          <w:rFonts w:cs="B Mitra" w:hint="cs"/>
          <w:sz w:val="28"/>
          <w:szCs w:val="28"/>
          <w:rtl/>
          <w:lang w:bidi="fa-IR"/>
        </w:rPr>
        <w:t>بيفزايم</w:t>
      </w:r>
      <w:proofErr w:type="spellEnd"/>
      <w:r w:rsidRPr="00997AB6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997AB6" w:rsidRPr="005F2074" w:rsidRDefault="00997AB6" w:rsidP="00997AB6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اگر چه در این روایت امیرالمومنین (ع) در بین امت اسلامی به عنوان باب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حطه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شمار آمده است اما در برخی روایات این ویژگی برای اهل بیت پیامبر (ع) وارد شده است. ابوسعید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خدری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پیامبر اکرم (ص) روایت م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>ی کند که فرمود: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مثل اهل بیتی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فیکم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مثل باب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حطه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بنی اسرائیل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دخله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غفر له».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6"/>
      </w:r>
    </w:p>
    <w:p w:rsidR="005F2074" w:rsidRPr="005F2074" w:rsidRDefault="00997AB6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انشاءالله ادامه بحث در گفتار بعد بیان می شود. </w:t>
      </w: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B54" w:rsidRDefault="00AA1B54" w:rsidP="00BC6EBB">
      <w:pPr>
        <w:spacing w:after="0" w:line="240" w:lineRule="auto"/>
      </w:pPr>
      <w:r>
        <w:separator/>
      </w:r>
    </w:p>
  </w:endnote>
  <w:endnote w:type="continuationSeparator" w:id="0">
    <w:p w:rsidR="00AA1B54" w:rsidRDefault="00AA1B54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B54" w:rsidRDefault="00AA1B54" w:rsidP="00BC6EBB">
      <w:pPr>
        <w:spacing w:after="0" w:line="240" w:lineRule="auto"/>
      </w:pPr>
      <w:r>
        <w:separator/>
      </w:r>
    </w:p>
  </w:footnote>
  <w:footnote w:type="continuationSeparator" w:id="0">
    <w:p w:rsidR="00AA1B54" w:rsidRDefault="00AA1B54" w:rsidP="00BC6EBB">
      <w:pPr>
        <w:spacing w:after="0" w:line="240" w:lineRule="auto"/>
      </w:pPr>
      <w:r>
        <w:continuationSeparator/>
      </w:r>
    </w:p>
  </w:footnote>
  <w:footnote w:id="1">
    <w:p w:rsidR="00DA729F" w:rsidRDefault="00DA729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علامه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330</w:t>
      </w:r>
    </w:p>
  </w:footnote>
  <w:footnote w:id="2">
    <w:p w:rsidR="00DA729F" w:rsidRDefault="00DA729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الجامع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الصغیر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>، ح 5592</w:t>
      </w:r>
    </w:p>
  </w:footnote>
  <w:footnote w:id="3">
    <w:p w:rsidR="00DA729F" w:rsidRDefault="00DA729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مسند </w:t>
      </w:r>
      <w:proofErr w:type="spellStart"/>
      <w:r>
        <w:rPr>
          <w:rFonts w:hint="cs"/>
          <w:rtl/>
          <w:lang w:bidi="fa-IR"/>
        </w:rPr>
        <w:t>الفردوس</w:t>
      </w:r>
      <w:proofErr w:type="spellEnd"/>
      <w:r>
        <w:rPr>
          <w:rFonts w:hint="cs"/>
          <w:rtl/>
          <w:lang w:bidi="fa-IR"/>
        </w:rPr>
        <w:t>، دیلمی، ح3998</w:t>
      </w:r>
    </w:p>
  </w:footnote>
  <w:footnote w:id="4">
    <w:p w:rsidR="00DA729F" w:rsidRDefault="00DA729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صواعق </w:t>
      </w:r>
      <w:proofErr w:type="spellStart"/>
      <w:r>
        <w:rPr>
          <w:rFonts w:hint="cs"/>
          <w:rtl/>
          <w:lang w:bidi="fa-IR"/>
        </w:rPr>
        <w:t>المحرقه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مکی</w:t>
      </w:r>
      <w:proofErr w:type="spellEnd"/>
      <w:r>
        <w:rPr>
          <w:rFonts w:hint="cs"/>
          <w:rtl/>
          <w:lang w:bidi="fa-IR"/>
        </w:rPr>
        <w:t>، ص 157</w:t>
      </w:r>
    </w:p>
  </w:footnote>
  <w:footnote w:id="5">
    <w:p w:rsidR="00DA729F" w:rsidRDefault="00DA729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فیض </w:t>
      </w:r>
      <w:proofErr w:type="spellStart"/>
      <w:r>
        <w:rPr>
          <w:rFonts w:hint="cs"/>
          <w:rtl/>
          <w:lang w:bidi="fa-IR"/>
        </w:rPr>
        <w:t>القدیر</w:t>
      </w:r>
      <w:proofErr w:type="spellEnd"/>
      <w:r>
        <w:rPr>
          <w:rFonts w:hint="cs"/>
          <w:rtl/>
          <w:lang w:bidi="fa-IR"/>
        </w:rPr>
        <w:t xml:space="preserve">، شرح جامع </w:t>
      </w:r>
      <w:proofErr w:type="spellStart"/>
      <w:r>
        <w:rPr>
          <w:rFonts w:hint="cs"/>
          <w:rtl/>
          <w:lang w:bidi="fa-IR"/>
        </w:rPr>
        <w:t>الصغیر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مناوی</w:t>
      </w:r>
      <w:proofErr w:type="spellEnd"/>
      <w:r>
        <w:rPr>
          <w:rFonts w:hint="cs"/>
          <w:rtl/>
          <w:lang w:bidi="fa-IR"/>
        </w:rPr>
        <w:t>، ج4، ص 454</w:t>
      </w:r>
    </w:p>
  </w:footnote>
  <w:footnote w:id="6">
    <w:p w:rsidR="00DA729F" w:rsidRDefault="00DA729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ج1، ص 532</w:t>
      </w:r>
    </w:p>
  </w:footnote>
  <w:footnote w:id="7">
    <w:p w:rsidR="00991789" w:rsidRDefault="0099178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ابومریم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اعظمی</w:t>
      </w:r>
      <w:proofErr w:type="spellEnd"/>
      <w:r>
        <w:rPr>
          <w:rFonts w:hint="cs"/>
          <w:rtl/>
          <w:lang w:bidi="fa-IR"/>
        </w:rPr>
        <w:t xml:space="preserve">، ج1، ص 467 </w:t>
      </w:r>
    </w:p>
  </w:footnote>
  <w:footnote w:id="8">
    <w:p w:rsidR="00991789" w:rsidRDefault="0099178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ابن حجر، ج2، ص 310</w:t>
      </w:r>
    </w:p>
  </w:footnote>
  <w:footnote w:id="9">
    <w:p w:rsidR="00991789" w:rsidRDefault="0099178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ج1، ص 123</w:t>
      </w:r>
    </w:p>
  </w:footnote>
  <w:footnote w:id="10">
    <w:p w:rsidR="00991789" w:rsidRDefault="0099178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ج1، ص 8</w:t>
      </w:r>
    </w:p>
  </w:footnote>
  <w:footnote w:id="11">
    <w:p w:rsidR="00991789" w:rsidRDefault="0099178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فتح </w:t>
      </w:r>
      <w:proofErr w:type="spellStart"/>
      <w:r>
        <w:rPr>
          <w:rFonts w:hint="cs"/>
          <w:rtl/>
          <w:lang w:bidi="fa-IR"/>
        </w:rPr>
        <w:t>الباری</w:t>
      </w:r>
      <w:proofErr w:type="spellEnd"/>
      <w:r>
        <w:rPr>
          <w:rFonts w:hint="cs"/>
          <w:rtl/>
          <w:lang w:bidi="fa-IR"/>
        </w:rPr>
        <w:t>، ج8، ص 458</w:t>
      </w:r>
    </w:p>
  </w:footnote>
  <w:footnote w:id="12">
    <w:p w:rsidR="00991789" w:rsidRDefault="0099178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الصواعق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المحرقه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مکی</w:t>
      </w:r>
      <w:proofErr w:type="spellEnd"/>
      <w:r>
        <w:rPr>
          <w:rFonts w:hint="cs"/>
          <w:rtl/>
          <w:lang w:bidi="fa-IR"/>
        </w:rPr>
        <w:t>، ص 211</w:t>
      </w:r>
    </w:p>
  </w:footnote>
  <w:footnote w:id="13">
    <w:p w:rsidR="00991789" w:rsidRDefault="0099178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مجمع </w:t>
      </w:r>
      <w:proofErr w:type="spellStart"/>
      <w:r>
        <w:rPr>
          <w:rFonts w:hint="cs"/>
          <w:rtl/>
          <w:lang w:bidi="fa-IR"/>
        </w:rPr>
        <w:t>الزوائد</w:t>
      </w:r>
      <w:proofErr w:type="spellEnd"/>
      <w:r>
        <w:rPr>
          <w:rFonts w:hint="cs"/>
          <w:rtl/>
          <w:lang w:bidi="fa-IR"/>
        </w:rPr>
        <w:t xml:space="preserve">، نورالدین </w:t>
      </w:r>
      <w:proofErr w:type="spellStart"/>
      <w:r>
        <w:rPr>
          <w:rFonts w:hint="cs"/>
          <w:rtl/>
          <w:lang w:bidi="fa-IR"/>
        </w:rPr>
        <w:t>هیثمی</w:t>
      </w:r>
      <w:proofErr w:type="spellEnd"/>
      <w:r>
        <w:rPr>
          <w:rFonts w:hint="cs"/>
          <w:rtl/>
          <w:lang w:bidi="fa-IR"/>
        </w:rPr>
        <w:t>، ج7، ص 103</w:t>
      </w:r>
    </w:p>
  </w:footnote>
  <w:footnote w:id="14">
    <w:p w:rsidR="00997AB6" w:rsidRDefault="00997AB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فیض </w:t>
      </w:r>
      <w:proofErr w:type="spellStart"/>
      <w:r>
        <w:rPr>
          <w:rFonts w:hint="cs"/>
          <w:rtl/>
          <w:lang w:bidi="fa-IR"/>
        </w:rPr>
        <w:t>القدیر</w:t>
      </w:r>
      <w:proofErr w:type="spellEnd"/>
      <w:r>
        <w:rPr>
          <w:rFonts w:hint="cs"/>
          <w:rtl/>
          <w:lang w:bidi="fa-IR"/>
        </w:rPr>
        <w:t>، ج 4، ص454</w:t>
      </w:r>
    </w:p>
  </w:footnote>
  <w:footnote w:id="15">
    <w:p w:rsidR="00997AB6" w:rsidRDefault="00997AB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58</w:t>
      </w:r>
    </w:p>
  </w:footnote>
  <w:footnote w:id="16">
    <w:p w:rsidR="00997AB6" w:rsidRDefault="00997AB6" w:rsidP="00997AB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المعجم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الصغیر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 xml:space="preserve">، ج1، ص 139 و ج2، ص 22 ؛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 xml:space="preserve"> علی </w:t>
      </w:r>
      <w:proofErr w:type="spellStart"/>
      <w:r>
        <w:rPr>
          <w:rFonts w:hint="cs"/>
          <w:rtl/>
          <w:lang w:bidi="fa-IR"/>
        </w:rPr>
        <w:t>الصحیحین</w:t>
      </w:r>
      <w:proofErr w:type="spellEnd"/>
      <w:r>
        <w:rPr>
          <w:rFonts w:hint="cs"/>
          <w:rtl/>
          <w:lang w:bidi="fa-IR"/>
        </w:rPr>
        <w:t xml:space="preserve">، حاکم نیشابوری، ج3، ص 150. برای آگاهی بیشتر در این باره از جهت متن و سند به کتاب </w:t>
      </w:r>
      <w:proofErr w:type="spellStart"/>
      <w:r>
        <w:rPr>
          <w:rFonts w:hint="cs"/>
          <w:rtl/>
          <w:lang w:bidi="fa-IR"/>
        </w:rPr>
        <w:t>امامت</w:t>
      </w:r>
      <w:proofErr w:type="spellEnd"/>
      <w:r>
        <w:rPr>
          <w:rFonts w:hint="cs"/>
          <w:rtl/>
          <w:lang w:bidi="fa-IR"/>
        </w:rPr>
        <w:t xml:space="preserve"> اهل بیت (ع) از دیدگاه قرآن و روایات، ص 248 و 255 رجوع کنند.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CB7EC3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CB7EC3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B7EC3">
      <w:rPr>
        <w:rFonts w:ascii="Tahoma" w:hAnsi="Tahoma" w:cs="Traditional Arabic" w:hint="cs"/>
        <w:sz w:val="28"/>
        <w:szCs w:val="28"/>
        <w:rtl/>
        <w:lang w:bidi="fa-IR"/>
      </w:rPr>
      <w:t>20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60250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77DC1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7CC"/>
    <w:rsid w:val="008D19FA"/>
    <w:rsid w:val="008D2CD2"/>
    <w:rsid w:val="008D4F26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27A21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789"/>
    <w:rsid w:val="00991BBF"/>
    <w:rsid w:val="009951F2"/>
    <w:rsid w:val="009966D5"/>
    <w:rsid w:val="00997AB6"/>
    <w:rsid w:val="009A0D41"/>
    <w:rsid w:val="009A1BA9"/>
    <w:rsid w:val="009A1BC1"/>
    <w:rsid w:val="009A200D"/>
    <w:rsid w:val="009A6E20"/>
    <w:rsid w:val="009B233D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1B54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23D9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B7EC3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A729F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11A08DF-D684-41F7-BCBD-84603A61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2020-11-10T15:45:00Z</dcterms:created>
  <dcterms:modified xsi:type="dcterms:W3CDTF">2020-11-10T16:39:00Z</dcterms:modified>
</cp:coreProperties>
</file>