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111C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>مراجعه 48 و چهل روایت بر امامت امیرالمومنین (ع)</w:t>
      </w:r>
    </w:p>
    <w:p w:rsidR="005F2074" w:rsidRDefault="006E6765" w:rsidP="006928D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شهادت حضرت صدیقه طاهره، فاطمه زهرا (س) که بنابر روایت 75 روز در این ایام واقع شده است </w:t>
      </w:r>
      <w:r w:rsidR="006928D4">
        <w:rPr>
          <w:rFonts w:cs="B Mitra" w:hint="cs"/>
          <w:sz w:val="28"/>
          <w:szCs w:val="28"/>
          <w:rtl/>
          <w:lang w:bidi="fa-IR"/>
        </w:rPr>
        <w:t xml:space="preserve">را </w:t>
      </w:r>
      <w:r>
        <w:rPr>
          <w:rFonts w:cs="B Mitra" w:hint="cs"/>
          <w:sz w:val="28"/>
          <w:szCs w:val="28"/>
          <w:rtl/>
          <w:lang w:bidi="fa-IR"/>
        </w:rPr>
        <w:t xml:space="preserve">به </w:t>
      </w:r>
      <w:r w:rsidR="006928D4">
        <w:rPr>
          <w:rFonts w:cs="B Mitra" w:hint="cs"/>
          <w:sz w:val="28"/>
          <w:szCs w:val="28"/>
          <w:rtl/>
          <w:lang w:bidi="fa-IR"/>
        </w:rPr>
        <w:t xml:space="preserve">محضر </w:t>
      </w:r>
      <w:r>
        <w:rPr>
          <w:rFonts w:cs="B Mitra" w:hint="cs"/>
          <w:sz w:val="28"/>
          <w:szCs w:val="28"/>
          <w:rtl/>
          <w:lang w:bidi="fa-IR"/>
        </w:rPr>
        <w:t xml:space="preserve">مقدس حضرت ولی عصر (عج) و همه محبان و اردتمندان به خاندان عصمت و طهارت تسلیت عرض می کنم. </w:t>
      </w:r>
    </w:p>
    <w:p w:rsidR="006E6765" w:rsidRPr="006E6765" w:rsidRDefault="006E6765" w:rsidP="006E676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6E6765">
        <w:rPr>
          <w:rFonts w:cs="B Mitra"/>
          <w:sz w:val="28"/>
          <w:szCs w:val="28"/>
          <w:rtl/>
          <w:lang w:bidi="fa-IR"/>
        </w:rPr>
        <w:t xml:space="preserve">جلوه گاه عصمت و معیــار ایمان فاطمه (س) </w:t>
      </w:r>
      <w:r w:rsidRPr="006E6765">
        <w:rPr>
          <w:rFonts w:cs="B Mitra"/>
          <w:sz w:val="28"/>
          <w:szCs w:val="28"/>
          <w:rtl/>
          <w:lang w:bidi="fa-IR"/>
        </w:rPr>
        <w:tab/>
      </w:r>
      <w:r w:rsidRPr="006E6765">
        <w:rPr>
          <w:rFonts w:cs="B Mitra"/>
          <w:sz w:val="28"/>
          <w:szCs w:val="28"/>
          <w:rtl/>
          <w:lang w:bidi="fa-IR"/>
        </w:rPr>
        <w:tab/>
        <w:t>روح و جان مصطفی(ص) ، محبوب جانان فاطمه(س)</w:t>
      </w:r>
    </w:p>
    <w:p w:rsidR="006E6765" w:rsidRPr="006E6765" w:rsidRDefault="006E6765" w:rsidP="006E676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6E6765">
        <w:rPr>
          <w:rFonts w:cs="B Mitra"/>
          <w:sz w:val="28"/>
          <w:szCs w:val="28"/>
          <w:rtl/>
          <w:lang w:bidi="fa-IR"/>
        </w:rPr>
        <w:t>راضیــــه هم بر قضاء و بر رضای کبریـــــا</w:t>
      </w:r>
      <w:r w:rsidRPr="006E6765">
        <w:rPr>
          <w:rFonts w:cs="B Mitra"/>
          <w:sz w:val="28"/>
          <w:szCs w:val="28"/>
          <w:rtl/>
          <w:lang w:bidi="fa-IR"/>
        </w:rPr>
        <w:tab/>
      </w:r>
      <w:r w:rsidRPr="006E6765">
        <w:rPr>
          <w:rFonts w:cs="B Mitra"/>
          <w:sz w:val="28"/>
          <w:szCs w:val="28"/>
          <w:rtl/>
          <w:lang w:bidi="fa-IR"/>
        </w:rPr>
        <w:tab/>
        <w:t>زین سبب مرضیـــه نزد حیّ سبحان فاطمه(س)</w:t>
      </w:r>
    </w:p>
    <w:p w:rsidR="006E6765" w:rsidRPr="006E6765" w:rsidRDefault="006E6765" w:rsidP="006E676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6E6765">
        <w:rPr>
          <w:rFonts w:cs="B Mitra"/>
          <w:sz w:val="28"/>
          <w:szCs w:val="28"/>
          <w:rtl/>
          <w:lang w:bidi="fa-IR"/>
        </w:rPr>
        <w:t xml:space="preserve">مریــــم و آسیـــــه فخر بانوان عالمنــــد </w:t>
      </w:r>
      <w:r w:rsidRPr="006E6765">
        <w:rPr>
          <w:rFonts w:cs="B Mitra"/>
          <w:sz w:val="28"/>
          <w:szCs w:val="28"/>
          <w:rtl/>
          <w:lang w:bidi="fa-IR"/>
        </w:rPr>
        <w:tab/>
      </w:r>
      <w:r w:rsidRPr="006E6765">
        <w:rPr>
          <w:rFonts w:cs="B Mitra"/>
          <w:sz w:val="28"/>
          <w:szCs w:val="28"/>
          <w:rtl/>
          <w:lang w:bidi="fa-IR"/>
        </w:rPr>
        <w:tab/>
        <w:t xml:space="preserve">لیک آن دو </w:t>
      </w:r>
      <w:r w:rsidRPr="006E6765">
        <w:rPr>
          <w:rFonts w:cs="B Mitra" w:hint="cs"/>
          <w:sz w:val="28"/>
          <w:szCs w:val="28"/>
          <w:rtl/>
          <w:lang w:bidi="fa-IR"/>
        </w:rPr>
        <w:t xml:space="preserve">چون </w:t>
      </w:r>
      <w:r w:rsidRPr="006E6765">
        <w:rPr>
          <w:rFonts w:cs="B Mitra"/>
          <w:sz w:val="28"/>
          <w:szCs w:val="28"/>
          <w:rtl/>
          <w:lang w:bidi="fa-IR"/>
        </w:rPr>
        <w:t>قمر، خورشید تابان فاطمه(س)</w:t>
      </w:r>
    </w:p>
    <w:p w:rsidR="006E6765" w:rsidRPr="006E6765" w:rsidRDefault="006E6765" w:rsidP="006E676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6E6765">
        <w:rPr>
          <w:rFonts w:cs="B Mitra"/>
          <w:sz w:val="28"/>
          <w:szCs w:val="28"/>
          <w:rtl/>
          <w:lang w:bidi="fa-IR"/>
        </w:rPr>
        <w:t>گر نبودی مرتضـــــی (ع) کفوی برای او نبُد</w:t>
      </w:r>
      <w:r w:rsidRPr="006E6765">
        <w:rPr>
          <w:rFonts w:cs="B Mitra"/>
          <w:sz w:val="28"/>
          <w:szCs w:val="28"/>
          <w:rtl/>
          <w:lang w:bidi="fa-IR"/>
        </w:rPr>
        <w:tab/>
      </w:r>
      <w:r>
        <w:rPr>
          <w:rFonts w:cs="B Mitra"/>
          <w:sz w:val="28"/>
          <w:szCs w:val="28"/>
          <w:rtl/>
          <w:lang w:bidi="fa-IR"/>
        </w:rPr>
        <w:tab/>
      </w:r>
      <w:r w:rsidRPr="006E6765">
        <w:rPr>
          <w:rFonts w:cs="B Mitra"/>
          <w:sz w:val="28"/>
          <w:szCs w:val="28"/>
          <w:rtl/>
          <w:lang w:bidi="fa-IR"/>
        </w:rPr>
        <w:t>یاور و همرزم آن یعسوب ایمان فــ</w:t>
      </w:r>
      <w:r w:rsidRPr="006E6765">
        <w:rPr>
          <w:rFonts w:cs="B Mitra" w:hint="cs"/>
          <w:sz w:val="28"/>
          <w:szCs w:val="28"/>
          <w:rtl/>
          <w:lang w:bidi="fa-IR"/>
        </w:rPr>
        <w:t>ـ</w:t>
      </w:r>
      <w:r w:rsidRPr="006E6765">
        <w:rPr>
          <w:rFonts w:cs="B Mitra"/>
          <w:sz w:val="28"/>
          <w:szCs w:val="28"/>
          <w:rtl/>
          <w:lang w:bidi="fa-IR"/>
        </w:rPr>
        <w:t>ــاطمه(س)</w:t>
      </w:r>
    </w:p>
    <w:p w:rsidR="006E6765" w:rsidRPr="006E6765" w:rsidRDefault="006E6765" w:rsidP="006E676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6E6765">
        <w:rPr>
          <w:rFonts w:cs="B Mitra"/>
          <w:sz w:val="28"/>
          <w:szCs w:val="28"/>
          <w:rtl/>
          <w:lang w:bidi="fa-IR"/>
        </w:rPr>
        <w:t>گفت پیغمبر (ص) فدای او بود بابــــــای او</w:t>
      </w:r>
      <w:r w:rsidRPr="006E6765">
        <w:rPr>
          <w:rFonts w:cs="B Mitra"/>
          <w:sz w:val="28"/>
          <w:szCs w:val="28"/>
          <w:rtl/>
          <w:lang w:bidi="fa-IR"/>
        </w:rPr>
        <w:tab/>
      </w:r>
      <w:r w:rsidRPr="006E6765">
        <w:rPr>
          <w:rFonts w:cs="B Mitra"/>
          <w:sz w:val="28"/>
          <w:szCs w:val="28"/>
          <w:rtl/>
          <w:lang w:bidi="fa-IR"/>
        </w:rPr>
        <w:tab/>
        <w:t>پاره تن مصطفی(ع) را ، روح و ریحان ف</w:t>
      </w:r>
      <w:r w:rsidRPr="006E6765">
        <w:rPr>
          <w:rFonts w:cs="B Mitra" w:hint="cs"/>
          <w:sz w:val="28"/>
          <w:szCs w:val="28"/>
          <w:rtl/>
          <w:lang w:bidi="fa-IR"/>
        </w:rPr>
        <w:t>ــ</w:t>
      </w:r>
      <w:r w:rsidRPr="006E6765">
        <w:rPr>
          <w:rFonts w:cs="B Mitra"/>
          <w:sz w:val="28"/>
          <w:szCs w:val="28"/>
          <w:rtl/>
          <w:lang w:bidi="fa-IR"/>
        </w:rPr>
        <w:t>اطمه(س)</w:t>
      </w:r>
    </w:p>
    <w:p w:rsidR="006E6765" w:rsidRPr="006E6765" w:rsidRDefault="006E6765" w:rsidP="006E6765">
      <w:pPr>
        <w:spacing w:after="60" w:line="20" w:lineRule="atLeast"/>
        <w:jc w:val="both"/>
        <w:rPr>
          <w:rFonts w:ascii="Noor_Mitra" w:hAnsi="Noor_Mitra" w:cs="Noor_Mitra"/>
          <w:noProof/>
          <w:sz w:val="28"/>
          <w:szCs w:val="28"/>
          <w:rtl/>
          <w:lang w:bidi="fa-IR"/>
        </w:rPr>
      </w:pPr>
      <w:r w:rsidRPr="006E6765">
        <w:rPr>
          <w:rFonts w:ascii="Noor_Mitra" w:hAnsi="Noor_Mitra" w:cs="Noor_Mitra"/>
          <w:noProof/>
          <w:sz w:val="28"/>
          <w:szCs w:val="28"/>
          <w:rtl/>
          <w:lang w:bidi="fa-IR"/>
        </w:rPr>
        <w:t xml:space="preserve">با خدیجه گفتگو قبل از ولادت می نـــــمود </w:t>
      </w:r>
      <w:r w:rsidRPr="006E6765">
        <w:rPr>
          <w:rFonts w:ascii="Noor_Mitra" w:hAnsi="Noor_Mitra" w:cs="Noor_Mitra"/>
          <w:noProof/>
          <w:sz w:val="28"/>
          <w:szCs w:val="28"/>
          <w:rtl/>
          <w:lang w:bidi="fa-IR"/>
        </w:rPr>
        <w:tab/>
      </w:r>
      <w:r w:rsidRPr="006E6765">
        <w:rPr>
          <w:rFonts w:ascii="Noor_Mitra" w:hAnsi="Noor_Mitra" w:cs="Noor_Mitra"/>
          <w:noProof/>
          <w:sz w:val="28"/>
          <w:szCs w:val="28"/>
          <w:rtl/>
          <w:lang w:bidi="fa-IR"/>
        </w:rPr>
        <w:tab/>
        <w:t>مام را هم مونس و هم نور چشمان فـاطمه(س)</w:t>
      </w:r>
    </w:p>
    <w:p w:rsidR="006928D4" w:rsidRDefault="006928D4" w:rsidP="006928D4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6928D4" w:rsidRPr="005F2074" w:rsidRDefault="006928D4" w:rsidP="006928D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>ادامه بحث درباره حدیث هجدهم</w:t>
      </w:r>
    </w:p>
    <w:p w:rsidR="006E6765" w:rsidRDefault="006E6765" w:rsidP="006928D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صحبت درباره روایتی بود که ابومریم اعظمی آن را در مقابل حدیث «من اذی علیا فقد آذانی» مطرح کرده بود. در آن روایت آمده است</w:t>
      </w:r>
      <w:r w:rsidR="006928D4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«من آذی عباس فقط آذانی». وی گفته است هر چند </w:t>
      </w:r>
      <w:r w:rsidR="006928D4">
        <w:rPr>
          <w:rFonts w:cs="B Mitra" w:hint="cs"/>
          <w:sz w:val="28"/>
          <w:szCs w:val="28"/>
          <w:rtl/>
          <w:lang w:bidi="fa-IR"/>
        </w:rPr>
        <w:t xml:space="preserve">آنچه در روایت آمده است </w:t>
      </w:r>
      <w:r>
        <w:rPr>
          <w:rFonts w:cs="B Mitra" w:hint="cs"/>
          <w:sz w:val="28"/>
          <w:szCs w:val="28"/>
          <w:rtl/>
          <w:lang w:bidi="fa-IR"/>
        </w:rPr>
        <w:t xml:space="preserve">فضیلتی برای امیرالمومنین (ع) است اما یک فضیلت ویژه </w:t>
      </w:r>
      <w:r w:rsidR="006928D4">
        <w:rPr>
          <w:rFonts w:cs="B Mitra" w:hint="cs"/>
          <w:sz w:val="28"/>
          <w:szCs w:val="28"/>
          <w:rtl/>
          <w:lang w:bidi="fa-IR"/>
        </w:rPr>
        <w:t>و اختصاصی نیست،</w:t>
      </w:r>
      <w:r>
        <w:rPr>
          <w:rFonts w:cs="B Mitra" w:hint="cs"/>
          <w:sz w:val="28"/>
          <w:szCs w:val="28"/>
          <w:rtl/>
          <w:lang w:bidi="fa-IR"/>
        </w:rPr>
        <w:t xml:space="preserve"> زیرا در مورد عباس و دیگران نیز وارد شده است.</w:t>
      </w:r>
    </w:p>
    <w:p w:rsidR="00F91D3C" w:rsidRDefault="006E6765" w:rsidP="00C4695E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گفته شد با صرف نظر از بحث سندی، از نظر دلالی </w:t>
      </w:r>
      <w:r w:rsidR="00F91D3C">
        <w:rPr>
          <w:rFonts w:cs="B Mitra" w:hint="cs"/>
          <w:sz w:val="28"/>
          <w:szCs w:val="28"/>
          <w:rtl/>
          <w:lang w:bidi="fa-IR"/>
        </w:rPr>
        <w:t xml:space="preserve">وقتی به قرائن موجود رجوع می کنیم می </w:t>
      </w:r>
      <w:r w:rsidR="00C4695E">
        <w:rPr>
          <w:rFonts w:cs="B Mitra" w:hint="cs"/>
          <w:sz w:val="28"/>
          <w:szCs w:val="28"/>
          <w:rtl/>
          <w:lang w:bidi="fa-IR"/>
        </w:rPr>
        <w:t xml:space="preserve">یابیم که آنچه در مورد </w:t>
      </w:r>
      <w:r w:rsidR="00F91D3C">
        <w:rPr>
          <w:rFonts w:cs="B Mitra" w:hint="cs"/>
          <w:sz w:val="28"/>
          <w:szCs w:val="28"/>
          <w:rtl/>
          <w:lang w:bidi="fa-IR"/>
        </w:rPr>
        <w:t xml:space="preserve">عباس </w:t>
      </w:r>
      <w:r w:rsidR="00C4695E">
        <w:rPr>
          <w:rFonts w:cs="B Mitra" w:hint="cs"/>
          <w:sz w:val="28"/>
          <w:szCs w:val="28"/>
          <w:rtl/>
          <w:lang w:bidi="fa-IR"/>
        </w:rPr>
        <w:t xml:space="preserve">بیان شده است مربوط به </w:t>
      </w:r>
      <w:r w:rsidR="00F91D3C">
        <w:rPr>
          <w:rFonts w:cs="B Mitra" w:hint="cs"/>
          <w:sz w:val="28"/>
          <w:szCs w:val="28"/>
          <w:rtl/>
          <w:lang w:bidi="fa-IR"/>
        </w:rPr>
        <w:t>مساله خویشاوندی و نسب</w:t>
      </w:r>
      <w:r w:rsidR="00C4695E">
        <w:rPr>
          <w:rFonts w:cs="B Mitra" w:hint="cs"/>
          <w:sz w:val="28"/>
          <w:szCs w:val="28"/>
          <w:rtl/>
          <w:lang w:bidi="fa-IR"/>
        </w:rPr>
        <w:t xml:space="preserve">ت ایشان با پیامبر اکرم (ص) </w:t>
      </w:r>
      <w:r w:rsidR="00F91D3C">
        <w:rPr>
          <w:rFonts w:cs="B Mitra" w:hint="cs"/>
          <w:sz w:val="28"/>
          <w:szCs w:val="28"/>
          <w:rtl/>
          <w:lang w:bidi="fa-IR"/>
        </w:rPr>
        <w:t>بر می گردد</w:t>
      </w:r>
      <w:r w:rsidR="00C4695E">
        <w:rPr>
          <w:rFonts w:cs="B Mitra" w:hint="cs"/>
          <w:sz w:val="28"/>
          <w:szCs w:val="28"/>
          <w:rtl/>
          <w:lang w:bidi="fa-IR"/>
        </w:rPr>
        <w:t>،</w:t>
      </w:r>
      <w:r w:rsidR="00F91D3C">
        <w:rPr>
          <w:rFonts w:cs="B Mitra" w:hint="cs"/>
          <w:sz w:val="28"/>
          <w:szCs w:val="28"/>
          <w:rtl/>
          <w:lang w:bidi="fa-IR"/>
        </w:rPr>
        <w:t xml:space="preserve"> اما آنچه درباره امیرالمومنین (ع) آمده مربوط به </w:t>
      </w:r>
      <w:r w:rsidR="00C4695E">
        <w:rPr>
          <w:rFonts w:cs="B Mitra" w:hint="cs"/>
          <w:sz w:val="28"/>
          <w:szCs w:val="28"/>
          <w:rtl/>
          <w:lang w:bidi="fa-IR"/>
        </w:rPr>
        <w:t xml:space="preserve">شخصیت و مقام و </w:t>
      </w:r>
      <w:r w:rsidR="00F91D3C">
        <w:rPr>
          <w:rFonts w:cs="B Mitra" w:hint="cs"/>
          <w:sz w:val="28"/>
          <w:szCs w:val="28"/>
          <w:rtl/>
          <w:lang w:bidi="fa-IR"/>
        </w:rPr>
        <w:t>ولایت ایشان است.</w:t>
      </w:r>
    </w:p>
    <w:p w:rsidR="006E6765" w:rsidRDefault="00F91D3C" w:rsidP="00C4695E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با توجه به آنچه درباره روایت </w:t>
      </w:r>
      <w:r w:rsidR="00C4695E">
        <w:rPr>
          <w:rFonts w:cs="B Mitra" w:hint="cs"/>
          <w:sz w:val="28"/>
          <w:szCs w:val="28"/>
          <w:rtl/>
          <w:lang w:bidi="fa-IR"/>
        </w:rPr>
        <w:t>«</w:t>
      </w:r>
      <w:r>
        <w:rPr>
          <w:rFonts w:cs="B Mitra" w:hint="cs"/>
          <w:sz w:val="28"/>
          <w:szCs w:val="28"/>
          <w:rtl/>
          <w:lang w:bidi="fa-IR"/>
        </w:rPr>
        <w:t>من آذی عباس</w:t>
      </w:r>
      <w:r w:rsidR="00C4695E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 بیان شد، جواب دو حدیث دیگری که صاحب کتاب الحجج الدامغات آورده است نیز روشن می شود. آن دو حدیث عبارت است از: «من آذی جاره فقد آذانی» </w:t>
      </w:r>
      <w:r w:rsidR="00C4695E">
        <w:rPr>
          <w:rFonts w:cs="B Mitra" w:hint="cs"/>
          <w:sz w:val="28"/>
          <w:szCs w:val="28"/>
          <w:rtl/>
          <w:lang w:bidi="fa-IR"/>
        </w:rPr>
        <w:t xml:space="preserve">و </w:t>
      </w:r>
      <w:r>
        <w:rPr>
          <w:rFonts w:cs="B Mitra" w:hint="cs"/>
          <w:sz w:val="28"/>
          <w:szCs w:val="28"/>
          <w:rtl/>
          <w:lang w:bidi="fa-IR"/>
        </w:rPr>
        <w:t>«من آذی مسلما فقد آذانی».</w:t>
      </w:r>
      <w:r w:rsidR="006E6765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در این دو حدیث نیز با صرف نظر از بحث سندی، از جهت دلالی نمی تواند معارض </w:t>
      </w:r>
      <w:r w:rsidR="00C4695E">
        <w:rPr>
          <w:rFonts w:cs="B Mitra" w:hint="cs"/>
          <w:sz w:val="28"/>
          <w:szCs w:val="28"/>
          <w:rtl/>
          <w:lang w:bidi="fa-IR"/>
        </w:rPr>
        <w:t>حدیث «من اذی علیا» به شمار آید.</w:t>
      </w:r>
      <w:r>
        <w:rPr>
          <w:rFonts w:cs="B Mitra" w:hint="cs"/>
          <w:sz w:val="28"/>
          <w:szCs w:val="28"/>
          <w:rtl/>
          <w:lang w:bidi="fa-IR"/>
        </w:rPr>
        <w:t xml:space="preserve"> توضیح اینکه اذیت مسلمان و همسایه سه گونه ممکن است واقع شود: </w:t>
      </w:r>
    </w:p>
    <w:p w:rsidR="00F91D3C" w:rsidRDefault="00F91D3C" w:rsidP="00C4695E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1. اذیت با عمل نامشروع</w:t>
      </w:r>
      <w:r w:rsidR="00C4695E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مانند غیبت و تجاوز به مال و آبروی </w:t>
      </w:r>
      <w:r w:rsidR="00C4695E">
        <w:rPr>
          <w:rFonts w:cs="B Mitra" w:hint="cs"/>
          <w:sz w:val="28"/>
          <w:szCs w:val="28"/>
          <w:rtl/>
          <w:lang w:bidi="fa-IR"/>
        </w:rPr>
        <w:t>دیگری</w:t>
      </w:r>
      <w:r>
        <w:rPr>
          <w:rFonts w:cs="B Mitra" w:hint="cs"/>
          <w:sz w:val="28"/>
          <w:szCs w:val="28"/>
          <w:rtl/>
          <w:lang w:bidi="fa-IR"/>
        </w:rPr>
        <w:t xml:space="preserve">. قطعا اینگونه ایذاء حرام است و در حرمت آن تردیدی نیست. </w:t>
      </w:r>
    </w:p>
    <w:p w:rsidR="00F91D3C" w:rsidRDefault="00F91D3C" w:rsidP="00C4695E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اذیت با عمل و گفتار مشروع، مانند امر به معروف و نهی از منکر. این </w:t>
      </w:r>
      <w:r w:rsidR="00C4695E">
        <w:rPr>
          <w:rFonts w:cs="B Mitra" w:hint="cs"/>
          <w:sz w:val="28"/>
          <w:szCs w:val="28"/>
          <w:rtl/>
          <w:lang w:bidi="fa-IR"/>
        </w:rPr>
        <w:t xml:space="preserve">ایذاء </w:t>
      </w:r>
      <w:r>
        <w:rPr>
          <w:rFonts w:cs="B Mitra" w:hint="cs"/>
          <w:sz w:val="28"/>
          <w:szCs w:val="28"/>
          <w:rtl/>
          <w:lang w:bidi="fa-IR"/>
        </w:rPr>
        <w:t xml:space="preserve">قطعا مشروع است و بر </w:t>
      </w:r>
      <w:r w:rsidR="00C4695E">
        <w:rPr>
          <w:rFonts w:cs="B Mitra" w:hint="cs"/>
          <w:sz w:val="28"/>
          <w:szCs w:val="28"/>
          <w:rtl/>
          <w:lang w:bidi="fa-IR"/>
        </w:rPr>
        <w:t xml:space="preserve">آن </w:t>
      </w:r>
      <w:r>
        <w:rPr>
          <w:rFonts w:cs="B Mitra" w:hint="cs"/>
          <w:sz w:val="28"/>
          <w:szCs w:val="28"/>
          <w:rtl/>
          <w:lang w:bidi="fa-IR"/>
        </w:rPr>
        <w:t>اشکالی وارد نیست.</w:t>
      </w:r>
    </w:p>
    <w:p w:rsidR="00F91D3C" w:rsidRDefault="00F91D3C" w:rsidP="00435E2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>3. اذیت با عمل و گفتار مباح، . از آنجا که مسلمان و همسایه حریمی دارد</w:t>
      </w:r>
      <w:r w:rsidR="00435E28">
        <w:rPr>
          <w:rFonts w:cs="B Mitra" w:hint="cs"/>
          <w:sz w:val="28"/>
          <w:szCs w:val="28"/>
          <w:rtl/>
          <w:lang w:bidi="fa-IR"/>
        </w:rPr>
        <w:t xml:space="preserve">، این ایذاء سبب می شود آن امر مباح، </w:t>
      </w:r>
      <w:r>
        <w:rPr>
          <w:rFonts w:cs="B Mitra" w:hint="cs"/>
          <w:sz w:val="28"/>
          <w:szCs w:val="28"/>
          <w:rtl/>
          <w:lang w:bidi="fa-IR"/>
        </w:rPr>
        <w:t xml:space="preserve">مکروه یا حرام </w:t>
      </w:r>
      <w:r w:rsidR="00435E28">
        <w:rPr>
          <w:rFonts w:cs="B Mitra" w:hint="cs"/>
          <w:sz w:val="28"/>
          <w:szCs w:val="28"/>
          <w:rtl/>
          <w:lang w:bidi="fa-IR"/>
        </w:rPr>
        <w:t xml:space="preserve">باشد، </w:t>
      </w:r>
      <w:r>
        <w:rPr>
          <w:rFonts w:cs="B Mitra" w:hint="cs"/>
          <w:sz w:val="28"/>
          <w:szCs w:val="28"/>
          <w:rtl/>
          <w:lang w:bidi="fa-IR"/>
        </w:rPr>
        <w:t xml:space="preserve">مانند اینکه انسان با صدای بلند سخن بگوید. این سخن که به خودی خود اشکالی ندارد اگر موجب ایذاء مومن شود حرام است. </w:t>
      </w:r>
    </w:p>
    <w:p w:rsidR="003E6E47" w:rsidRDefault="003E6E47" w:rsidP="009816C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روشن است که این موارد</w:t>
      </w:r>
      <w:r w:rsidR="009816C9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با روایتی که مربوط به امیرالمومنین (ع) است تعارض و رقابتی </w:t>
      </w:r>
      <w:r w:rsidR="009816C9">
        <w:rPr>
          <w:rFonts w:cs="B Mitra" w:hint="cs"/>
          <w:sz w:val="28"/>
          <w:szCs w:val="28"/>
          <w:rtl/>
          <w:lang w:bidi="fa-IR"/>
        </w:rPr>
        <w:t xml:space="preserve">ندارد، زیرا آنچه درباره </w:t>
      </w:r>
      <w:r>
        <w:rPr>
          <w:rFonts w:cs="B Mitra" w:hint="cs"/>
          <w:sz w:val="28"/>
          <w:szCs w:val="28"/>
          <w:rtl/>
          <w:lang w:bidi="fa-IR"/>
        </w:rPr>
        <w:t xml:space="preserve">امیرالمومنین (ع) </w:t>
      </w:r>
      <w:r w:rsidR="009816C9">
        <w:rPr>
          <w:rFonts w:cs="B Mitra" w:hint="cs"/>
          <w:sz w:val="28"/>
          <w:szCs w:val="28"/>
          <w:rtl/>
          <w:lang w:bidi="fa-IR"/>
        </w:rPr>
        <w:t xml:space="preserve">وارد شده است مربوط به </w:t>
      </w:r>
      <w:r>
        <w:rPr>
          <w:rFonts w:cs="B Mitra" w:hint="cs"/>
          <w:sz w:val="28"/>
          <w:szCs w:val="28"/>
          <w:rtl/>
          <w:lang w:bidi="fa-IR"/>
        </w:rPr>
        <w:t xml:space="preserve">شخصیت معنوی </w:t>
      </w:r>
      <w:r w:rsidR="009816C9">
        <w:rPr>
          <w:rFonts w:cs="B Mitra" w:hint="cs"/>
          <w:sz w:val="28"/>
          <w:szCs w:val="28"/>
          <w:rtl/>
          <w:lang w:bidi="fa-IR"/>
        </w:rPr>
        <w:t xml:space="preserve">و </w:t>
      </w:r>
      <w:r>
        <w:rPr>
          <w:rFonts w:cs="B Mitra" w:hint="cs"/>
          <w:sz w:val="28"/>
          <w:szCs w:val="28"/>
          <w:rtl/>
          <w:lang w:bidi="fa-IR"/>
        </w:rPr>
        <w:t xml:space="preserve">حجت </w:t>
      </w:r>
      <w:r w:rsidR="009816C9">
        <w:rPr>
          <w:rFonts w:cs="B Mitra" w:hint="cs"/>
          <w:sz w:val="28"/>
          <w:szCs w:val="28"/>
          <w:rtl/>
          <w:lang w:bidi="fa-IR"/>
        </w:rPr>
        <w:t>بودن ایشان است</w:t>
      </w:r>
      <w:r>
        <w:rPr>
          <w:rFonts w:cs="B Mitra" w:hint="cs"/>
          <w:sz w:val="28"/>
          <w:szCs w:val="28"/>
          <w:rtl/>
          <w:lang w:bidi="fa-IR"/>
        </w:rPr>
        <w:t xml:space="preserve">.   </w:t>
      </w:r>
    </w:p>
    <w:p w:rsidR="003E6E47" w:rsidRPr="005F2074" w:rsidRDefault="003E6E47" w:rsidP="0006596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حاصل سخن این که در حدیث </w:t>
      </w:r>
      <w:r w:rsidR="0006596D">
        <w:rPr>
          <w:rFonts w:cs="B Mitra" w:hint="cs"/>
          <w:sz w:val="28"/>
          <w:szCs w:val="28"/>
          <w:rtl/>
          <w:lang w:bidi="fa-IR"/>
        </w:rPr>
        <w:t>«</w:t>
      </w:r>
      <w:r>
        <w:rPr>
          <w:rFonts w:cs="B Mitra" w:hint="cs"/>
          <w:sz w:val="28"/>
          <w:szCs w:val="28"/>
          <w:rtl/>
          <w:lang w:bidi="fa-IR"/>
        </w:rPr>
        <w:t>من آذی علیا فقد آذانی</w:t>
      </w:r>
      <w:r w:rsidR="0006596D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>، ملاک حرمت اذیت، شخصیت معنوی علی (ع) است</w:t>
      </w:r>
      <w:r w:rsidR="0006596D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ولی در دو حدیث مزبور ملاک</w:t>
      </w:r>
      <w:r w:rsidR="0006596D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حرمت همسایگی و مسلمانی است و بر افضلیت و عصمت دلالت ندارد. بنابراین منافاتی با اختصاصی بودن آن حدیث به امیرالمومنین (ع) نخواهد داشت. </w:t>
      </w:r>
    </w:p>
    <w:p w:rsidR="005F2074" w:rsidRDefault="005F2074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3E6E47" w:rsidRPr="003E6E47" w:rsidRDefault="003E6E47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3E6E47">
        <w:rPr>
          <w:rFonts w:cs="B Mitra" w:hint="cs"/>
          <w:color w:val="FF0000"/>
          <w:sz w:val="28"/>
          <w:szCs w:val="28"/>
          <w:rtl/>
          <w:lang w:bidi="fa-IR"/>
        </w:rPr>
        <w:t>حدیث نوزدهم از مراجعه 48</w:t>
      </w:r>
    </w:p>
    <w:p w:rsidR="003E6E47" w:rsidRDefault="003E6E47" w:rsidP="003E6E47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 w:rsidRPr="003E6E47">
        <w:rPr>
          <w:rFonts w:cs="B Mitra" w:hint="cs"/>
          <w:sz w:val="28"/>
          <w:szCs w:val="28"/>
          <w:rtl/>
          <w:lang w:bidi="fa-IR"/>
        </w:rPr>
        <w:t>قوله صلّى اللّه عليه و آله و سلّم: «من أحب عليا فقد أحبني، و من أبغض‏ عليا فقد أبغضني»</w:t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3E6E47" w:rsidRDefault="003E6E47" w:rsidP="0006596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حاکم نیشابوری در مستدرک این روایت را نقل کرده و گفته است</w:t>
      </w:r>
      <w:r w:rsidR="0006596D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مطابق شرط شیخین صحیح است. ذهبی نیز در تلخیص آن را صحیح دانسته و مطابق شرط شیخین دانسته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 امام شرف الدین </w:t>
      </w:r>
      <w:r w:rsidR="0006596D">
        <w:rPr>
          <w:rFonts w:cs="B Mitra" w:hint="cs"/>
          <w:sz w:val="28"/>
          <w:szCs w:val="28"/>
          <w:rtl/>
          <w:lang w:bidi="fa-IR"/>
        </w:rPr>
        <w:t xml:space="preserve">در ادامه </w:t>
      </w:r>
      <w:r>
        <w:rPr>
          <w:rFonts w:cs="B Mitra" w:hint="cs"/>
          <w:sz w:val="28"/>
          <w:szCs w:val="28"/>
          <w:rtl/>
          <w:lang w:bidi="fa-IR"/>
        </w:rPr>
        <w:t xml:space="preserve">می فرماید: همانند این حدیث است سخن امیرالمومنین (ع) که فرمود: </w:t>
      </w:r>
      <w:r w:rsidRPr="003E6E47">
        <w:rPr>
          <w:rFonts w:cs="B Mitra" w:hint="cs"/>
          <w:sz w:val="28"/>
          <w:szCs w:val="28"/>
          <w:rtl/>
          <w:lang w:bidi="fa-IR"/>
        </w:rPr>
        <w:t>«و الذي فلق الحبة، و برأ النسمة، إنه لعهد النبي الأمي صلّى اللّه عليه و آله و سلّم، لا يحبني إلّا مؤمن، و لا يبغضني إلا</w:t>
      </w:r>
      <w:r w:rsidRPr="003E6E47">
        <w:rPr>
          <w:rFonts w:hint="cs"/>
          <w:rtl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منافق‏</w:t>
      </w:r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>
        <w:rPr>
          <w:rFonts w:cs="B Mitra" w:hint="cs"/>
          <w:sz w:val="28"/>
          <w:szCs w:val="28"/>
          <w:rtl/>
          <w:lang w:bidi="fa-IR"/>
        </w:rPr>
        <w:t xml:space="preserve"> این روایت را مسلم در صحیح خویش آورده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>
        <w:rPr>
          <w:rFonts w:cs="B Mitra" w:hint="cs"/>
          <w:sz w:val="28"/>
          <w:szCs w:val="28"/>
          <w:rtl/>
          <w:lang w:bidi="fa-IR"/>
        </w:rPr>
        <w:t xml:space="preserve"> ابن عبدالبر مضمون این حدیث را در کتاب الاستیعاب بیان کرده است. علامه سپس می فرماید: «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و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قد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تواتر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قوله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صلّى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اللّه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عليه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و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آله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و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سلّم</w:t>
      </w:r>
      <w:r w:rsidRPr="003E6E47">
        <w:rPr>
          <w:rFonts w:cs="B Mitra"/>
          <w:sz w:val="28"/>
          <w:szCs w:val="28"/>
          <w:rtl/>
          <w:lang w:bidi="fa-IR"/>
        </w:rPr>
        <w:t>: «</w:t>
      </w:r>
      <w:r w:rsidRPr="003E6E47">
        <w:rPr>
          <w:rFonts w:cs="B Mitra" w:hint="cs"/>
          <w:sz w:val="28"/>
          <w:szCs w:val="28"/>
          <w:rtl/>
          <w:lang w:bidi="fa-IR"/>
        </w:rPr>
        <w:t>اللهم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وال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من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والاه،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و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عاد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من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عاداه</w:t>
      </w:r>
      <w:r w:rsidRPr="003E6E47">
        <w:rPr>
          <w:rFonts w:cs="B Mitra" w:hint="eastAsia"/>
          <w:sz w:val="28"/>
          <w:szCs w:val="28"/>
          <w:rtl/>
          <w:lang w:bidi="fa-IR"/>
        </w:rPr>
        <w:t>»</w:t>
      </w:r>
      <w:r w:rsidRPr="003E6E47">
        <w:rPr>
          <w:rFonts w:cs="B Mitra" w:hint="cs"/>
          <w:sz w:val="28"/>
          <w:szCs w:val="28"/>
          <w:rtl/>
          <w:lang w:bidi="fa-IR"/>
        </w:rPr>
        <w:t>،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كما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اعترف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بذلك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صاحب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الفتاوى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الحامدية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في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رسالته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الموسومة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بالصلاة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الفاخرة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في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الأحاديث</w:t>
      </w:r>
      <w:r w:rsidRPr="003E6E47">
        <w:rPr>
          <w:rFonts w:cs="B Mitra"/>
          <w:sz w:val="28"/>
          <w:szCs w:val="28"/>
          <w:rtl/>
          <w:lang w:bidi="fa-IR"/>
        </w:rPr>
        <w:t xml:space="preserve"> </w:t>
      </w:r>
      <w:r w:rsidRPr="003E6E47">
        <w:rPr>
          <w:rFonts w:cs="B Mitra" w:hint="cs"/>
          <w:sz w:val="28"/>
          <w:szCs w:val="28"/>
          <w:rtl/>
          <w:lang w:bidi="fa-IR"/>
        </w:rPr>
        <w:t>المتواترة</w:t>
      </w:r>
      <w:r>
        <w:rPr>
          <w:rFonts w:cs="B Mitra" w:hint="cs"/>
          <w:sz w:val="28"/>
          <w:szCs w:val="28"/>
          <w:rtl/>
          <w:lang w:bidi="fa-IR"/>
        </w:rPr>
        <w:t xml:space="preserve">». دعای پیامبر اکرم (ص) نیز همان مضمون روایت را دارد. </w:t>
      </w:r>
    </w:p>
    <w:p w:rsidR="003E6E47" w:rsidRDefault="00761DCA" w:rsidP="0006596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صحت سند روایت جای تردیدی نیست</w:t>
      </w:r>
      <w:r w:rsidR="0006596D">
        <w:rPr>
          <w:rFonts w:cs="B Mitra" w:hint="cs"/>
          <w:sz w:val="28"/>
          <w:szCs w:val="28"/>
          <w:rtl/>
          <w:lang w:bidi="fa-IR"/>
        </w:rPr>
        <w:t xml:space="preserve"> و </w:t>
      </w:r>
      <w:r>
        <w:rPr>
          <w:rFonts w:cs="B Mitra" w:hint="cs"/>
          <w:sz w:val="28"/>
          <w:szCs w:val="28"/>
          <w:rtl/>
          <w:lang w:bidi="fa-IR"/>
        </w:rPr>
        <w:t>مضمون آن به تواتر نقل شده است. از نظر دلالت نیز همسان بودن محبت داشتن و خشم گرفتن بر علی (ع) با محبت ورزیدن و خشم گرفتن پیامبر اکرم (ص) دلالت بر افضلیت و عصمت امیرالمومنین (ع) دارد</w:t>
      </w:r>
      <w:r w:rsidR="0006596D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زیرا نشان می دهد که ایشان از نظر شخصیت و مقام معنوی در تراز شخصیت و مقام پیامبر اکرم (ص) </w:t>
      </w:r>
      <w:r w:rsidR="0006596D">
        <w:rPr>
          <w:rFonts w:cs="B Mitra" w:hint="cs"/>
          <w:sz w:val="28"/>
          <w:szCs w:val="28"/>
          <w:rtl/>
          <w:lang w:bidi="fa-IR"/>
        </w:rPr>
        <w:t>هستند</w:t>
      </w:r>
      <w:r>
        <w:rPr>
          <w:rFonts w:cs="B Mitra" w:hint="cs"/>
          <w:sz w:val="28"/>
          <w:szCs w:val="28"/>
          <w:rtl/>
          <w:lang w:bidi="fa-IR"/>
        </w:rPr>
        <w:t xml:space="preserve">. از آنجا که افضلیت از شرایط امامت است، روایت یاد شده بر 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امامت علی (ع) دلالت می کند و مدلول آن موید آیه ولایت است. </w:t>
      </w:r>
    </w:p>
    <w:p w:rsidR="0041437D" w:rsidRPr="0006596D" w:rsidRDefault="0041437D" w:rsidP="0041437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06596D">
        <w:rPr>
          <w:rFonts w:cs="B Mitra" w:hint="cs"/>
          <w:color w:val="FF0000"/>
          <w:sz w:val="28"/>
          <w:szCs w:val="28"/>
          <w:rtl/>
          <w:lang w:bidi="fa-IR"/>
        </w:rPr>
        <w:t>اشکال ابومریم اعظمی</w:t>
      </w:r>
    </w:p>
    <w:p w:rsidR="00152713" w:rsidRDefault="003474B2" w:rsidP="003474B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صاحب الحجج الدامغات، </w:t>
      </w:r>
      <w:r w:rsidR="0041437D">
        <w:rPr>
          <w:rFonts w:cs="B Mitra" w:hint="cs"/>
          <w:sz w:val="28"/>
          <w:szCs w:val="28"/>
          <w:rtl/>
          <w:lang w:bidi="fa-IR"/>
        </w:rPr>
        <w:t>ابتدا بر حاکم و ذهبی خرده گرفته و می گوید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 در سند این روایت سعید بن اوس است که از رجال صحیحین نمی باشد و از طرفی از آن وثاقت بالا نیز برخوردار نیست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 همان طور که ابن حجر گفته است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 «صدوق له اوهام»، لذا سند روایت حسن است نه صحیح. </w:t>
      </w:r>
      <w:r>
        <w:rPr>
          <w:rFonts w:cs="B Mitra" w:hint="cs"/>
          <w:sz w:val="28"/>
          <w:szCs w:val="28"/>
          <w:rtl/>
          <w:lang w:bidi="fa-IR"/>
        </w:rPr>
        <w:t xml:space="preserve">وی 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بعد از این اشکال صرف نظر کرده و </w:t>
      </w:r>
      <w:r>
        <w:rPr>
          <w:rFonts w:cs="B Mitra" w:hint="cs"/>
          <w:sz w:val="28"/>
          <w:szCs w:val="28"/>
          <w:rtl/>
          <w:lang w:bidi="fa-IR"/>
        </w:rPr>
        <w:t xml:space="preserve">گفته است: </w:t>
      </w:r>
      <w:r w:rsidR="00152713">
        <w:rPr>
          <w:rFonts w:cs="B Mitra" w:hint="cs"/>
          <w:sz w:val="28"/>
          <w:szCs w:val="28"/>
          <w:rtl/>
          <w:lang w:bidi="fa-IR"/>
        </w:rPr>
        <w:t xml:space="preserve">البته 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با توجه به شواهدی که دارد می توان آن را صحیح دانست. </w:t>
      </w:r>
    </w:p>
    <w:p w:rsidR="0041437D" w:rsidRDefault="00152713" w:rsidP="0015271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ابومریم </w:t>
      </w:r>
      <w:r w:rsidR="0041437D">
        <w:rPr>
          <w:rFonts w:cs="B Mitra" w:hint="cs"/>
          <w:sz w:val="28"/>
          <w:szCs w:val="28"/>
          <w:rtl/>
          <w:lang w:bidi="fa-IR"/>
        </w:rPr>
        <w:t>از نظر دلالت همان اشکال پیشین را مطرح کرده و گفته است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 این فضیلت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 اختصاصی به امیرالمومنین (ع) نداشته و نمی تواند به عنوان دلیل افضلیت ایشان به شمار آید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 زیرا همانند </w:t>
      </w:r>
      <w:r>
        <w:rPr>
          <w:rFonts w:cs="B Mitra" w:hint="cs"/>
          <w:sz w:val="28"/>
          <w:szCs w:val="28"/>
          <w:rtl/>
          <w:lang w:bidi="fa-IR"/>
        </w:rPr>
        <w:t xml:space="preserve">آن و یا برتر از آن در مورد دیگران نیز وارد شده است 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، مانند اینکه پیامبر اکرم (ص) در مورد انصار فرمود: «من </w:t>
      </w:r>
      <w:r>
        <w:rPr>
          <w:rFonts w:cs="B Mitra" w:hint="cs"/>
          <w:sz w:val="28"/>
          <w:szCs w:val="28"/>
          <w:rtl/>
          <w:lang w:bidi="fa-IR"/>
        </w:rPr>
        <w:t>أ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حب الانصار فقد </w:t>
      </w:r>
      <w:r>
        <w:rPr>
          <w:rFonts w:cs="B Mitra" w:hint="cs"/>
          <w:sz w:val="28"/>
          <w:szCs w:val="28"/>
          <w:rtl/>
          <w:lang w:bidi="fa-IR"/>
        </w:rPr>
        <w:t>أ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حب الله و من </w:t>
      </w:r>
      <w:r>
        <w:rPr>
          <w:rFonts w:cs="B Mitra" w:hint="cs"/>
          <w:sz w:val="28"/>
          <w:szCs w:val="28"/>
          <w:rtl/>
          <w:lang w:bidi="fa-IR"/>
        </w:rPr>
        <w:t>أ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بغض الانصار فقد </w:t>
      </w:r>
      <w:r>
        <w:rPr>
          <w:rFonts w:cs="B Mitra" w:hint="cs"/>
          <w:sz w:val="28"/>
          <w:szCs w:val="28"/>
          <w:rtl/>
          <w:lang w:bidi="fa-IR"/>
        </w:rPr>
        <w:t>أ</w:t>
      </w:r>
      <w:r w:rsidR="0041437D">
        <w:rPr>
          <w:rFonts w:cs="B Mitra" w:hint="cs"/>
          <w:sz w:val="28"/>
          <w:szCs w:val="28"/>
          <w:rtl/>
          <w:lang w:bidi="fa-IR"/>
        </w:rPr>
        <w:t>بغض الله». در روایت دیگر آمده است</w:t>
      </w:r>
      <w:r>
        <w:rPr>
          <w:rFonts w:cs="B Mitra" w:hint="cs"/>
          <w:sz w:val="28"/>
          <w:szCs w:val="28"/>
          <w:rtl/>
          <w:lang w:bidi="fa-IR"/>
        </w:rPr>
        <w:t>: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 «من </w:t>
      </w:r>
      <w:r>
        <w:rPr>
          <w:rFonts w:cs="B Mitra" w:hint="cs"/>
          <w:sz w:val="28"/>
          <w:szCs w:val="28"/>
          <w:rtl/>
          <w:lang w:bidi="fa-IR"/>
        </w:rPr>
        <w:t>أ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حب الانصار فبحبی </w:t>
      </w:r>
      <w:r>
        <w:rPr>
          <w:rFonts w:cs="B Mitra" w:hint="cs"/>
          <w:sz w:val="28"/>
          <w:szCs w:val="28"/>
          <w:rtl/>
          <w:lang w:bidi="fa-IR"/>
        </w:rPr>
        <w:t>أ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حبهم و </w:t>
      </w:r>
      <w:bookmarkStart w:id="0" w:name="_GoBack"/>
      <w:bookmarkEnd w:id="0"/>
      <w:r w:rsidR="0041437D">
        <w:rPr>
          <w:rFonts w:cs="B Mitra" w:hint="cs"/>
          <w:sz w:val="28"/>
          <w:szCs w:val="28"/>
          <w:rtl/>
          <w:lang w:bidi="fa-IR"/>
        </w:rPr>
        <w:t xml:space="preserve">من </w:t>
      </w:r>
      <w:r>
        <w:rPr>
          <w:rFonts w:cs="B Mitra" w:hint="cs"/>
          <w:sz w:val="28"/>
          <w:szCs w:val="28"/>
          <w:rtl/>
          <w:lang w:bidi="fa-IR"/>
        </w:rPr>
        <w:t>أ</w:t>
      </w:r>
      <w:r w:rsidR="0041437D">
        <w:rPr>
          <w:rFonts w:cs="B Mitra" w:hint="cs"/>
          <w:sz w:val="28"/>
          <w:szCs w:val="28"/>
          <w:rtl/>
          <w:lang w:bidi="fa-IR"/>
        </w:rPr>
        <w:t xml:space="preserve">بغض الانصار فببغضی </w:t>
      </w:r>
      <w:r>
        <w:rPr>
          <w:rFonts w:cs="B Mitra" w:hint="cs"/>
          <w:sz w:val="28"/>
          <w:szCs w:val="28"/>
          <w:rtl/>
          <w:lang w:bidi="fa-IR"/>
        </w:rPr>
        <w:t>أ</w:t>
      </w:r>
      <w:r w:rsidR="0041437D">
        <w:rPr>
          <w:rFonts w:cs="B Mitra" w:hint="cs"/>
          <w:sz w:val="28"/>
          <w:szCs w:val="28"/>
          <w:rtl/>
          <w:lang w:bidi="fa-IR"/>
        </w:rPr>
        <w:t>بغضهم».</w:t>
      </w:r>
      <w:r w:rsidR="0041437D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</w:p>
    <w:p w:rsidR="0041437D" w:rsidRDefault="006928D4" w:rsidP="0041437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بررسی این مساله انشاءالله در جلسه آینده بیان خواهد شد.</w:t>
      </w:r>
    </w:p>
    <w:p w:rsidR="006928D4" w:rsidRDefault="006928D4" w:rsidP="0041437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3E6E47" w:rsidRPr="005F2074" w:rsidRDefault="003E6E47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F2074" w:rsidRPr="005F2074" w:rsidRDefault="005F2074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F2074" w:rsidRPr="005F2074" w:rsidRDefault="005F2074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F2074" w:rsidRPr="00981DD2" w:rsidRDefault="005F2074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 صل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ACD" w:rsidRDefault="00EE5ACD" w:rsidP="00BC6EBB">
      <w:pPr>
        <w:spacing w:after="0" w:line="240" w:lineRule="auto"/>
      </w:pPr>
      <w:r>
        <w:separator/>
      </w:r>
    </w:p>
  </w:endnote>
  <w:endnote w:type="continuationSeparator" w:id="0">
    <w:p w:rsidR="00EE5ACD" w:rsidRDefault="00EE5ACD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oor_Mitra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ACD" w:rsidRDefault="00EE5ACD" w:rsidP="00BC6EBB">
      <w:pPr>
        <w:spacing w:after="0" w:line="240" w:lineRule="auto"/>
      </w:pPr>
      <w:r>
        <w:separator/>
      </w:r>
    </w:p>
  </w:footnote>
  <w:footnote w:type="continuationSeparator" w:id="0">
    <w:p w:rsidR="00EE5ACD" w:rsidRDefault="00EE5ACD" w:rsidP="00BC6EBB">
      <w:pPr>
        <w:spacing w:after="0" w:line="240" w:lineRule="auto"/>
      </w:pPr>
      <w:r>
        <w:continuationSeparator/>
      </w:r>
    </w:p>
  </w:footnote>
  <w:footnote w:id="1">
    <w:p w:rsidR="003E6E47" w:rsidRDefault="003E6E4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المستدرک علی الصحیحین، حاکم نیشابوری، ج3، ص 141، ح 4648</w:t>
      </w:r>
    </w:p>
  </w:footnote>
  <w:footnote w:id="2">
    <w:p w:rsidR="003E6E47" w:rsidRDefault="003E6E4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المراجعات، علامه شرف الدین، ص 336- 337</w:t>
      </w:r>
    </w:p>
  </w:footnote>
  <w:footnote w:id="3">
    <w:p w:rsidR="003E6E47" w:rsidRDefault="003E6E4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الصحیح، مسلم، ج1، ص 86، ح 131</w:t>
      </w:r>
    </w:p>
  </w:footnote>
  <w:footnote w:id="4">
    <w:p w:rsidR="0041437D" w:rsidRDefault="0041437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المعجم الکبیر، طبرانی، ج19، ص 294، ح 789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 الله الرحمن الرحيم</w:t>
    </w:r>
  </w:p>
  <w:p w:rsidR="00090F00" w:rsidRDefault="00090F00" w:rsidP="0044618F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 بر مبنای کتاب المراجعات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ربانی گلپايگانی، تاريخ: </w:t>
    </w:r>
    <w:r w:rsidR="00B111CF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8367B8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44618F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8367B8">
      <w:rPr>
        <w:rFonts w:ascii="Tahoma" w:hAnsi="Tahoma" w:cs="Traditional Arabic" w:hint="cs"/>
        <w:sz w:val="28"/>
        <w:szCs w:val="28"/>
        <w:rtl/>
        <w:lang w:bidi="fa-IR"/>
      </w:rPr>
      <w:t>10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96D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2713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474B2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E6E47"/>
    <w:rsid w:val="003F460A"/>
    <w:rsid w:val="003F7BCD"/>
    <w:rsid w:val="0040205A"/>
    <w:rsid w:val="00403330"/>
    <w:rsid w:val="0041437D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5E28"/>
    <w:rsid w:val="00436172"/>
    <w:rsid w:val="00440986"/>
    <w:rsid w:val="00442F3F"/>
    <w:rsid w:val="004444B5"/>
    <w:rsid w:val="0044618F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28D4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6765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1DCA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16C9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4695E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5ACD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1D3C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unhideWhenUsed/>
    <w:rsid w:val="006E6765"/>
    <w:pPr>
      <w:spacing w:after="0" w:line="240" w:lineRule="auto"/>
    </w:pPr>
    <w:rPr>
      <w:rFonts w:asciiTheme="minorHAnsi" w:eastAsiaTheme="minorHAnsi" w:hAnsiTheme="minorHAnsi" w:cs="B Mitra"/>
      <w:noProof/>
      <w:sz w:val="20"/>
      <w:szCs w:val="20"/>
      <w:lang w:bidi="fa-IR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E6765"/>
    <w:rPr>
      <w:rFonts w:asciiTheme="minorHAnsi" w:eastAsiaTheme="minorHAnsi" w:hAnsiTheme="minorHAnsi" w:cs="B Mitra"/>
      <w:noProof/>
    </w:rPr>
  </w:style>
  <w:style w:type="character" w:styleId="EndnoteReference">
    <w:name w:val="endnote reference"/>
    <w:basedOn w:val="DefaultParagraphFont"/>
    <w:uiPriority w:val="99"/>
    <w:semiHidden/>
    <w:unhideWhenUsed/>
    <w:rsid w:val="006E67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3FD339A-AEC1-434B-985B-43DDD378A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2020-12-29T17:56:00Z</dcterms:created>
  <dcterms:modified xsi:type="dcterms:W3CDTF">2020-12-29T19:09:00Z</dcterms:modified>
</cp:coreProperties>
</file>