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3B68DA" w:rsidRDefault="003B68DA" w:rsidP="003B68D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حدیث 18 و </w:t>
      </w:r>
      <w:r w:rsidRPr="00981DD2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اشکالات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B147BE" w:rsidRDefault="003B68DA" w:rsidP="008C5AD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بحث درباره حدیث هجدهم از مراجعه 48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است. در اینجا دو حدیث مورد بحث قرار گرفت: </w:t>
      </w:r>
      <w:r w:rsidRPr="00C70576">
        <w:rPr>
          <w:rFonts w:cs="B Mitra"/>
          <w:sz w:val="28"/>
          <w:szCs w:val="28"/>
          <w:rtl/>
          <w:lang w:bidi="fa-IR"/>
        </w:rPr>
        <w:t>«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سبّ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فقد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سبّني</w:t>
      </w:r>
      <w:proofErr w:type="spellEnd"/>
      <w:r w:rsidRPr="00C70576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r w:rsidRPr="00C70576">
        <w:rPr>
          <w:rFonts w:cs="B Mitra"/>
          <w:sz w:val="28"/>
          <w:szCs w:val="28"/>
          <w:rtl/>
          <w:lang w:bidi="fa-IR"/>
        </w:rPr>
        <w:t>«</w:t>
      </w:r>
      <w:r w:rsidRPr="00C70576">
        <w:rPr>
          <w:rFonts w:cs="B Mitra" w:hint="cs"/>
          <w:sz w:val="28"/>
          <w:szCs w:val="28"/>
          <w:rtl/>
          <w:lang w:bidi="fa-IR"/>
        </w:rPr>
        <w:t>من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آذى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r w:rsidRPr="00C70576">
        <w:rPr>
          <w:rFonts w:cs="B Mitra" w:hint="cs"/>
          <w:sz w:val="28"/>
          <w:szCs w:val="28"/>
          <w:rtl/>
          <w:lang w:bidi="fa-IR"/>
        </w:rPr>
        <w:t>فقد</w:t>
      </w:r>
      <w:r w:rsidRPr="00C7057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70576">
        <w:rPr>
          <w:rFonts w:cs="B Mitra" w:hint="cs"/>
          <w:sz w:val="28"/>
          <w:szCs w:val="28"/>
          <w:rtl/>
          <w:lang w:bidi="fa-IR"/>
        </w:rPr>
        <w:t>آذاني</w:t>
      </w:r>
      <w:proofErr w:type="spellEnd"/>
      <w:r w:rsidRPr="00C70576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B147BE">
        <w:rPr>
          <w:rFonts w:cs="B Mitra" w:hint="cs"/>
          <w:sz w:val="28"/>
          <w:szCs w:val="28"/>
          <w:rtl/>
          <w:lang w:bidi="fa-IR"/>
        </w:rPr>
        <w:t xml:space="preserve"> در جلسه قبل درباره </w:t>
      </w:r>
      <w:r w:rsidR="008C5AD4">
        <w:rPr>
          <w:rFonts w:cs="B Mitra" w:hint="cs"/>
          <w:sz w:val="28"/>
          <w:szCs w:val="28"/>
          <w:rtl/>
          <w:lang w:bidi="fa-IR"/>
        </w:rPr>
        <w:t xml:space="preserve">این دو </w:t>
      </w:r>
      <w:r w:rsidR="00B147BE">
        <w:rPr>
          <w:rFonts w:cs="B Mitra" w:hint="cs"/>
          <w:sz w:val="28"/>
          <w:szCs w:val="28"/>
          <w:rtl/>
          <w:lang w:bidi="fa-IR"/>
        </w:rPr>
        <w:t>حدیث گفته شد</w:t>
      </w:r>
      <w:r w:rsidR="008C5AD4">
        <w:rPr>
          <w:rFonts w:cs="B Mitra" w:hint="cs"/>
          <w:sz w:val="28"/>
          <w:szCs w:val="28"/>
          <w:rtl/>
          <w:lang w:bidi="fa-IR"/>
        </w:rPr>
        <w:t>:</w:t>
      </w:r>
      <w:r w:rsidR="00B147BE">
        <w:rPr>
          <w:rFonts w:cs="B Mitra" w:hint="cs"/>
          <w:sz w:val="28"/>
          <w:szCs w:val="28"/>
          <w:rtl/>
          <w:lang w:bidi="fa-IR"/>
        </w:rPr>
        <w:t xml:space="preserve"> </w:t>
      </w:r>
      <w:r w:rsidR="008C5AD4">
        <w:rPr>
          <w:rFonts w:cs="B Mitra" w:hint="cs"/>
          <w:sz w:val="28"/>
          <w:szCs w:val="28"/>
          <w:rtl/>
          <w:lang w:bidi="fa-IR"/>
        </w:rPr>
        <w:t xml:space="preserve">از جهت سند </w:t>
      </w:r>
      <w:r w:rsidR="00B147BE">
        <w:rPr>
          <w:rFonts w:cs="B Mitra" w:hint="cs"/>
          <w:sz w:val="28"/>
          <w:szCs w:val="28"/>
          <w:rtl/>
          <w:lang w:bidi="fa-IR"/>
        </w:rPr>
        <w:t xml:space="preserve">در </w:t>
      </w:r>
      <w:r w:rsidR="008C5AD4">
        <w:rPr>
          <w:rFonts w:cs="B Mitra" w:hint="cs"/>
          <w:sz w:val="28"/>
          <w:szCs w:val="28"/>
          <w:rtl/>
          <w:lang w:bidi="fa-IR"/>
        </w:rPr>
        <w:t xml:space="preserve">صحت آنها </w:t>
      </w:r>
      <w:r w:rsidR="00B147BE">
        <w:rPr>
          <w:rFonts w:cs="B Mitra" w:hint="cs"/>
          <w:sz w:val="28"/>
          <w:szCs w:val="28"/>
          <w:rtl/>
          <w:lang w:bidi="fa-IR"/>
        </w:rPr>
        <w:t xml:space="preserve">هیچ گونه تردیدی وجود ندارد و از نظر دلالت نیز گفته شد، این دو حدیث به دلالت التزامی بر </w:t>
      </w:r>
      <w:proofErr w:type="spellStart"/>
      <w:r w:rsidR="00B147BE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B147BE">
        <w:rPr>
          <w:rFonts w:cs="B Mitra" w:hint="cs"/>
          <w:sz w:val="28"/>
          <w:szCs w:val="28"/>
          <w:rtl/>
          <w:lang w:bidi="fa-IR"/>
        </w:rPr>
        <w:t xml:space="preserve"> امیرالمومنین (ع) دلالت می کنند و صرفا بیان یک فضیلت </w:t>
      </w:r>
      <w:r w:rsidR="008C5AD4">
        <w:rPr>
          <w:rFonts w:cs="B Mitra" w:hint="cs"/>
          <w:sz w:val="28"/>
          <w:szCs w:val="28"/>
          <w:rtl/>
          <w:lang w:bidi="fa-IR"/>
        </w:rPr>
        <w:t xml:space="preserve">عمومی </w:t>
      </w:r>
      <w:proofErr w:type="spellStart"/>
      <w:r w:rsidR="00B147BE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B147BE">
        <w:rPr>
          <w:rFonts w:cs="B Mitra" w:hint="cs"/>
          <w:sz w:val="28"/>
          <w:szCs w:val="28"/>
          <w:rtl/>
          <w:lang w:bidi="fa-IR"/>
        </w:rPr>
        <w:t xml:space="preserve"> باشند. </w:t>
      </w:r>
    </w:p>
    <w:p w:rsidR="006D20C7" w:rsidRPr="006D20C7" w:rsidRDefault="006D20C7" w:rsidP="003B68D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6D20C7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</w:t>
      </w:r>
      <w:proofErr w:type="spellStart"/>
      <w:r w:rsidRPr="006D20C7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Pr="006D20C7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6D20C7"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</w:p>
    <w:p w:rsidR="005F2074" w:rsidRDefault="00B147BE" w:rsidP="008566A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الحجج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المدامغات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سند این دو روایت سخنی ندارد</w:t>
      </w:r>
      <w:r w:rsidR="008566A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از نظر دلالت می گوید</w:t>
      </w:r>
      <w:r w:rsidR="008566A9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566A9">
        <w:rPr>
          <w:rFonts w:cs="B Mitra" w:hint="cs"/>
          <w:sz w:val="28"/>
          <w:szCs w:val="28"/>
          <w:rtl/>
          <w:lang w:bidi="fa-IR"/>
        </w:rPr>
        <w:t xml:space="preserve">نهایت </w:t>
      </w:r>
      <w:r>
        <w:rPr>
          <w:rFonts w:cs="B Mitra" w:hint="cs"/>
          <w:sz w:val="28"/>
          <w:szCs w:val="28"/>
          <w:rtl/>
          <w:lang w:bidi="fa-IR"/>
        </w:rPr>
        <w:t xml:space="preserve">چیزی که از این دو حدیث می توان استفاده کرد، دلالت آنها بر یک فضیلت مشترک و نه ویژه است، زیرا دیگر صحابه نیز از این فضیلت برخوردار بودند. وی برای اثبات این مطلب چند روایت آورده است که از این قرار است: </w:t>
      </w:r>
    </w:p>
    <w:p w:rsidR="00B147BE" w:rsidRDefault="00B147BE" w:rsidP="00B147B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«من سب اصحابی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سبنی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وی این روایت را از </w:t>
      </w:r>
      <w:r>
        <w:rPr>
          <w:rFonts w:cs="B Mitra" w:hint="cs"/>
          <w:sz w:val="28"/>
          <w:szCs w:val="28"/>
          <w:rtl/>
          <w:lang w:bidi="fa-IR"/>
        </w:rPr>
        <w:t xml:space="preserve">دو منبع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</w:t>
      </w:r>
      <w:r>
        <w:rPr>
          <w:rFonts w:cs="B Mitra" w:hint="cs"/>
          <w:sz w:val="28"/>
          <w:szCs w:val="28"/>
          <w:rtl/>
          <w:lang w:bidi="fa-IR"/>
        </w:rPr>
        <w:t>کامل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ج4، ص 1526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سارم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ص 5</w:t>
      </w:r>
      <w:r>
        <w:rPr>
          <w:rFonts w:cs="B Mitra" w:hint="cs"/>
          <w:sz w:val="28"/>
          <w:szCs w:val="28"/>
          <w:rtl/>
          <w:lang w:bidi="fa-IR"/>
        </w:rPr>
        <w:t>7</w:t>
      </w:r>
      <w:r>
        <w:rPr>
          <w:rFonts w:cs="B Mitra" w:hint="cs"/>
          <w:sz w:val="28"/>
          <w:szCs w:val="28"/>
          <w:rtl/>
          <w:lang w:bidi="fa-IR"/>
        </w:rPr>
        <w:t xml:space="preserve">7  نقل کرده است. </w:t>
      </w:r>
    </w:p>
    <w:p w:rsidR="00B147BE" w:rsidRDefault="00B147BE" w:rsidP="00B147B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«من سب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العباس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فقد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سبنی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 وی این روایت را از طبقات</w:t>
      </w:r>
      <w:r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ابن سعد، ج4، ص 151 و تهذیب تاریخ دمشق،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عساکر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ج7، ص 237 و 239 نقل کرده است. </w:t>
      </w:r>
    </w:p>
    <w:p w:rsidR="00B147BE" w:rsidRDefault="00B147BE" w:rsidP="00B147B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«من سب اصحابی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فعلیه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لعنه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الله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الملائکه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الناس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اجمعین». وی این روایت را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المعجم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ح 12709 از ابن عباس نقل کرده است.</w:t>
      </w:r>
    </w:p>
    <w:p w:rsidR="00B147BE" w:rsidRDefault="00B147BE" w:rsidP="006D20C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«لعن الله من سب اصحابی». وی این روایت را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معجم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ج17، ص 132 </w:t>
      </w:r>
      <w:r>
        <w:rPr>
          <w:rFonts w:cs="B Mitra" w:hint="cs"/>
          <w:sz w:val="28"/>
          <w:szCs w:val="28"/>
          <w:rtl/>
          <w:lang w:bidi="fa-IR"/>
        </w:rPr>
        <w:t>و</w:t>
      </w:r>
      <w:r>
        <w:rPr>
          <w:rFonts w:cs="B Mitra" w:hint="cs"/>
          <w:sz w:val="28"/>
          <w:szCs w:val="28"/>
          <w:rtl/>
          <w:lang w:bidi="fa-IR"/>
        </w:rPr>
        <w:t xml:space="preserve"> 349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ابونعیم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الحلیه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ج2، ص 11 نقل کرده است.</w:t>
      </w:r>
      <w:r>
        <w:rPr>
          <w:rFonts w:cs="B Mitra" w:hint="cs"/>
          <w:sz w:val="28"/>
          <w:szCs w:val="28"/>
          <w:rtl/>
          <w:lang w:bidi="fa-IR"/>
        </w:rPr>
        <w:t xml:space="preserve"> وی همچنین از ابن عمر نیز این حدیث را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معجم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ش 13588 نقل کرده است.</w:t>
      </w:r>
    </w:p>
    <w:p w:rsidR="00B147BE" w:rsidRDefault="00B147BE" w:rsidP="006D20C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6D20C7">
        <w:rPr>
          <w:rFonts w:cs="B Mitra" w:hint="cs"/>
          <w:sz w:val="28"/>
          <w:szCs w:val="28"/>
          <w:rtl/>
          <w:lang w:bidi="fa-IR"/>
        </w:rPr>
        <w:t xml:space="preserve">سپس </w:t>
      </w:r>
      <w:r>
        <w:rPr>
          <w:rFonts w:cs="B Mitra" w:hint="cs"/>
          <w:sz w:val="28"/>
          <w:szCs w:val="28"/>
          <w:rtl/>
          <w:lang w:bidi="fa-IR"/>
        </w:rPr>
        <w:t xml:space="preserve">می گوید </w:t>
      </w:r>
      <w:r w:rsidR="006D20C7">
        <w:rPr>
          <w:rFonts w:cs="B Mitra" w:hint="cs"/>
          <w:sz w:val="28"/>
          <w:szCs w:val="28"/>
          <w:rtl/>
          <w:lang w:bidi="fa-IR"/>
        </w:rPr>
        <w:t xml:space="preserve">آیا با وجود این روایات، یک فضیلت ویژه برای امیرالمومنین (ع) در مورد حرمت سب قلمداد می شود؟ </w:t>
      </w:r>
      <w:r w:rsidR="006D20C7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B147BE" w:rsidRPr="006D20C7" w:rsidRDefault="00B147BE" w:rsidP="003B68DA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6D20C7">
        <w:rPr>
          <w:rFonts w:cs="B Mitra" w:hint="cs"/>
          <w:color w:val="FF0000"/>
          <w:sz w:val="28"/>
          <w:szCs w:val="28"/>
          <w:rtl/>
          <w:lang w:bidi="fa-IR"/>
        </w:rPr>
        <w:t>ارزیابی</w:t>
      </w:r>
    </w:p>
    <w:p w:rsidR="00B147BE" w:rsidRDefault="006D20C7" w:rsidP="003B68DA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الف) </w:t>
      </w:r>
      <w:r w:rsidR="00B147BE">
        <w:rPr>
          <w:rFonts w:cs="B Mitra" w:hint="cs"/>
          <w:sz w:val="28"/>
          <w:szCs w:val="28"/>
          <w:rtl/>
          <w:lang w:bidi="fa-IR"/>
        </w:rPr>
        <w:t>در مورد روایت اول</w:t>
      </w:r>
      <w:r>
        <w:rPr>
          <w:rFonts w:cs="B Mitra" w:hint="cs"/>
          <w:sz w:val="28"/>
          <w:szCs w:val="28"/>
          <w:rtl/>
          <w:lang w:bidi="fa-IR"/>
        </w:rPr>
        <w:t xml:space="preserve"> دو نکته را بیان می کنیم:</w:t>
      </w:r>
    </w:p>
    <w:p w:rsidR="006D20C7" w:rsidRDefault="006D20C7" w:rsidP="009F4582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السارم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المسلوم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سندی برای این روایت نقل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کند و تنها </w:t>
      </w:r>
      <w:r w:rsidR="008566A9">
        <w:rPr>
          <w:rFonts w:cs="B Mitra" w:hint="cs"/>
          <w:sz w:val="28"/>
          <w:szCs w:val="28"/>
          <w:rtl/>
          <w:lang w:bidi="fa-IR"/>
        </w:rPr>
        <w:t xml:space="preserve">آن را </w:t>
      </w:r>
      <w:r>
        <w:rPr>
          <w:rFonts w:cs="B Mitra" w:hint="cs"/>
          <w:sz w:val="28"/>
          <w:szCs w:val="28"/>
          <w:rtl/>
          <w:lang w:bidi="fa-IR"/>
        </w:rPr>
        <w:t>به ابن بنا نسبت می دهد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. لذا این روایت مرسل و بدون سند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تواند با روایت صحیح معارضه کند.</w:t>
      </w:r>
    </w:p>
    <w:p w:rsidR="006D20C7" w:rsidRDefault="006D20C7" w:rsidP="009F458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2. روایت در کامل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 سند ذکر شده است</w:t>
      </w:r>
      <w:r w:rsidR="009F4582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در سند آن عبدالله بن خراش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آمده است </w:t>
      </w:r>
      <w:r>
        <w:rPr>
          <w:rFonts w:cs="B Mitra" w:hint="cs"/>
          <w:sz w:val="28"/>
          <w:szCs w:val="28"/>
          <w:rtl/>
          <w:lang w:bidi="fa-IR"/>
        </w:rPr>
        <w:t xml:space="preserve">که ضعیف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وی گفته است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دار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قطنی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دیگران او را تضعیف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</w:t>
      </w:r>
      <w:r w:rsidR="009F4582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 w:rsidR="009F4582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ابوزرعه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قابل اعتماد نیست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حدیثش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 ارزش است</w:t>
      </w:r>
      <w:r w:rsidR="009F4582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بخاری او را منکر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همچنین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 عبد بن خراش ضعیف است و ابن عمار او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کذاب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6D20C7" w:rsidRDefault="006D20C7" w:rsidP="009F458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خود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الکامل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سخن بخاری درباره منکر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بودن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ابن خراش را </w:t>
      </w:r>
      <w:r>
        <w:rPr>
          <w:rFonts w:cs="B Mitra" w:hint="cs"/>
          <w:sz w:val="28"/>
          <w:szCs w:val="28"/>
          <w:rtl/>
          <w:lang w:bidi="fa-IR"/>
        </w:rPr>
        <w:t>نقل می کند و بعد از اینکه تعدادی روایت از وی نقل کرده می گوید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وی روایات دیگری نیز دارد «و عامه ما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یرویه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محفوظ» یعنی همه روایت او فاقد اعتبار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6D20C7" w:rsidRDefault="006D20C7" w:rsidP="006D20C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اکنون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آیا </w:t>
      </w:r>
      <w:r>
        <w:rPr>
          <w:rFonts w:cs="B Mitra" w:hint="cs"/>
          <w:sz w:val="28"/>
          <w:szCs w:val="28"/>
          <w:rtl/>
          <w:lang w:bidi="fa-IR"/>
        </w:rPr>
        <w:t xml:space="preserve">چنین روایتی که در یک منبع مرسل است و در منبع دیگر ضعیف، می تواند به عنوان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 روایت صحیح مورد استناد قرار گیرد؟ </w:t>
      </w:r>
    </w:p>
    <w:p w:rsidR="006D20C7" w:rsidRDefault="006D20C7" w:rsidP="006D20C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ب) روایت دوم:</w:t>
      </w:r>
    </w:p>
    <w:p w:rsidR="006D20C7" w:rsidRDefault="006D20C7" w:rsidP="009F4582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سند این روایت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عبدالاعلی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عامر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ثعلبی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وجود دارد که تضعیف شده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ابوعبدالله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ابوزرعه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وی را ضعیف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و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زهیر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یحیی بن معین نقل کرده است که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او </w:t>
      </w:r>
      <w:r>
        <w:rPr>
          <w:rFonts w:cs="B Mitra" w:hint="cs"/>
          <w:sz w:val="28"/>
          <w:szCs w:val="28"/>
          <w:rtl/>
          <w:lang w:bidi="fa-IR"/>
        </w:rPr>
        <w:t>فرد قوی نیست.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سخنان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ابوزرعه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ابن معین را نقل کرده و افزوده است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206AC6">
        <w:rPr>
          <w:rFonts w:cs="B Mitra" w:hint="cs"/>
          <w:sz w:val="28"/>
          <w:szCs w:val="28"/>
          <w:rtl/>
          <w:lang w:bidi="fa-IR"/>
        </w:rPr>
        <w:t xml:space="preserve">هم گفته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این فرد قوی نیست. ابن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گفته است وی چیزهایی نقل می کند که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متفرد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است و کسی موافق با وی نیست. ابوعلی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کرابیسی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206AC6">
        <w:rPr>
          <w:rFonts w:cs="B Mitra" w:hint="cs"/>
          <w:sz w:val="28"/>
          <w:szCs w:val="28"/>
          <w:rtl/>
          <w:lang w:bidi="fa-IR"/>
        </w:rPr>
        <w:t xml:space="preserve">او را سست ترین مردم دانسته است.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عقیلی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گفته است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 w:rsidR="00206AC6">
        <w:rPr>
          <w:rFonts w:cs="B Mitra" w:hint="cs"/>
          <w:sz w:val="28"/>
          <w:szCs w:val="28"/>
          <w:rtl/>
          <w:lang w:bidi="fa-IR"/>
        </w:rPr>
        <w:t xml:space="preserve"> ابن مهدی و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قط</w:t>
      </w:r>
      <w:r w:rsidR="009F4582">
        <w:rPr>
          <w:rFonts w:cs="B Mitra" w:hint="cs"/>
          <w:sz w:val="28"/>
          <w:szCs w:val="28"/>
          <w:rtl/>
          <w:lang w:bidi="fa-IR"/>
        </w:rPr>
        <w:t>ّ</w:t>
      </w:r>
      <w:r w:rsidR="00206AC6">
        <w:rPr>
          <w:rFonts w:cs="B Mitra" w:hint="cs"/>
          <w:sz w:val="28"/>
          <w:szCs w:val="28"/>
          <w:rtl/>
          <w:lang w:bidi="fa-IR"/>
        </w:rPr>
        <w:t>ان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او را ترک کرده و از وی روایت نقل نکرده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>. و ابن سعد صاحب طبقات گفته است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 w:rsidR="00206AC6">
        <w:rPr>
          <w:rFonts w:cs="B Mitra" w:hint="cs"/>
          <w:sz w:val="28"/>
          <w:szCs w:val="28"/>
          <w:rtl/>
          <w:lang w:bidi="fa-IR"/>
        </w:rPr>
        <w:t xml:space="preserve"> حدیث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وی </w:t>
      </w:r>
      <w:r w:rsidR="00206AC6">
        <w:rPr>
          <w:rFonts w:cs="B Mitra" w:hint="cs"/>
          <w:sz w:val="28"/>
          <w:szCs w:val="28"/>
          <w:rtl/>
          <w:lang w:bidi="fa-IR"/>
        </w:rPr>
        <w:t xml:space="preserve">ضعیف بود.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دارقطنی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نیز گفته است او نزد عالمان حدیث قوی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باشد. </w:t>
      </w:r>
      <w:r w:rsidR="00206AC6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</w:p>
    <w:p w:rsidR="006D20C7" w:rsidRPr="005F2074" w:rsidRDefault="00206AC6" w:rsidP="009F458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احمد محمد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شاکر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عالمان حدیث شناس معاصر، حدیث دیگری درباره عباس نقل کرده است و متن آن چنین است </w:t>
      </w:r>
      <w:r>
        <w:rPr>
          <w:rFonts w:cs="B Mitra" w:hint="cs"/>
          <w:sz w:val="28"/>
          <w:szCs w:val="28"/>
          <w:rtl/>
          <w:lang w:bidi="fa-IR"/>
        </w:rPr>
        <w:t xml:space="preserve">«ان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العباس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منی و انا منه»</w:t>
      </w:r>
      <w:r>
        <w:rPr>
          <w:rFonts w:cs="B Mitra" w:hint="cs"/>
          <w:sz w:val="28"/>
          <w:szCs w:val="28"/>
          <w:rtl/>
          <w:lang w:bidi="fa-IR"/>
        </w:rPr>
        <w:t xml:space="preserve"> و در سند 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عبدالاعلی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عامر وجود دارد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. وی </w:t>
      </w:r>
      <w:r>
        <w:rPr>
          <w:rFonts w:cs="B Mitra" w:hint="cs"/>
          <w:sz w:val="28"/>
          <w:szCs w:val="28"/>
          <w:rtl/>
          <w:lang w:bidi="fa-IR"/>
        </w:rPr>
        <w:t>آن حدیث را به خاطر این راوی ضعیف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9F4582" w:rsidRDefault="00206AC6" w:rsidP="00206AC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206AC6">
        <w:rPr>
          <w:rFonts w:cs="B Mitra" w:hint="cs"/>
          <w:color w:val="FF0000"/>
          <w:sz w:val="28"/>
          <w:szCs w:val="28"/>
          <w:rtl/>
          <w:lang w:bidi="fa-IR"/>
        </w:rPr>
        <w:t>نکته: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F2074" w:rsidRDefault="00206AC6" w:rsidP="009F4582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lastRenderedPageBreak/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بعد از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عبدالاعلی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عامر را غیر قوی دانسته گفته است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یکتب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حدیثه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. دار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قطنی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بعد از اینکه می گوید</w:t>
      </w:r>
      <w:r w:rsidR="009F4582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لیس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بقوی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عندهم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گفته است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یعتبر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 یعنی هم قدح و هم مدح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برای وی ذکر شده است. </w:t>
      </w:r>
      <w:r>
        <w:rPr>
          <w:rFonts w:cs="B Mitra" w:hint="cs"/>
          <w:sz w:val="28"/>
          <w:szCs w:val="28"/>
          <w:rtl/>
          <w:lang w:bidi="fa-IR"/>
        </w:rPr>
        <w:t xml:space="preserve">مقصود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از </w:t>
      </w:r>
      <w:r>
        <w:rPr>
          <w:rFonts w:cs="B Mitra" w:hint="cs"/>
          <w:sz w:val="28"/>
          <w:szCs w:val="28"/>
          <w:rtl/>
          <w:lang w:bidi="fa-IR"/>
        </w:rPr>
        <w:t xml:space="preserve">این دو تعبیر مدح این است که حدیث او اینگونه نیست که صد در صد کنار گذاشته شود </w:t>
      </w:r>
      <w:r w:rsidR="009F4582">
        <w:rPr>
          <w:rFonts w:cs="B Mitra" w:hint="cs"/>
          <w:sz w:val="28"/>
          <w:szCs w:val="28"/>
          <w:rtl/>
          <w:lang w:bidi="fa-IR"/>
        </w:rPr>
        <w:t xml:space="preserve">بلکه </w:t>
      </w:r>
      <w:r>
        <w:rPr>
          <w:rFonts w:cs="B Mitra" w:hint="cs"/>
          <w:sz w:val="28"/>
          <w:szCs w:val="28"/>
          <w:rtl/>
          <w:lang w:bidi="fa-IR"/>
        </w:rPr>
        <w:t xml:space="preserve">اگر با حدیث دیگری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نباشد و متعدد نقل شده باشد، تقویت می شود. قبلا نیز گفته شد که گاهی ضعف روایت به گونه ای است که جبران ناپذیر است مانند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کذاب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یا به طور کلی پریشان گویی می کند</w:t>
      </w:r>
      <w:r w:rsidR="009F4582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گاه ضعف روایت به خاطر ضعف حفظ راوی است که گاهی خطا می کند و یا اینکه مجهول است. در اینجا ضعف آن با اموری جبران می شود.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206AC6" w:rsidRDefault="009F4582" w:rsidP="009F4582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تا اینجا روشن شد که </w:t>
      </w:r>
      <w:r w:rsidR="00206AC6">
        <w:rPr>
          <w:rFonts w:cs="B Mitra" w:hint="cs"/>
          <w:sz w:val="28"/>
          <w:szCs w:val="28"/>
          <w:rtl/>
          <w:lang w:bidi="fa-IR"/>
        </w:rPr>
        <w:t xml:space="preserve">این حدیث از جهت سند اعتبار ندارد و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تواند به عنوان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معارض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حدیث مورد بحث به کار گرفته است. </w:t>
      </w:r>
      <w:r>
        <w:rPr>
          <w:rFonts w:cs="B Mitra" w:hint="cs"/>
          <w:sz w:val="28"/>
          <w:szCs w:val="28"/>
          <w:rtl/>
          <w:lang w:bidi="fa-IR"/>
        </w:rPr>
        <w:t xml:space="preserve">اکنون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سوال می کنیم: </w:t>
      </w:r>
      <w:r w:rsidR="00206AC6">
        <w:rPr>
          <w:rFonts w:cs="B Mitra" w:hint="cs"/>
          <w:sz w:val="28"/>
          <w:szCs w:val="28"/>
          <w:rtl/>
          <w:lang w:bidi="fa-IR"/>
        </w:rPr>
        <w:t xml:space="preserve">چگونه شما احادیث ضعیف را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مستمسک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قرار داده </w:t>
      </w:r>
      <w:proofErr w:type="spellStart"/>
      <w:r w:rsidR="00206AC6">
        <w:rPr>
          <w:rFonts w:cs="B Mitra" w:hint="cs"/>
          <w:sz w:val="28"/>
          <w:szCs w:val="28"/>
          <w:rtl/>
          <w:lang w:bidi="fa-IR"/>
        </w:rPr>
        <w:t>اید</w:t>
      </w:r>
      <w:proofErr w:type="spellEnd"/>
      <w:r w:rsidR="00206AC6">
        <w:rPr>
          <w:rFonts w:cs="B Mitra" w:hint="cs"/>
          <w:sz w:val="28"/>
          <w:szCs w:val="28"/>
          <w:rtl/>
          <w:lang w:bidi="fa-IR"/>
        </w:rPr>
        <w:t xml:space="preserve"> با اینکه در این باره مرحوم علامه را </w:t>
      </w:r>
      <w:r>
        <w:rPr>
          <w:rFonts w:cs="B Mitra" w:hint="cs"/>
          <w:sz w:val="28"/>
          <w:szCs w:val="28"/>
          <w:rtl/>
          <w:lang w:bidi="fa-IR"/>
        </w:rPr>
        <w:t xml:space="preserve">مکرر به باد انتقاد می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گیرید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206AC6">
        <w:rPr>
          <w:rFonts w:cs="B Mitra" w:hint="cs"/>
          <w:sz w:val="28"/>
          <w:szCs w:val="28"/>
          <w:rtl/>
          <w:lang w:bidi="fa-IR"/>
        </w:rPr>
        <w:t>؟</w:t>
      </w:r>
    </w:p>
    <w:p w:rsidR="00206AC6" w:rsidRDefault="00206AC6" w:rsidP="00206AC6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ج) روایت سوم</w:t>
      </w:r>
    </w:p>
    <w:p w:rsidR="00206AC6" w:rsidRPr="005F2074" w:rsidRDefault="009003F8" w:rsidP="002423C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سند آن روایت نیز عبدالله بن خراش </w:t>
      </w:r>
      <w:r w:rsidR="002423CB">
        <w:rPr>
          <w:rFonts w:cs="B Mitra" w:hint="cs"/>
          <w:sz w:val="28"/>
          <w:szCs w:val="28"/>
          <w:rtl/>
          <w:lang w:bidi="fa-IR"/>
        </w:rPr>
        <w:t xml:space="preserve">آمده </w:t>
      </w:r>
      <w:r>
        <w:rPr>
          <w:rFonts w:cs="B Mitra" w:hint="cs"/>
          <w:sz w:val="28"/>
          <w:szCs w:val="28"/>
          <w:rtl/>
          <w:lang w:bidi="fa-IR"/>
        </w:rPr>
        <w:t xml:space="preserve">و همان طور که گفته شده </w:t>
      </w:r>
      <w:r w:rsidR="002423CB">
        <w:rPr>
          <w:rFonts w:cs="B Mitra" w:hint="cs"/>
          <w:sz w:val="28"/>
          <w:szCs w:val="28"/>
          <w:rtl/>
          <w:lang w:bidi="fa-IR"/>
        </w:rPr>
        <w:t xml:space="preserve">وی </w:t>
      </w:r>
      <w:r>
        <w:rPr>
          <w:rFonts w:cs="B Mitra" w:hint="cs"/>
          <w:sz w:val="28"/>
          <w:szCs w:val="28"/>
          <w:rtl/>
          <w:lang w:bidi="fa-IR"/>
        </w:rPr>
        <w:t xml:space="preserve">وضع دلخراشی دارد و ضعیف است. نورالدین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هیثمی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پس از نقل روایت مزبور می گوید</w:t>
      </w:r>
      <w:r w:rsidR="002423CB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این حدیث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روایت کرده و در سند آن عبدالله بن خراش است که ضعیف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</w:p>
    <w:p w:rsidR="009003F8" w:rsidRDefault="009003F8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د) روایت چهارم</w:t>
      </w:r>
    </w:p>
    <w:p w:rsidR="005F2074" w:rsidRPr="005F2074" w:rsidRDefault="009003F8" w:rsidP="002423C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را بزار نقل کرده است که در سند آن سیف بن عمر است که ضعف است. در نقل دیگری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معجم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الصغیر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2423CB">
        <w:rPr>
          <w:rFonts w:cs="B Mitra" w:hint="cs"/>
          <w:sz w:val="28"/>
          <w:szCs w:val="28"/>
          <w:rtl/>
          <w:lang w:bidi="fa-IR"/>
        </w:rPr>
        <w:t xml:space="preserve">نیز این روایت آمده است اما در آن </w:t>
      </w:r>
      <w:r>
        <w:rPr>
          <w:rFonts w:cs="B Mitra" w:hint="cs"/>
          <w:sz w:val="28"/>
          <w:szCs w:val="28"/>
          <w:rtl/>
          <w:lang w:bidi="fa-IR"/>
        </w:rPr>
        <w:t xml:space="preserve">عبدالله بن سیف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خوارزمی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2423CB">
        <w:rPr>
          <w:rFonts w:cs="B Mitra" w:hint="cs"/>
          <w:sz w:val="28"/>
          <w:szCs w:val="28"/>
          <w:rtl/>
          <w:lang w:bidi="fa-IR"/>
        </w:rPr>
        <w:t xml:space="preserve">آمده است که وی 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>نیز ضعیف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9003F8" w:rsidRDefault="009003F8" w:rsidP="002652D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5. حدیث دیگری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مورد استناد قرار داده چنین است: </w:t>
      </w:r>
    </w:p>
    <w:p w:rsidR="009003F8" w:rsidRDefault="009003F8" w:rsidP="009003F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«</w:t>
      </w:r>
      <w:r w:rsidRPr="009003F8">
        <w:rPr>
          <w:rFonts w:asciiTheme="minorHAnsi" w:eastAsiaTheme="minorHAnsi" w:hAnsiTheme="minorHAnsi" w:cs="B Mitra"/>
          <w:sz w:val="28"/>
          <w:szCs w:val="28"/>
          <w:rtl/>
          <w:lang w:bidi="fa-IR"/>
        </w:rPr>
        <w:t xml:space="preserve"> </w:t>
      </w:r>
      <w:r w:rsidRPr="009003F8">
        <w:rPr>
          <w:rFonts w:cs="B Mitra"/>
          <w:sz w:val="28"/>
          <w:szCs w:val="28"/>
          <w:rtl/>
          <w:lang w:bidi="fa-IR"/>
        </w:rPr>
        <w:t xml:space="preserve">الله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الله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في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أصحابي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لا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تتخذوهم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غرضا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من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بعدي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من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أحبهم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فقد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أحبني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و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9003F8">
        <w:rPr>
          <w:rFonts w:cs="B Mitra"/>
          <w:sz w:val="28"/>
          <w:szCs w:val="28"/>
          <w:rtl/>
          <w:lang w:bidi="fa-IR"/>
        </w:rPr>
        <w:t xml:space="preserve">من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أبغضهم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فقد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أبغضني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ومن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آذاهم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فقد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آذاني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ومن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آذاني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فقد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آذى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الله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ومن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آذى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الله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فيوشك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أن</w:t>
      </w:r>
      <w:proofErr w:type="spellEnd"/>
      <w:r w:rsidRPr="009003F8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9003F8">
        <w:rPr>
          <w:rFonts w:cs="B Mitra"/>
          <w:sz w:val="28"/>
          <w:szCs w:val="28"/>
          <w:rtl/>
          <w:lang w:bidi="fa-IR"/>
        </w:rPr>
        <w:t>يأخذه</w:t>
      </w:r>
      <w:proofErr w:type="spellEnd"/>
      <w:r w:rsidRPr="009003F8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».</w:t>
      </w:r>
    </w:p>
    <w:p w:rsidR="009003F8" w:rsidRDefault="009003F8" w:rsidP="009003F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بررسی روایات دیگر که در مورد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ایذاء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انشاءالله در جلسه آینده مورد بررسی قرار می گیرد.</w:t>
      </w:r>
    </w:p>
    <w:p w:rsidR="009003F8" w:rsidRPr="005F2074" w:rsidRDefault="009003F8" w:rsidP="009003F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979" w:rsidRDefault="004F5979" w:rsidP="00BC6EBB">
      <w:pPr>
        <w:spacing w:after="0" w:line="240" w:lineRule="auto"/>
      </w:pPr>
      <w:r>
        <w:separator/>
      </w:r>
    </w:p>
  </w:endnote>
  <w:endnote w:type="continuationSeparator" w:id="0">
    <w:p w:rsidR="004F5979" w:rsidRDefault="004F5979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979" w:rsidRDefault="004F5979" w:rsidP="00BC6EBB">
      <w:pPr>
        <w:spacing w:after="0" w:line="240" w:lineRule="auto"/>
      </w:pPr>
      <w:r>
        <w:separator/>
      </w:r>
    </w:p>
  </w:footnote>
  <w:footnote w:type="continuationSeparator" w:id="0">
    <w:p w:rsidR="004F5979" w:rsidRDefault="004F5979" w:rsidP="00BC6EBB">
      <w:pPr>
        <w:spacing w:after="0" w:line="240" w:lineRule="auto"/>
      </w:pPr>
      <w:r>
        <w:continuationSeparator/>
      </w:r>
    </w:p>
  </w:footnote>
  <w:footnote w:id="1">
    <w:p w:rsidR="006D20C7" w:rsidRDefault="006D20C7" w:rsidP="006D20C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>، ج1، ص 4</w:t>
      </w:r>
      <w:r>
        <w:rPr>
          <w:rFonts w:hint="cs"/>
          <w:rtl/>
          <w:lang w:bidi="fa-IR"/>
        </w:rPr>
        <w:t>76</w:t>
      </w:r>
      <w:r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477</w:t>
      </w:r>
    </w:p>
  </w:footnote>
  <w:footnote w:id="2">
    <w:p w:rsidR="006D20C7" w:rsidRDefault="006D20C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ج2، ص 413</w:t>
      </w:r>
    </w:p>
  </w:footnote>
  <w:footnote w:id="3">
    <w:p w:rsidR="006D20C7" w:rsidRDefault="006D20C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حرج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>، ج1، ص 286</w:t>
      </w:r>
    </w:p>
  </w:footnote>
  <w:footnote w:id="4">
    <w:p w:rsidR="006D20C7" w:rsidRDefault="006D20C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الکامل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عدی</w:t>
      </w:r>
      <w:proofErr w:type="spellEnd"/>
      <w:r>
        <w:rPr>
          <w:rFonts w:hint="cs"/>
          <w:rtl/>
          <w:lang w:bidi="fa-IR"/>
        </w:rPr>
        <w:t>، ج5، ص 345، 352</w:t>
      </w:r>
    </w:p>
  </w:footnote>
  <w:footnote w:id="5">
    <w:p w:rsidR="006D20C7" w:rsidRDefault="006D20C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>، ج2، ص 530</w:t>
      </w:r>
    </w:p>
  </w:footnote>
  <w:footnote w:id="6">
    <w:p w:rsidR="00206AC6" w:rsidRDefault="00206AC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ج5، ص 4 و 5</w:t>
      </w:r>
    </w:p>
  </w:footnote>
  <w:footnote w:id="7">
    <w:p w:rsidR="00206AC6" w:rsidRDefault="00206AC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المسند</w:t>
      </w:r>
      <w:proofErr w:type="spellEnd"/>
      <w:r>
        <w:rPr>
          <w:rFonts w:hint="cs"/>
          <w:rtl/>
          <w:lang w:bidi="fa-IR"/>
        </w:rPr>
        <w:t>، ج3، ص 219، ح2734</w:t>
      </w:r>
    </w:p>
  </w:footnote>
  <w:footnote w:id="8">
    <w:p w:rsidR="00206AC6" w:rsidRDefault="00206AC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ج5، ص 4 و 5</w:t>
      </w:r>
    </w:p>
  </w:footnote>
  <w:footnote w:id="9">
    <w:p w:rsidR="00206AC6" w:rsidRDefault="00206AC6" w:rsidP="00206AC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تدریب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الراوی</w:t>
      </w:r>
      <w:proofErr w:type="spellEnd"/>
      <w:r>
        <w:rPr>
          <w:rFonts w:hint="cs"/>
          <w:rtl/>
          <w:lang w:bidi="fa-IR"/>
        </w:rPr>
        <w:t xml:space="preserve">، جلال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>، ص 183 -184</w:t>
      </w:r>
    </w:p>
  </w:footnote>
  <w:footnote w:id="10">
    <w:p w:rsidR="009003F8" w:rsidRDefault="009003F8" w:rsidP="009003F8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مجمع </w:t>
      </w:r>
      <w:proofErr w:type="spellStart"/>
      <w:r>
        <w:rPr>
          <w:rFonts w:hint="cs"/>
          <w:rtl/>
          <w:lang w:bidi="fa-IR"/>
        </w:rPr>
        <w:t>الزوائد</w:t>
      </w:r>
      <w:proofErr w:type="spellEnd"/>
      <w:r>
        <w:rPr>
          <w:rFonts w:hint="cs"/>
          <w:rtl/>
          <w:lang w:bidi="fa-IR"/>
        </w:rPr>
        <w:t xml:space="preserve">، نورالدین </w:t>
      </w:r>
      <w:proofErr w:type="spellStart"/>
      <w:r>
        <w:rPr>
          <w:rFonts w:hint="cs"/>
          <w:rtl/>
          <w:lang w:bidi="fa-IR"/>
        </w:rPr>
        <w:t>هیثمی</w:t>
      </w:r>
      <w:proofErr w:type="spellEnd"/>
      <w:r>
        <w:rPr>
          <w:rFonts w:hint="cs"/>
          <w:rtl/>
          <w:lang w:bidi="fa-IR"/>
        </w:rPr>
        <w:t>، ج10، ص 21</w:t>
      </w:r>
    </w:p>
  </w:footnote>
  <w:footnote w:id="11">
    <w:p w:rsidR="009003F8" w:rsidRDefault="009003F8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مجمع </w:t>
      </w:r>
      <w:proofErr w:type="spellStart"/>
      <w:r>
        <w:rPr>
          <w:rFonts w:hint="cs"/>
          <w:rtl/>
          <w:lang w:bidi="fa-IR"/>
        </w:rPr>
        <w:t>الزوائد</w:t>
      </w:r>
      <w:proofErr w:type="spellEnd"/>
      <w:r>
        <w:rPr>
          <w:rFonts w:hint="cs"/>
          <w:rtl/>
          <w:lang w:bidi="fa-IR"/>
        </w:rPr>
        <w:t xml:space="preserve">، نورالدین </w:t>
      </w:r>
      <w:proofErr w:type="spellStart"/>
      <w:r>
        <w:rPr>
          <w:rFonts w:hint="cs"/>
          <w:rtl/>
          <w:lang w:bidi="fa-IR"/>
        </w:rPr>
        <w:t>هیثمی</w:t>
      </w:r>
      <w:proofErr w:type="spellEnd"/>
      <w:r>
        <w:rPr>
          <w:rFonts w:hint="cs"/>
          <w:rtl/>
          <w:lang w:bidi="fa-IR"/>
        </w:rPr>
        <w:t>، ج10، ص 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7448A2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7448A2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448A2">
      <w:rPr>
        <w:rFonts w:ascii="Tahoma" w:hAnsi="Tahoma" w:cs="Traditional Arabic" w:hint="cs"/>
        <w:sz w:val="28"/>
        <w:szCs w:val="28"/>
        <w:rtl/>
        <w:lang w:bidi="fa-IR"/>
      </w:rPr>
      <w:t>26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7C618E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06AC6"/>
    <w:rsid w:val="002104BA"/>
    <w:rsid w:val="002152B2"/>
    <w:rsid w:val="0021556F"/>
    <w:rsid w:val="00217A73"/>
    <w:rsid w:val="00226FCD"/>
    <w:rsid w:val="00227DEF"/>
    <w:rsid w:val="00233413"/>
    <w:rsid w:val="00240AFC"/>
    <w:rsid w:val="002423CB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8DA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979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20C7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448A2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566A9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5AD4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03F8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4582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47BE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2089CFE-09F7-4661-A0D9-B6481FDA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2020-12-16T16:07:00Z</dcterms:created>
  <dcterms:modified xsi:type="dcterms:W3CDTF">2020-12-16T17:05:00Z</dcterms:modified>
</cp:coreProperties>
</file>