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9205CD" w:rsidP="009205C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اشکال ششم </w:t>
      </w:r>
      <w:proofErr w:type="spellStart"/>
      <w:r w:rsidR="00B111CF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="00B111CF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="00B111CF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 w:rsidR="00B111CF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color w:val="FF0000"/>
          <w:sz w:val="28"/>
          <w:szCs w:val="28"/>
          <w:rtl/>
          <w:lang w:bidi="fa-IR"/>
        </w:rPr>
        <w:t>بر حدیث پانزدهم</w:t>
      </w:r>
    </w:p>
    <w:p w:rsidR="005F2074" w:rsidRDefault="00D5316B" w:rsidP="00C435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جلسه قبل اشکال ششم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مطرح کردیم که ناظر به روایت اصلی مورد بحث (روایت پانزدهم) 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بود.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از حبشی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جناده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پیامبر اکرم (ص) 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نقل کرده که آن حضرت </w:t>
      </w:r>
      <w:r>
        <w:rPr>
          <w:rFonts w:cs="B Mitra" w:hint="cs"/>
          <w:sz w:val="28"/>
          <w:szCs w:val="28"/>
          <w:rtl/>
          <w:lang w:bidi="fa-IR"/>
        </w:rPr>
        <w:t xml:space="preserve">فرمود: «علی منی و انا من علی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انا او علی».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ضعیف شمرده و وجه آن را این دانسته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سبیعی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این حدیث را از حبشی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جناده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دو وجه ضعف دارد: یکی اینکه دچار اختلاط در ذهن 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بوده است و </w:t>
      </w:r>
      <w:r>
        <w:rPr>
          <w:rFonts w:cs="B Mitra" w:hint="cs"/>
          <w:sz w:val="28"/>
          <w:szCs w:val="28"/>
          <w:rtl/>
          <w:lang w:bidi="fa-IR"/>
        </w:rPr>
        <w:t xml:space="preserve">دیگر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بوده و روایت 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به صورت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معنعن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است.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می گوید راوی از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سه نفر هستند: یکی نوه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اسرائیل بن یونس و دیگری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قیس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بن ربیع است. این دو نفر روایت را بعد از اینکه وی گرفتار اختلاط شده بود از وی نقل کردند. نفر سوم شریک بن عبدالله قاضی است</w:t>
      </w:r>
      <w:r w:rsidR="00C43589">
        <w:rPr>
          <w:rFonts w:cs="B Mitra" w:hint="cs"/>
          <w:sz w:val="28"/>
          <w:szCs w:val="28"/>
          <w:rtl/>
          <w:lang w:bidi="fa-IR"/>
        </w:rPr>
        <w:t>،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 اما او نیز گرچه قبل از اختلاط از وی روایت نقل کرده اما خودش دچار اختلاط و ضعف حافظه بوده است. </w:t>
      </w:r>
    </w:p>
    <w:p w:rsidR="009205CD" w:rsidRPr="009205CD" w:rsidRDefault="009205CD" w:rsidP="009205C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205CD">
        <w:rPr>
          <w:rFonts w:cs="B Mitra" w:hint="cs"/>
          <w:color w:val="FF0000"/>
          <w:sz w:val="28"/>
          <w:szCs w:val="28"/>
          <w:rtl/>
          <w:lang w:bidi="fa-IR"/>
        </w:rPr>
        <w:t>پاسخ</w:t>
      </w:r>
    </w:p>
    <w:p w:rsidR="009205CD" w:rsidRDefault="009205CD" w:rsidP="009205C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پاسخ گفته شد</w:t>
      </w:r>
    </w:p>
    <w:p w:rsidR="009205CD" w:rsidRDefault="006605BD" w:rsidP="00C435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مدلس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و مختلط بودن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سیبعی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مسلم نیست کما اینکه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در </w:t>
      </w:r>
      <w:r w:rsidR="00C43589">
        <w:rPr>
          <w:rFonts w:cs="B Mitra" w:hint="cs"/>
          <w:sz w:val="28"/>
          <w:szCs w:val="28"/>
          <w:rtl/>
          <w:lang w:bidi="fa-IR"/>
        </w:rPr>
        <w:t>«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میزان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 w:rsidR="00C43589">
        <w:rPr>
          <w:rFonts w:cs="B Mitra" w:hint="cs"/>
          <w:sz w:val="28"/>
          <w:szCs w:val="28"/>
          <w:rtl/>
          <w:lang w:bidi="fa-IR"/>
        </w:rPr>
        <w:t>»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 و </w:t>
      </w:r>
      <w:r w:rsidR="00C43589">
        <w:rPr>
          <w:rFonts w:cs="B Mitra" w:hint="cs"/>
          <w:sz w:val="28"/>
          <w:szCs w:val="28"/>
          <w:rtl/>
          <w:lang w:bidi="fa-IR"/>
        </w:rPr>
        <w:t>«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سیر اعلام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النبلاء</w:t>
      </w:r>
      <w:proofErr w:type="spellEnd"/>
      <w:r w:rsidR="00C43589">
        <w:rPr>
          <w:rFonts w:cs="B Mitra" w:hint="cs"/>
          <w:sz w:val="28"/>
          <w:szCs w:val="28"/>
          <w:rtl/>
          <w:lang w:bidi="fa-IR"/>
        </w:rPr>
        <w:t>»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 اینکه وی دچار اختلاط ذهنی شده را رد کرده</w:t>
      </w:r>
      <w:r w:rsidR="00C43589">
        <w:rPr>
          <w:rFonts w:cs="B Mitra" w:hint="cs"/>
          <w:sz w:val="28"/>
          <w:szCs w:val="28"/>
          <w:rtl/>
          <w:lang w:bidi="fa-IR"/>
        </w:rPr>
        <w:t>،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 ولی پذیرفته که به خاطر کهولت سن کمی دچار نسیان در حفظ شده است. </w:t>
      </w:r>
    </w:p>
    <w:p w:rsidR="009205CD" w:rsidRDefault="006605BD" w:rsidP="006605B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9205CD">
        <w:rPr>
          <w:rFonts w:cs="B Mitra" w:hint="cs"/>
          <w:sz w:val="28"/>
          <w:szCs w:val="28"/>
          <w:rtl/>
          <w:lang w:bidi="fa-IR"/>
        </w:rPr>
        <w:t xml:space="preserve">از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روایاتی نقل شده با اینکه </w:t>
      </w:r>
      <w:proofErr w:type="spellStart"/>
      <w:r w:rsidR="009205CD">
        <w:rPr>
          <w:rFonts w:cs="B Mitra" w:hint="cs"/>
          <w:sz w:val="28"/>
          <w:szCs w:val="28"/>
          <w:rtl/>
          <w:lang w:bidi="fa-IR"/>
        </w:rPr>
        <w:t>معنعن</w:t>
      </w:r>
      <w:proofErr w:type="spellEnd"/>
      <w:r w:rsidR="009205CD">
        <w:rPr>
          <w:rFonts w:cs="B Mitra" w:hint="cs"/>
          <w:sz w:val="28"/>
          <w:szCs w:val="28"/>
          <w:rtl/>
          <w:lang w:bidi="fa-IR"/>
        </w:rPr>
        <w:t xml:space="preserve"> هستند اما پذیرفته شده است. </w:t>
      </w:r>
      <w:r w:rsidR="00C43589">
        <w:rPr>
          <w:rFonts w:cs="B Mitra" w:hint="cs"/>
          <w:sz w:val="28"/>
          <w:szCs w:val="28"/>
          <w:rtl/>
          <w:lang w:bidi="fa-IR"/>
        </w:rPr>
        <w:t>در ادامه چند نمونه آن بیان می شود:</w:t>
      </w:r>
    </w:p>
    <w:p w:rsidR="009205CD" w:rsidRPr="006605BD" w:rsidRDefault="009205CD" w:rsidP="009205C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605BD">
        <w:rPr>
          <w:rFonts w:cs="B Mitra" w:hint="cs"/>
          <w:color w:val="FF0000"/>
          <w:sz w:val="28"/>
          <w:szCs w:val="28"/>
          <w:rtl/>
          <w:lang w:bidi="fa-IR"/>
        </w:rPr>
        <w:t>نمونه اول</w:t>
      </w:r>
    </w:p>
    <w:p w:rsidR="009205CD" w:rsidRDefault="009205CD" w:rsidP="00C435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حاکم نیشابوری </w:t>
      </w:r>
      <w:r w:rsidR="00C43589">
        <w:rPr>
          <w:rFonts w:cs="B Mitra" w:hint="cs"/>
          <w:sz w:val="28"/>
          <w:szCs w:val="28"/>
          <w:rtl/>
          <w:lang w:bidi="fa-IR"/>
        </w:rPr>
        <w:t xml:space="preserve">روایتی را نقل کرده که در آن </w:t>
      </w:r>
      <w:proofErr w:type="spellStart"/>
      <w:r w:rsidR="00C43589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C43589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43589">
        <w:rPr>
          <w:rFonts w:cs="B Mitra" w:hint="cs"/>
          <w:sz w:val="28"/>
          <w:szCs w:val="28"/>
          <w:rtl/>
          <w:lang w:bidi="fa-IR"/>
        </w:rPr>
        <w:t>سبیعی</w:t>
      </w:r>
      <w:proofErr w:type="spellEnd"/>
      <w:r w:rsidR="00C43589">
        <w:rPr>
          <w:rFonts w:cs="B Mitra" w:hint="cs"/>
          <w:sz w:val="28"/>
          <w:szCs w:val="28"/>
          <w:rtl/>
          <w:lang w:bidi="fa-IR"/>
        </w:rPr>
        <w:t xml:space="preserve"> و اسرائیل بن یونس وجود دارد و روایت </w:t>
      </w:r>
      <w:proofErr w:type="spellStart"/>
      <w:r w:rsidR="00C43589">
        <w:rPr>
          <w:rFonts w:cs="B Mitra" w:hint="cs"/>
          <w:sz w:val="28"/>
          <w:szCs w:val="28"/>
          <w:rtl/>
          <w:lang w:bidi="fa-IR"/>
        </w:rPr>
        <w:t>معنعن</w:t>
      </w:r>
      <w:proofErr w:type="spellEnd"/>
      <w:r w:rsidR="00C43589">
        <w:rPr>
          <w:rFonts w:cs="B Mitra" w:hint="cs"/>
          <w:sz w:val="28"/>
          <w:szCs w:val="28"/>
          <w:rtl/>
          <w:lang w:bidi="fa-IR"/>
        </w:rPr>
        <w:t xml:space="preserve"> است با این حال وی آن را صحیح دانسته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آن را معتبر دانسته است. دو نکته در این حدیث است: یکی اینکه راوی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اسرائیل بن یونس است در حالی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بود وی در حال اختلاط از وی روایت نقل کرده است و دیگر اینکه روایت به صورت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معنعن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شده است</w:t>
      </w:r>
      <w:r w:rsidR="00C43589">
        <w:rPr>
          <w:rFonts w:cs="B Mitra" w:hint="cs"/>
          <w:sz w:val="28"/>
          <w:szCs w:val="28"/>
          <w:rtl/>
          <w:lang w:bidi="fa-IR"/>
        </w:rPr>
        <w:t>، با این حال روایت صحیح شمرده شده است.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205CD" w:rsidRPr="006605BD" w:rsidRDefault="009205CD" w:rsidP="009205C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605BD">
        <w:rPr>
          <w:rFonts w:cs="B Mitra" w:hint="cs"/>
          <w:color w:val="FF0000"/>
          <w:sz w:val="28"/>
          <w:szCs w:val="28"/>
          <w:rtl/>
          <w:lang w:bidi="fa-IR"/>
        </w:rPr>
        <w:t xml:space="preserve">نمونه </w:t>
      </w:r>
      <w:r w:rsidR="006605BD" w:rsidRPr="006605BD">
        <w:rPr>
          <w:rFonts w:cs="B Mitra" w:hint="cs"/>
          <w:color w:val="FF0000"/>
          <w:sz w:val="28"/>
          <w:szCs w:val="28"/>
          <w:rtl/>
          <w:lang w:bidi="fa-IR"/>
        </w:rPr>
        <w:t>دوم</w:t>
      </w:r>
    </w:p>
    <w:p w:rsidR="009205CD" w:rsidRPr="005F2074" w:rsidRDefault="009205CD" w:rsidP="00C435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حاکم نیشابوری حدیث دیگری از اسرائیل بن یونس،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او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عبدالرحمان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</w:t>
      </w:r>
      <w:r w:rsidR="006605BD">
        <w:rPr>
          <w:rFonts w:cs="B Mitra" w:hint="cs"/>
          <w:sz w:val="28"/>
          <w:szCs w:val="28"/>
          <w:rtl/>
          <w:lang w:bidi="fa-IR"/>
        </w:rPr>
        <w:t>ابی لیلی از علی (ع) نقل کرده است. حاکم این روایت را صحیح دانسته است.</w:t>
      </w:r>
      <w:r w:rsidR="006605BD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6605B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6605BD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6605BD">
        <w:rPr>
          <w:rFonts w:cs="B Mitra" w:hint="cs"/>
          <w:sz w:val="28"/>
          <w:szCs w:val="28"/>
          <w:rtl/>
          <w:lang w:bidi="fa-IR"/>
        </w:rPr>
        <w:t xml:space="preserve"> نیز صحت آن را پذیرفته و گفته است این روایت مطابق شرط بخاری و مسلم </w:t>
      </w:r>
      <w:r w:rsidR="006605BD">
        <w:rPr>
          <w:rFonts w:cs="B Mitra" w:hint="cs"/>
          <w:sz w:val="28"/>
          <w:szCs w:val="28"/>
          <w:rtl/>
          <w:lang w:bidi="fa-IR"/>
        </w:rPr>
        <w:lastRenderedPageBreak/>
        <w:t>است.</w:t>
      </w:r>
      <w:r w:rsidR="006605BD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6605BD">
        <w:rPr>
          <w:rFonts w:cs="B Mitra" w:hint="cs"/>
          <w:sz w:val="28"/>
          <w:szCs w:val="28"/>
          <w:rtl/>
          <w:lang w:bidi="fa-IR"/>
        </w:rPr>
        <w:t xml:space="preserve"> در اینجا نیز راوی از </w:t>
      </w:r>
      <w:proofErr w:type="spellStart"/>
      <w:r w:rsidR="006605BD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6605BD">
        <w:rPr>
          <w:rFonts w:cs="B Mitra" w:hint="cs"/>
          <w:sz w:val="28"/>
          <w:szCs w:val="28"/>
          <w:rtl/>
          <w:lang w:bidi="fa-IR"/>
        </w:rPr>
        <w:t xml:space="preserve">، نوه وی است و این نشان می دهد سخن </w:t>
      </w:r>
      <w:proofErr w:type="spellStart"/>
      <w:r w:rsidR="006605BD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6605BD">
        <w:rPr>
          <w:rFonts w:cs="B Mitra" w:hint="cs"/>
          <w:sz w:val="28"/>
          <w:szCs w:val="28"/>
          <w:rtl/>
          <w:lang w:bidi="fa-IR"/>
        </w:rPr>
        <w:t xml:space="preserve"> در این باره نادرست اس</w:t>
      </w:r>
      <w:r w:rsidR="00C43589">
        <w:rPr>
          <w:rFonts w:cs="B Mitra" w:hint="cs"/>
          <w:sz w:val="28"/>
          <w:szCs w:val="28"/>
          <w:rtl/>
          <w:lang w:bidi="fa-IR"/>
        </w:rPr>
        <w:t>.</w:t>
      </w:r>
      <w:r w:rsidR="006605BD">
        <w:rPr>
          <w:rFonts w:cs="B Mitra" w:hint="cs"/>
          <w:sz w:val="28"/>
          <w:szCs w:val="28"/>
          <w:rtl/>
          <w:lang w:bidi="fa-IR"/>
        </w:rPr>
        <w:t xml:space="preserve"> ثانیا با اینکه روایت </w:t>
      </w:r>
      <w:proofErr w:type="spellStart"/>
      <w:r w:rsidR="006605BD">
        <w:rPr>
          <w:rFonts w:cs="B Mitra" w:hint="cs"/>
          <w:sz w:val="28"/>
          <w:szCs w:val="28"/>
          <w:rtl/>
          <w:lang w:bidi="fa-IR"/>
        </w:rPr>
        <w:t>معنعن</w:t>
      </w:r>
      <w:proofErr w:type="spellEnd"/>
      <w:r w:rsidR="006605BD">
        <w:rPr>
          <w:rFonts w:cs="B Mitra" w:hint="cs"/>
          <w:sz w:val="28"/>
          <w:szCs w:val="28"/>
          <w:rtl/>
          <w:lang w:bidi="fa-IR"/>
        </w:rPr>
        <w:t xml:space="preserve"> است با این حال مورد پذیرش قرار گرفته است.</w:t>
      </w:r>
    </w:p>
    <w:p w:rsidR="005F2074" w:rsidRPr="006605BD" w:rsidRDefault="006605BD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605BD">
        <w:rPr>
          <w:rFonts w:cs="B Mitra" w:hint="cs"/>
          <w:color w:val="FF0000"/>
          <w:sz w:val="28"/>
          <w:szCs w:val="28"/>
          <w:rtl/>
          <w:lang w:bidi="fa-IR"/>
        </w:rPr>
        <w:t xml:space="preserve">نمونه </w:t>
      </w:r>
      <w:r w:rsidRPr="006605BD">
        <w:rPr>
          <w:rFonts w:cs="B Mitra" w:hint="cs"/>
          <w:i/>
          <w:iCs/>
          <w:color w:val="FF0000"/>
          <w:sz w:val="28"/>
          <w:szCs w:val="28"/>
          <w:rtl/>
          <w:lang w:bidi="fa-IR"/>
        </w:rPr>
        <w:t>سوم</w:t>
      </w:r>
    </w:p>
    <w:p w:rsidR="006605BD" w:rsidRPr="005F2074" w:rsidRDefault="006605BD" w:rsidP="006605B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حاکم نیشابوری در روایت دیگری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روایتی نقل می کند که همان دو ویژگی روایت قبل را دارا است. یعنی نوه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وی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 و نیز این روایت به صورت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معنعن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صحت این روایت را تایید کرده و گفته است با این سند</w:t>
      </w:r>
      <w:r w:rsidR="00C4358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این روایت از نظر بخاری و مسلم نیز پذیرفته می شود.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5F2074" w:rsidRPr="006605BD" w:rsidRDefault="006605BD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605BD">
        <w:rPr>
          <w:rFonts w:cs="B Mitra" w:hint="cs"/>
          <w:color w:val="FF0000"/>
          <w:sz w:val="28"/>
          <w:szCs w:val="28"/>
          <w:rtl/>
          <w:lang w:bidi="fa-IR"/>
        </w:rPr>
        <w:t>نمونه چهارم</w:t>
      </w:r>
    </w:p>
    <w:p w:rsidR="006605BD" w:rsidRPr="005F2074" w:rsidRDefault="006605BD" w:rsidP="00C4358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روایتی که مربوط به ولادت امام مجتبی (ع) است،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سند روایت </w:t>
      </w:r>
      <w:r w:rsidR="00C43589">
        <w:rPr>
          <w:rFonts w:cs="B Mitra" w:hint="cs"/>
          <w:sz w:val="28"/>
          <w:szCs w:val="28"/>
          <w:rtl/>
          <w:lang w:bidi="fa-IR"/>
        </w:rPr>
        <w:t xml:space="preserve">آمده </w:t>
      </w:r>
      <w:r>
        <w:rPr>
          <w:rFonts w:cs="B Mitra" w:hint="cs"/>
          <w:sz w:val="28"/>
          <w:szCs w:val="28"/>
          <w:rtl/>
          <w:lang w:bidi="fa-IR"/>
        </w:rPr>
        <w:t xml:space="preserve">و همان دو ویژگی </w:t>
      </w:r>
      <w:r w:rsidR="00C43589">
        <w:rPr>
          <w:rFonts w:cs="B Mitra" w:hint="cs"/>
          <w:sz w:val="28"/>
          <w:szCs w:val="28"/>
          <w:rtl/>
          <w:lang w:bidi="fa-IR"/>
        </w:rPr>
        <w:t xml:space="preserve">که در بالا گفته شد در اینجا نیز آمده است، و </w:t>
      </w:r>
      <w:r>
        <w:rPr>
          <w:rFonts w:cs="B Mitra" w:hint="cs"/>
          <w:sz w:val="28"/>
          <w:szCs w:val="28"/>
          <w:rtl/>
          <w:lang w:bidi="fa-IR"/>
        </w:rPr>
        <w:t xml:space="preserve">همان طور که حاکم آن را تایید کرده،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صحت آن را پذیرفته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5F2074" w:rsidRPr="005F2074" w:rsidRDefault="006605BD" w:rsidP="00444FE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proofErr w:type="spellStart"/>
      <w:r w:rsidR="008B7D1D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 xml:space="preserve"> گفت شریک قاضی، دچار اختلاط ذهنی بوده است. در مباحث قبل درباره شریک بن عبدالله بحث شد و ثابت شد که طبق موازین حدیث اهل سنت، وی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فردی </w:t>
      </w:r>
      <w:r w:rsidR="008B7D1D">
        <w:rPr>
          <w:rFonts w:cs="B Mitra" w:hint="cs"/>
          <w:sz w:val="28"/>
          <w:szCs w:val="28"/>
          <w:rtl/>
          <w:lang w:bidi="fa-IR"/>
        </w:rPr>
        <w:t xml:space="preserve">معتبر است. مطلب اضافه اینکه حاکم نیشابوری روایتی از </w:t>
      </w:r>
      <w:proofErr w:type="spellStart"/>
      <w:r w:rsidR="008B7D1D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 xml:space="preserve"> نقل کرده که راوی آن شریک بن عبدالله است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، با این حال وی آن </w:t>
      </w:r>
      <w:r w:rsidR="008B7D1D">
        <w:rPr>
          <w:rFonts w:cs="B Mitra" w:hint="cs"/>
          <w:sz w:val="28"/>
          <w:szCs w:val="28"/>
          <w:rtl/>
          <w:lang w:bidi="fa-IR"/>
        </w:rPr>
        <w:t xml:space="preserve">را صحیح دانسته و </w:t>
      </w:r>
      <w:proofErr w:type="spellStart"/>
      <w:r w:rsidR="008B7D1D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 xml:space="preserve"> نیز آن را </w:t>
      </w:r>
      <w:r w:rsidR="00444FE6">
        <w:rPr>
          <w:rFonts w:cs="B Mitra" w:hint="cs"/>
          <w:sz w:val="28"/>
          <w:szCs w:val="28"/>
          <w:rtl/>
          <w:lang w:bidi="fa-IR"/>
        </w:rPr>
        <w:t>پذیرفته است</w:t>
      </w:r>
      <w:r w:rsidR="008B7D1D">
        <w:rPr>
          <w:rFonts w:cs="B Mitra" w:hint="cs"/>
          <w:sz w:val="28"/>
          <w:szCs w:val="28"/>
          <w:rtl/>
          <w:lang w:bidi="fa-IR"/>
        </w:rPr>
        <w:t xml:space="preserve">. (با اینکه </w:t>
      </w:r>
      <w:proofErr w:type="spellStart"/>
      <w:r w:rsidR="008B7D1D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 xml:space="preserve"> سخت گیر است و این روایت در خصوص فضایل امیرالمومنین (ع) است). آن روایت چنین است: «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سألت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قثم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العبّاس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كيف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‏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ورث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‏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عليّ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‏ رسول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دونكم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‏؟ قال: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لانّه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أولنا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لحوقا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أشدّنا</w:t>
      </w:r>
      <w:proofErr w:type="spellEnd"/>
      <w:r w:rsidR="008B7D1D" w:rsidRPr="008B7D1D"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 w:rsidR="008B7D1D" w:rsidRPr="008B7D1D">
        <w:rPr>
          <w:rFonts w:cs="B Mitra" w:hint="cs"/>
          <w:sz w:val="28"/>
          <w:szCs w:val="28"/>
          <w:rtl/>
          <w:lang w:bidi="fa-IR"/>
        </w:rPr>
        <w:t>لزوقا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>»</w:t>
      </w:r>
      <w:r w:rsidR="00444FE6">
        <w:rPr>
          <w:rFonts w:cs="B Mitra" w:hint="cs"/>
          <w:sz w:val="28"/>
          <w:szCs w:val="28"/>
          <w:rtl/>
          <w:lang w:bidi="fa-IR"/>
        </w:rPr>
        <w:t>:</w:t>
      </w:r>
      <w:r w:rsidR="008B7D1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8B7D1D"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 xml:space="preserve"> می گوید من از </w:t>
      </w:r>
      <w:proofErr w:type="spellStart"/>
      <w:r w:rsidR="008B7D1D">
        <w:rPr>
          <w:rFonts w:cs="B Mitra" w:hint="cs"/>
          <w:sz w:val="28"/>
          <w:szCs w:val="28"/>
          <w:rtl/>
          <w:lang w:bidi="fa-IR"/>
        </w:rPr>
        <w:t>قثم</w:t>
      </w:r>
      <w:proofErr w:type="spellEnd"/>
      <w:r w:rsidR="008B7D1D">
        <w:rPr>
          <w:rFonts w:cs="B Mitra" w:hint="cs"/>
          <w:sz w:val="28"/>
          <w:szCs w:val="28"/>
          <w:rtl/>
          <w:lang w:bidi="fa-IR"/>
        </w:rPr>
        <w:t xml:space="preserve"> بن عباس سوال کردم</w:t>
      </w:r>
      <w:r w:rsidR="00444FE6">
        <w:rPr>
          <w:rFonts w:cs="B Mitra" w:hint="cs"/>
          <w:sz w:val="28"/>
          <w:szCs w:val="28"/>
          <w:rtl/>
          <w:lang w:bidi="fa-IR"/>
        </w:rPr>
        <w:t>:</w:t>
      </w:r>
      <w:r w:rsidR="008B7D1D">
        <w:rPr>
          <w:rFonts w:cs="B Mitra" w:hint="cs"/>
          <w:sz w:val="28"/>
          <w:szCs w:val="28"/>
          <w:rtl/>
          <w:lang w:bidi="fa-IR"/>
        </w:rPr>
        <w:t xml:space="preserve"> چگونه شد که علی (ع) وارث پیامبر شد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8B7D1D">
        <w:rPr>
          <w:rFonts w:cs="B Mitra" w:hint="cs"/>
          <w:sz w:val="28"/>
          <w:szCs w:val="28"/>
          <w:rtl/>
          <w:lang w:bidi="fa-IR"/>
        </w:rPr>
        <w:t>شما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 نه</w:t>
      </w:r>
      <w:r w:rsidR="008B7D1D">
        <w:rPr>
          <w:rFonts w:cs="B Mitra" w:hint="cs"/>
          <w:sz w:val="28"/>
          <w:szCs w:val="28"/>
          <w:rtl/>
          <w:lang w:bidi="fa-IR"/>
        </w:rPr>
        <w:t xml:space="preserve">؟ گفت: زیرا او اولین کسی بود که به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پیامبر </w:t>
      </w:r>
      <w:r w:rsidR="008B7D1D">
        <w:rPr>
          <w:rFonts w:cs="B Mitra" w:hint="cs"/>
          <w:sz w:val="28"/>
          <w:szCs w:val="28"/>
          <w:rtl/>
          <w:lang w:bidi="fa-IR"/>
        </w:rPr>
        <w:t>ملحق شد و از همه ما هم بیشتر با او در ارتباط بود.</w:t>
      </w:r>
      <w:r w:rsidR="008B7D1D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5F2074" w:rsidRDefault="008B7D1D" w:rsidP="00444FE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همین روایت «علی من و انا من علی»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شریک بن عبدالله از حبشی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جناده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و سپس گفته است این حدیث حسن و صحیح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درباره اصطلاح «حسن صحیح» دو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وجه بیان شده </w:t>
      </w:r>
      <w:r>
        <w:rPr>
          <w:rFonts w:cs="B Mitra" w:hint="cs"/>
          <w:sz w:val="28"/>
          <w:szCs w:val="28"/>
          <w:rtl/>
          <w:lang w:bidi="fa-IR"/>
        </w:rPr>
        <w:t>است: یکی اینکه مراد این است که این حدیث دو طریق دارد</w:t>
      </w:r>
      <w:r w:rsidR="00444FE6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یک طریق صحیح و طریق دیگر حسن است. دوم اینکه درباره این حدیث دو قول است برخی آن را حسن و برخی صحیح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</w:t>
      </w:r>
    </w:p>
    <w:p w:rsidR="008B7D1D" w:rsidRDefault="008B7D1D" w:rsidP="00FB45A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همچنین احمد محمد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شاکر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سند این روایت را که شریک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ابواسحاق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کرده، حسن و سند دیگر آن را صحیح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 w:rsidR="00FB45AA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FB45AA" w:rsidRDefault="00FB45AA" w:rsidP="00FB45A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FB45AA" w:rsidRPr="00FB45AA" w:rsidRDefault="00FB45AA" w:rsidP="00FB45A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B45AA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proofErr w:type="spellStart"/>
      <w:r w:rsidRPr="00FB45AA">
        <w:rPr>
          <w:rFonts w:cs="B Mitra" w:hint="cs"/>
          <w:color w:val="FF0000"/>
          <w:sz w:val="28"/>
          <w:szCs w:val="28"/>
          <w:rtl/>
          <w:lang w:bidi="fa-IR"/>
        </w:rPr>
        <w:t>مدلول</w:t>
      </w:r>
      <w:proofErr w:type="spellEnd"/>
      <w:r w:rsidRPr="00FB45AA">
        <w:rPr>
          <w:rFonts w:cs="B Mitra" w:hint="cs"/>
          <w:color w:val="FF0000"/>
          <w:sz w:val="28"/>
          <w:szCs w:val="28"/>
          <w:rtl/>
          <w:lang w:bidi="fa-IR"/>
        </w:rPr>
        <w:t xml:space="preserve"> روایت</w:t>
      </w:r>
    </w:p>
    <w:p w:rsidR="00FB45AA" w:rsidRDefault="00FB45AA" w:rsidP="00FB45A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 اینجا سند این روایت بررسی شد و معلوم شد که از این جهت معتبر است</w:t>
      </w:r>
      <w:r w:rsidR="00444FE6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مضافا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اینکه شواهد نیز دارد. در ادامه به بررسی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روایت می پردازیم. درباره اینکه معنای «و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عنّی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الاّ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انا 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علیّ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چیست چند وجه می تواند گفته شود: </w:t>
      </w:r>
    </w:p>
    <w:p w:rsidR="00FB45AA" w:rsidRDefault="00FB45AA" w:rsidP="00444FE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معنای حصر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دارد به این معنا که </w:t>
      </w:r>
      <w:r>
        <w:rPr>
          <w:rFonts w:cs="B Mitra" w:hint="cs"/>
          <w:sz w:val="28"/>
          <w:szCs w:val="28"/>
          <w:rtl/>
          <w:lang w:bidi="fa-IR"/>
        </w:rPr>
        <w:t xml:space="preserve">هیچ کس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شانیت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حدیث از پیامبر (ص) را ندارد و این اختصاص به امیرالمومنین (ع) دارد. روشن است که این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وجه </w:t>
      </w:r>
      <w:r>
        <w:rPr>
          <w:rFonts w:cs="B Mitra" w:hint="cs"/>
          <w:sz w:val="28"/>
          <w:szCs w:val="28"/>
          <w:rtl/>
          <w:lang w:bidi="fa-IR"/>
        </w:rPr>
        <w:t xml:space="preserve">نادرست است و با واقعیت ها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سازد. پیامبر اکرم (ص)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مواردی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پیام های را توسط اصحاب خود می فرستا</w:t>
      </w:r>
      <w:r w:rsidR="00444FE6">
        <w:rPr>
          <w:rFonts w:cs="B Mitra" w:hint="cs"/>
          <w:sz w:val="28"/>
          <w:szCs w:val="28"/>
          <w:rtl/>
          <w:lang w:bidi="fa-IR"/>
        </w:rPr>
        <w:t>د</w:t>
      </w:r>
      <w:r>
        <w:rPr>
          <w:rFonts w:cs="B Mitra" w:hint="cs"/>
          <w:sz w:val="28"/>
          <w:szCs w:val="28"/>
          <w:rtl/>
          <w:lang w:bidi="fa-IR"/>
        </w:rPr>
        <w:t xml:space="preserve">ند. نمونه بارز آن مصعب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عمیر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قبل از هجرت</w:t>
      </w:r>
      <w:r w:rsidR="00444FE6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پیامبر اکرم (ص) او را به سوی مدینه فرستاد</w:t>
      </w:r>
      <w:r w:rsidR="00444FE6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و دیگری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معاذ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بعد از هجرت، </w:t>
      </w:r>
      <w:r w:rsidR="00444FE6">
        <w:rPr>
          <w:rFonts w:cs="B Mitra" w:hint="cs"/>
          <w:sz w:val="28"/>
          <w:szCs w:val="28"/>
          <w:rtl/>
          <w:lang w:bidi="fa-IR"/>
        </w:rPr>
        <w:t xml:space="preserve">از سوی پیامبر (ص) </w:t>
      </w:r>
      <w:r>
        <w:rPr>
          <w:rFonts w:cs="B Mitra" w:hint="cs"/>
          <w:sz w:val="28"/>
          <w:szCs w:val="28"/>
          <w:rtl/>
          <w:lang w:bidi="fa-IR"/>
        </w:rPr>
        <w:t>به سوی یمن فرستاد</w:t>
      </w:r>
      <w:r w:rsidR="00444FE6">
        <w:rPr>
          <w:rFonts w:cs="B Mitra" w:hint="cs"/>
          <w:sz w:val="28"/>
          <w:szCs w:val="28"/>
          <w:rtl/>
          <w:lang w:bidi="fa-IR"/>
        </w:rPr>
        <w:t>ه شد</w:t>
      </w:r>
      <w:r>
        <w:rPr>
          <w:rFonts w:cs="B Mitra" w:hint="cs"/>
          <w:sz w:val="28"/>
          <w:szCs w:val="28"/>
          <w:rtl/>
          <w:lang w:bidi="fa-IR"/>
        </w:rPr>
        <w:t>. و یا آن حضرت گاه که مطلبی را بیان می کردند، می فرمود: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فلیبلغ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الشاهد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الغائب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</w:t>
      </w:r>
    </w:p>
    <w:p w:rsidR="00FB45AA" w:rsidRDefault="00FB45AA" w:rsidP="000F5E6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معنای حدیث این است که ادای کامل و ابلاغ تمام عیار و جامع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الاطراف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در میان صحابه و آحاد امت اسلامی به امیرالمومنین (ع) اختصاص دارد. تعبیر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انا» نیز همین مطلب را بیان می کند</w:t>
      </w:r>
      <w:r w:rsidR="005B2F12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همه مطالب را که خود حضرت به همه </w:t>
      </w:r>
      <w:proofErr w:type="spellStart"/>
      <w:r w:rsidR="005B2F12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5B2F12">
        <w:rPr>
          <w:rFonts w:cs="B Mitra" w:hint="cs"/>
          <w:sz w:val="28"/>
          <w:szCs w:val="28"/>
          <w:rtl/>
          <w:lang w:bidi="fa-IR"/>
        </w:rPr>
        <w:t xml:space="preserve"> رساند، </w:t>
      </w:r>
      <w:r>
        <w:rPr>
          <w:rFonts w:cs="B Mitra" w:hint="cs"/>
          <w:sz w:val="28"/>
          <w:szCs w:val="28"/>
          <w:rtl/>
          <w:lang w:bidi="fa-IR"/>
        </w:rPr>
        <w:t xml:space="preserve">بلکه دیگران نیز مطالب را می رساندند. پس معنای آن ابلاغ کامل است. </w:t>
      </w:r>
      <w:r w:rsidR="000F5E6F">
        <w:rPr>
          <w:rFonts w:cs="B Mitra" w:hint="cs"/>
          <w:sz w:val="28"/>
          <w:szCs w:val="28"/>
          <w:rtl/>
          <w:lang w:bidi="fa-IR"/>
        </w:rPr>
        <w:t xml:space="preserve">این وجه صحیح است و </w:t>
      </w:r>
      <w:r>
        <w:rPr>
          <w:rFonts w:cs="B Mitra" w:hint="cs"/>
          <w:sz w:val="28"/>
          <w:szCs w:val="28"/>
          <w:rtl/>
          <w:lang w:bidi="fa-IR"/>
        </w:rPr>
        <w:t>طبق آن معنای روایت این است که آنکه علم کامل و تمام عیار دارد</w:t>
      </w:r>
      <w:r w:rsidR="000F5E6F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بعد از من امیرالمومنین (ع) است. </w:t>
      </w:r>
    </w:p>
    <w:p w:rsidR="00FB45AA" w:rsidRDefault="00FD790A" w:rsidP="000F5E6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با توجه به آنچه گفته شد اشکال</w:t>
      </w:r>
      <w:r w:rsidR="000F5E6F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F5E6F">
        <w:rPr>
          <w:rFonts w:cs="B Mitra" w:hint="cs"/>
          <w:sz w:val="28"/>
          <w:szCs w:val="28"/>
          <w:rtl/>
          <w:lang w:bidi="fa-IR"/>
        </w:rPr>
        <w:t xml:space="preserve">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F5E6F">
        <w:rPr>
          <w:rFonts w:cs="B Mitra" w:hint="cs"/>
          <w:sz w:val="28"/>
          <w:szCs w:val="28"/>
          <w:rtl/>
          <w:lang w:bidi="fa-IR"/>
        </w:rPr>
        <w:t xml:space="preserve">در اینجا گرفته نیز پاسخ داده می شود. وی گفته است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با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واقعیات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سازگاری ندارد زیرا آن حضرت پیام ها را به دیگران نیز می سپردند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. گفته شد مراد از این روایت ابلاغ به صورت کامل و تمام عیار است. </w:t>
      </w:r>
    </w:p>
    <w:p w:rsidR="00FD790A" w:rsidRPr="00FD790A" w:rsidRDefault="00FD790A" w:rsidP="00FB45A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FD790A">
        <w:rPr>
          <w:rFonts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FD790A" w:rsidRDefault="00FD790A" w:rsidP="00FB45A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ممکن است گفته شود این حصر با آنچه راجع به حضرت زهرا (س) و دیگر ائمه اطهار (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علیهم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) وجود داشته که آنها نیز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ابلاغشان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تمام عیار بوده است در تعارض است. </w:t>
      </w:r>
    </w:p>
    <w:p w:rsidR="00FD790A" w:rsidRDefault="00FD790A" w:rsidP="002F08B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جواب این اشکال این است که تعبیر روایت راجع به دیگران است که معصوم نبودند. حال اگر این ملاک به ادله دیگر </w:t>
      </w:r>
      <w:r w:rsidR="002F08BA">
        <w:rPr>
          <w:rFonts w:cs="B Mitra" w:hint="cs"/>
          <w:sz w:val="28"/>
          <w:szCs w:val="28"/>
          <w:rtl/>
          <w:lang w:bidi="fa-IR"/>
        </w:rPr>
        <w:t xml:space="preserve">برای فرد دیگری </w:t>
      </w:r>
      <w:r>
        <w:rPr>
          <w:rFonts w:cs="B Mitra" w:hint="cs"/>
          <w:sz w:val="28"/>
          <w:szCs w:val="28"/>
          <w:rtl/>
          <w:lang w:bidi="fa-IR"/>
        </w:rPr>
        <w:t>ثابت ش</w:t>
      </w:r>
      <w:r w:rsidR="002F08BA"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د، آنها </w:t>
      </w:r>
      <w:r w:rsidR="002F08BA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داخل در حکم حدیث </w:t>
      </w:r>
      <w:r w:rsidR="002F08BA">
        <w:rPr>
          <w:rFonts w:cs="B Mitra" w:hint="cs"/>
          <w:sz w:val="28"/>
          <w:szCs w:val="28"/>
          <w:rtl/>
          <w:lang w:bidi="fa-IR"/>
        </w:rPr>
        <w:t>خواهند بود.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الملاک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یعمم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یخصص</w:t>
      </w:r>
      <w:proofErr w:type="spellEnd"/>
      <w:r w:rsidR="002F08BA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 امیرالمومنین (ع) ب</w:t>
      </w:r>
      <w:r w:rsidR="002F08BA">
        <w:rPr>
          <w:rFonts w:cs="B Mitra" w:hint="cs"/>
          <w:sz w:val="28"/>
          <w:szCs w:val="28"/>
          <w:rtl/>
          <w:lang w:bidi="fa-IR"/>
        </w:rPr>
        <w:t xml:space="preserve">ه </w:t>
      </w:r>
      <w:r>
        <w:rPr>
          <w:rFonts w:cs="B Mitra" w:hint="cs"/>
          <w:sz w:val="28"/>
          <w:szCs w:val="28"/>
          <w:rtl/>
          <w:lang w:bidi="fa-IR"/>
        </w:rPr>
        <w:t xml:space="preserve">ملاک عصمت و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دارا بودن علم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لدنی</w:t>
      </w:r>
      <w:proofErr w:type="spellEnd"/>
      <w:r w:rsidR="002F08BA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پیام رسان تمام عیار برای پیامبر </w:t>
      </w:r>
      <w:r w:rsidR="002F08BA">
        <w:rPr>
          <w:rFonts w:cs="B Mitra" w:hint="cs"/>
          <w:sz w:val="28"/>
          <w:szCs w:val="28"/>
          <w:rtl/>
          <w:lang w:bidi="fa-IR"/>
        </w:rPr>
        <w:t xml:space="preserve">(ص) بودند. </w:t>
      </w:r>
      <w:r>
        <w:rPr>
          <w:rFonts w:cs="B Mitra" w:hint="cs"/>
          <w:sz w:val="28"/>
          <w:szCs w:val="28"/>
          <w:rtl/>
          <w:lang w:bidi="fa-IR"/>
        </w:rPr>
        <w:t xml:space="preserve">این ملاک </w:t>
      </w:r>
      <w:r w:rsidR="002F08BA">
        <w:rPr>
          <w:rFonts w:cs="B Mitra" w:hint="cs"/>
          <w:sz w:val="28"/>
          <w:szCs w:val="28"/>
          <w:rtl/>
          <w:lang w:bidi="fa-IR"/>
        </w:rPr>
        <w:t xml:space="preserve">در مورد </w:t>
      </w:r>
      <w:r>
        <w:rPr>
          <w:rFonts w:cs="B Mitra" w:hint="cs"/>
          <w:sz w:val="28"/>
          <w:szCs w:val="28"/>
          <w:rtl/>
          <w:lang w:bidi="fa-IR"/>
        </w:rPr>
        <w:t>حضرت صدیقه طاهره (س) و سایر ائمه اطهار (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</w:t>
      </w:r>
      <w:r w:rsidR="002F08BA">
        <w:rPr>
          <w:rFonts w:cs="B Mitra" w:hint="cs"/>
          <w:sz w:val="28"/>
          <w:szCs w:val="28"/>
          <w:rtl/>
          <w:lang w:bidi="fa-IR"/>
        </w:rPr>
        <w:t>لیهم</w:t>
      </w:r>
      <w:proofErr w:type="spellEnd"/>
      <w:r w:rsidR="002F08B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2F08BA">
        <w:rPr>
          <w:rFonts w:cs="B Mitra" w:hint="cs"/>
          <w:sz w:val="28"/>
          <w:szCs w:val="28"/>
          <w:rtl/>
          <w:lang w:bidi="fa-IR"/>
        </w:rPr>
        <w:t>السلام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) </w:t>
      </w:r>
      <w:r w:rsidR="002F08BA">
        <w:rPr>
          <w:rFonts w:cs="B Mitra" w:hint="cs"/>
          <w:sz w:val="28"/>
          <w:szCs w:val="28"/>
          <w:rtl/>
          <w:lang w:bidi="fa-IR"/>
        </w:rPr>
        <w:t xml:space="preserve">نیز وجود دارد. </w:t>
      </w:r>
    </w:p>
    <w:p w:rsidR="00FD790A" w:rsidRDefault="00FD790A" w:rsidP="00FD790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FD790A" w:rsidRDefault="00FD790A" w:rsidP="00FB45A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700" w:rsidRDefault="00933700" w:rsidP="00BC6EBB">
      <w:pPr>
        <w:spacing w:after="0" w:line="240" w:lineRule="auto"/>
      </w:pPr>
      <w:r>
        <w:separator/>
      </w:r>
    </w:p>
  </w:endnote>
  <w:endnote w:type="continuationSeparator" w:id="0">
    <w:p w:rsidR="00933700" w:rsidRDefault="0093370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700" w:rsidRDefault="00933700" w:rsidP="00BC6EBB">
      <w:pPr>
        <w:spacing w:after="0" w:line="240" w:lineRule="auto"/>
      </w:pPr>
      <w:r>
        <w:separator/>
      </w:r>
    </w:p>
  </w:footnote>
  <w:footnote w:type="continuationSeparator" w:id="0">
    <w:p w:rsidR="00933700" w:rsidRDefault="00933700" w:rsidP="00BC6EBB">
      <w:pPr>
        <w:spacing w:after="0" w:line="240" w:lineRule="auto"/>
      </w:pPr>
      <w:r>
        <w:continuationSeparator/>
      </w:r>
    </w:p>
  </w:footnote>
  <w:footnote w:id="1">
    <w:p w:rsidR="006605BD" w:rsidRDefault="006605B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149، ح 4670</w:t>
      </w:r>
    </w:p>
  </w:footnote>
  <w:footnote w:id="2">
    <w:p w:rsidR="006605BD" w:rsidRDefault="006605B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 آدرس، پاورقی</w:t>
      </w:r>
    </w:p>
  </w:footnote>
  <w:footnote w:id="3">
    <w:p w:rsidR="006605BD" w:rsidRDefault="006605B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، حاکم نیشابوری، ج3، ص 152، ح4680 </w:t>
      </w:r>
    </w:p>
  </w:footnote>
  <w:footnote w:id="4">
    <w:p w:rsidR="006605BD" w:rsidRDefault="006605B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180، ح 4773</w:t>
      </w:r>
    </w:p>
  </w:footnote>
  <w:footnote w:id="5">
    <w:p w:rsidR="008B7D1D" w:rsidRDefault="008B7D1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، حاکم نیشابوری، </w:t>
      </w:r>
    </w:p>
  </w:footnote>
  <w:footnote w:id="6">
    <w:p w:rsidR="008B7D1D" w:rsidRDefault="008B7D1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سنن </w:t>
      </w:r>
      <w:proofErr w:type="spellStart"/>
      <w:r>
        <w:rPr>
          <w:rFonts w:hint="cs"/>
          <w:rtl/>
          <w:lang w:bidi="fa-IR"/>
        </w:rPr>
        <w:t>ترمذی</w:t>
      </w:r>
      <w:proofErr w:type="spellEnd"/>
      <w:r>
        <w:rPr>
          <w:rFonts w:hint="cs"/>
          <w:rtl/>
          <w:lang w:bidi="fa-IR"/>
        </w:rPr>
        <w:t>، ج4، ص 474، ح3719</w:t>
      </w:r>
    </w:p>
  </w:footnote>
  <w:footnote w:id="7">
    <w:p w:rsidR="008B7D1D" w:rsidRDefault="008B7D1D" w:rsidP="00FB45A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المسند</w:t>
      </w:r>
      <w:proofErr w:type="spellEnd"/>
      <w:r>
        <w:rPr>
          <w:rFonts w:hint="cs"/>
          <w:rtl/>
          <w:lang w:bidi="fa-IR"/>
        </w:rPr>
        <w:t xml:space="preserve">، احمد بن </w:t>
      </w:r>
      <w:proofErr w:type="spellStart"/>
      <w:r>
        <w:rPr>
          <w:rFonts w:hint="cs"/>
          <w:rtl/>
          <w:lang w:bidi="fa-IR"/>
        </w:rPr>
        <w:t>حنبل</w:t>
      </w:r>
      <w:proofErr w:type="spellEnd"/>
      <w:r>
        <w:rPr>
          <w:rFonts w:hint="cs"/>
          <w:rtl/>
          <w:lang w:bidi="fa-IR"/>
        </w:rPr>
        <w:t xml:space="preserve">، </w:t>
      </w:r>
      <w:r w:rsidR="00FB45AA">
        <w:rPr>
          <w:rFonts w:hint="cs"/>
          <w:rtl/>
          <w:lang w:bidi="fa-IR"/>
        </w:rPr>
        <w:t>ج13، ص 394، ح17435</w:t>
      </w:r>
    </w:p>
  </w:footnote>
  <w:footnote w:id="8">
    <w:p w:rsidR="00FD790A" w:rsidRDefault="00FD790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469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95567E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95567E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04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5E6F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08BA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6172"/>
    <w:rsid w:val="00440986"/>
    <w:rsid w:val="00442F3F"/>
    <w:rsid w:val="004444B5"/>
    <w:rsid w:val="00444FE6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2F12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0BE0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05BD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B7D1D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05CD"/>
    <w:rsid w:val="00922855"/>
    <w:rsid w:val="00923476"/>
    <w:rsid w:val="009247F3"/>
    <w:rsid w:val="00932299"/>
    <w:rsid w:val="00933700"/>
    <w:rsid w:val="009354EC"/>
    <w:rsid w:val="00935A44"/>
    <w:rsid w:val="00940B6F"/>
    <w:rsid w:val="00943CCA"/>
    <w:rsid w:val="00944854"/>
    <w:rsid w:val="0095018E"/>
    <w:rsid w:val="00950D97"/>
    <w:rsid w:val="00952ADD"/>
    <w:rsid w:val="0095567E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35A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43589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316B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45AA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D790A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94F06C-D613-4073-A70F-A9405864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13</cp:revision>
  <dcterms:created xsi:type="dcterms:W3CDTF">2020-11-25T15:53:00Z</dcterms:created>
  <dcterms:modified xsi:type="dcterms:W3CDTF">2020-11-26T04:53:00Z</dcterms:modified>
</cp:coreProperties>
</file>