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ED6DC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9D748E" w:rsidRDefault="00796EE5" w:rsidP="00AC103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>حدیث 3</w:t>
      </w:r>
      <w:r w:rsidR="00AC1033">
        <w:rPr>
          <w:rFonts w:cs="B Mitra" w:hint="cs"/>
          <w:color w:val="FF0000"/>
          <w:sz w:val="28"/>
          <w:szCs w:val="28"/>
          <w:rtl/>
          <w:lang w:bidi="fa-IR"/>
        </w:rPr>
        <w:t>1</w:t>
      </w: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 از مراجعه 48 </w:t>
      </w:r>
    </w:p>
    <w:p w:rsidR="00D60224" w:rsidRDefault="00ED6DC6" w:rsidP="00D6022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 این مراجعه پیامبر اکرم (ص) فرموده است: «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r w:rsidRPr="00ED6DC6">
        <w:rPr>
          <w:rFonts w:cs="B Mitra" w:hint="cs"/>
          <w:sz w:val="28"/>
          <w:szCs w:val="28"/>
          <w:rtl/>
          <w:lang w:bidi="fa-IR"/>
        </w:rPr>
        <w:t>و</w:t>
      </w:r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D60224">
        <w:rPr>
          <w:rFonts w:cs="B Mitra" w:hint="cs"/>
          <w:sz w:val="28"/>
          <w:szCs w:val="28"/>
          <w:rtl/>
          <w:lang w:bidi="fa-IR"/>
        </w:rPr>
        <w:t xml:space="preserve"> </w:t>
      </w:r>
      <w:r w:rsidRPr="00ED6DC6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يعني</w:t>
      </w:r>
      <w:proofErr w:type="spellEnd"/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عليا</w:t>
      </w:r>
      <w:proofErr w:type="spellEnd"/>
      <w:r w:rsidR="00D60224">
        <w:rPr>
          <w:rFonts w:cs="B Mitra" w:hint="cs"/>
          <w:sz w:val="28"/>
          <w:szCs w:val="28"/>
          <w:rtl/>
          <w:lang w:bidi="fa-IR"/>
        </w:rPr>
        <w:t xml:space="preserve"> </w:t>
      </w:r>
      <w:r w:rsidRPr="00ED6DC6">
        <w:rPr>
          <w:rFonts w:cs="B Mitra"/>
          <w:sz w:val="28"/>
          <w:szCs w:val="28"/>
          <w:rtl/>
          <w:lang w:bidi="fa-IR"/>
        </w:rPr>
        <w:t xml:space="preserve">-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حجة</w:t>
      </w:r>
      <w:proofErr w:type="spellEnd"/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على</w:t>
      </w:r>
      <w:proofErr w:type="spellEnd"/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أمتي</w:t>
      </w:r>
      <w:proofErr w:type="spellEnd"/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يوم</w:t>
      </w:r>
      <w:proofErr w:type="spellEnd"/>
      <w:r w:rsidRPr="00ED6DC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ED6DC6">
        <w:rPr>
          <w:rFonts w:cs="B Mitra" w:hint="cs"/>
          <w:sz w:val="28"/>
          <w:szCs w:val="28"/>
          <w:rtl/>
          <w:lang w:bidi="fa-IR"/>
        </w:rPr>
        <w:t>القيامة</w:t>
      </w:r>
      <w:proofErr w:type="spellEnd"/>
      <w:r w:rsidRPr="00ED6DC6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: من و این شخص (علی (ع)) در روز قیامت حجت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هستیم. مرحوم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درباره این حدیث گفته است: </w:t>
      </w:r>
      <w:r>
        <w:rPr>
          <w:rFonts w:cs="B Mitra" w:hint="cs"/>
          <w:sz w:val="28"/>
          <w:szCs w:val="28"/>
          <w:rtl/>
          <w:lang w:bidi="fa-IR"/>
        </w:rPr>
        <w:t>این حدیث را خطیب بغدادی از انس مالک نقل کرده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ED6DC6" w:rsidRDefault="00ED6DC6" w:rsidP="00D6022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میزان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الاعتدال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 حدیث را از د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و طریق و با دو سند از انس روایت کرده است. در یکی از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آن </w:t>
      </w:r>
      <w:r>
        <w:rPr>
          <w:rFonts w:cs="B Mitra" w:hint="cs"/>
          <w:sz w:val="28"/>
          <w:szCs w:val="28"/>
          <w:rtl/>
          <w:lang w:bidi="fa-IR"/>
        </w:rPr>
        <w:t xml:space="preserve">دو سند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چنین </w:t>
      </w:r>
      <w:r>
        <w:rPr>
          <w:rFonts w:cs="B Mitra" w:hint="cs"/>
          <w:sz w:val="28"/>
          <w:szCs w:val="28"/>
          <w:rtl/>
          <w:lang w:bidi="fa-IR"/>
        </w:rPr>
        <w:t>آمده است</w:t>
      </w:r>
      <w:r w:rsidR="00D6022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«عن انس قال کنت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(ص) رای علیا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مقبلا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قال یا انس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حجتی علی امتی یوم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القیامه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>
        <w:rPr>
          <w:rFonts w:cs="B Mitra" w:hint="cs"/>
          <w:sz w:val="28"/>
          <w:szCs w:val="28"/>
          <w:rtl/>
          <w:lang w:bidi="fa-IR"/>
        </w:rPr>
        <w:t xml:space="preserve">. در این روایت حجت بودن پیامبر (ص)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مفرو</w:t>
      </w:r>
      <w:r w:rsidR="00D60224">
        <w:rPr>
          <w:rFonts w:cs="B Mitra" w:hint="cs"/>
          <w:sz w:val="28"/>
          <w:szCs w:val="28"/>
          <w:rtl/>
          <w:lang w:bidi="fa-IR"/>
        </w:rPr>
        <w:t>غ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و حجت بودن امیرالمومنین (ع) در طول حجت بودن ایشان است. در نقل دیگر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این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گونه آمده است</w:t>
      </w:r>
      <w:r w:rsidR="00D6022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«عن انس کنت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جالسا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(ص) اذا قبل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علیّ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فقال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(ص) یا انس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؟ (پیامبر اکرم (ص) می دانند که چه کسی می آید</w:t>
      </w:r>
      <w:r w:rsidR="00D6022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برای اینکه مطلب روشن تر شود سوال می فرماید)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قلت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و قال یا انس انا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حجه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الله علی </w:t>
      </w:r>
      <w:proofErr w:type="spellStart"/>
      <w:r w:rsidR="00AC1033">
        <w:rPr>
          <w:rFonts w:cs="B Mitra" w:hint="cs"/>
          <w:sz w:val="28"/>
          <w:szCs w:val="28"/>
          <w:rtl/>
          <w:lang w:bidi="fa-IR"/>
        </w:rPr>
        <w:t>خلقه</w:t>
      </w:r>
      <w:proofErr w:type="spellEnd"/>
      <w:r w:rsidR="00AC1033">
        <w:rPr>
          <w:rFonts w:cs="B Mitra" w:hint="cs"/>
          <w:sz w:val="28"/>
          <w:szCs w:val="28"/>
          <w:rtl/>
          <w:lang w:bidi="fa-IR"/>
        </w:rPr>
        <w:t>».</w:t>
      </w:r>
      <w:r w:rsidR="00AC1033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</w:p>
    <w:p w:rsidR="00163FB2" w:rsidRPr="00163FB2" w:rsidRDefault="00163FB2" w:rsidP="00ED6DC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63FB2">
        <w:rPr>
          <w:rFonts w:cs="B Mitra" w:hint="cs"/>
          <w:color w:val="FF0000"/>
          <w:sz w:val="28"/>
          <w:szCs w:val="28"/>
          <w:rtl/>
          <w:lang w:bidi="fa-IR"/>
        </w:rPr>
        <w:t>بررسی سند حدیث</w:t>
      </w:r>
    </w:p>
    <w:p w:rsidR="00ED6DC6" w:rsidRDefault="00AC1033" w:rsidP="00D6022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پس از نقل حدیث اول گفته است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باطل» و در مورد روایت دوم می گوید</w:t>
      </w:r>
      <w:r w:rsidR="00D60224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متهم در این حدیث مطر بن ابی مطر است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، او </w:t>
      </w:r>
      <w:r>
        <w:rPr>
          <w:rFonts w:cs="B Mitra" w:hint="cs"/>
          <w:sz w:val="28"/>
          <w:szCs w:val="28"/>
          <w:rtl/>
          <w:lang w:bidi="fa-IR"/>
        </w:rPr>
        <w:t>مجهول است و کسی که احتمال جعل نمودن حدیث را دارد همین شخص است</w:t>
      </w:r>
      <w:r w:rsidR="00D6022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زیرا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عبیدالله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بن موسی که ناقل بعدی است،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فردی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ثقه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و </w:t>
      </w:r>
      <w:r>
        <w:rPr>
          <w:rFonts w:cs="B Mitra" w:hint="cs"/>
          <w:sz w:val="28"/>
          <w:szCs w:val="28"/>
          <w:rtl/>
          <w:lang w:bidi="fa-IR"/>
        </w:rPr>
        <w:t xml:space="preserve">شیعی است و متهم نیست. گناه وی این است که این مطلب کذب را از وی نقل کرده است. </w:t>
      </w:r>
    </w:p>
    <w:p w:rsidR="00AC1033" w:rsidRDefault="00AC1033" w:rsidP="00D6022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بعد از نقل حدیث، آن را باطل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و کلام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تکرار کرده است. منتها اضافه می کند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ابوعبدالله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بخاری،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ابوحاتم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نسائی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ساجی</w:t>
      </w:r>
      <w:proofErr w:type="spellEnd"/>
      <w:r w:rsidR="00D6022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مطر بن ابی مطر را منکر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همچنین </w:t>
      </w:r>
      <w:r>
        <w:rPr>
          <w:rFonts w:cs="B Mitra" w:hint="cs"/>
          <w:sz w:val="28"/>
          <w:szCs w:val="28"/>
          <w:rtl/>
          <w:lang w:bidi="fa-IR"/>
        </w:rPr>
        <w:t xml:space="preserve">علاوه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این حدیث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شمرده،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سیوطی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 اینکه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اهل </w:t>
      </w:r>
      <w:r>
        <w:rPr>
          <w:rFonts w:cs="B Mitra" w:hint="cs"/>
          <w:sz w:val="28"/>
          <w:szCs w:val="28"/>
          <w:rtl/>
          <w:lang w:bidi="fa-IR"/>
        </w:rPr>
        <w:t xml:space="preserve">تساهل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است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اللألی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المصنوعه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  <w:r>
        <w:rPr>
          <w:rFonts w:cs="B Mitra" w:hint="cs"/>
          <w:sz w:val="28"/>
          <w:szCs w:val="28"/>
          <w:rtl/>
          <w:lang w:bidi="fa-IR"/>
        </w:rPr>
        <w:t xml:space="preserve"> آن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است. ابن عراق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کنانی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کتاب تنزیه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الشریعه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ترکانی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الفوائد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المجموعه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60224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 xml:space="preserve">این حدیث را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دانسته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</w:t>
      </w:r>
      <w:r w:rsidR="00D60224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D60224"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AC1033" w:rsidRDefault="00163FB2" w:rsidP="00163FB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حجر در تقریب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التهذیب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722975">
        <w:rPr>
          <w:rFonts w:cs="B Mitra" w:hint="cs"/>
          <w:sz w:val="28"/>
          <w:szCs w:val="28"/>
          <w:rtl/>
          <w:lang w:bidi="fa-IR"/>
        </w:rPr>
        <w:t xml:space="preserve">نیز </w:t>
      </w:r>
      <w:r>
        <w:rPr>
          <w:rFonts w:cs="B Mitra" w:hint="cs"/>
          <w:sz w:val="28"/>
          <w:szCs w:val="28"/>
          <w:rtl/>
          <w:lang w:bidi="fa-IR"/>
        </w:rPr>
        <w:t>مطر بن ابن مطر را متروک دانسته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</w:p>
    <w:p w:rsidR="00163FB2" w:rsidRPr="00163FB2" w:rsidRDefault="00163FB2" w:rsidP="00163FB2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163FB2">
        <w:rPr>
          <w:rFonts w:cs="B Mitra" w:hint="cs"/>
          <w:color w:val="FF0000"/>
          <w:sz w:val="28"/>
          <w:szCs w:val="28"/>
          <w:rtl/>
          <w:lang w:bidi="fa-IR"/>
        </w:rPr>
        <w:t>بررسی و نقد</w:t>
      </w:r>
    </w:p>
    <w:p w:rsidR="003665C4" w:rsidRDefault="00163FB2" w:rsidP="003665C4">
      <w:pPr>
        <w:spacing w:after="160" w:line="259" w:lineRule="auto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از آنجا که مطر بن </w:t>
      </w:r>
      <w:r w:rsidR="00722975">
        <w:rPr>
          <w:rFonts w:cs="B Mitra" w:hint="cs"/>
          <w:sz w:val="28"/>
          <w:szCs w:val="28"/>
          <w:rtl/>
          <w:lang w:bidi="fa-IR"/>
        </w:rPr>
        <w:t xml:space="preserve">ابن </w:t>
      </w:r>
      <w:r>
        <w:rPr>
          <w:rFonts w:cs="B Mitra" w:hint="cs"/>
          <w:sz w:val="28"/>
          <w:szCs w:val="28"/>
          <w:rtl/>
          <w:lang w:bidi="fa-IR"/>
        </w:rPr>
        <w:t xml:space="preserve">مطر توسط تعداد زیادی از عالمان تضعیف شده است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توثیقی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درباره وی نیامده است، روایت از نظر سند ضعیف خواهد بود. اما نکته مهم این است که افرادی مانند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اعظمی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دیگرانی که حکم به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حدیث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، دلیل</w:t>
      </w:r>
      <w:r w:rsidR="0072297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شان چیست؟ آنچه مقتضای یک بحث علمی مسند به علم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این است که بگوی</w:t>
      </w:r>
      <w:r w:rsidR="00722975">
        <w:rPr>
          <w:rFonts w:cs="B Mitra" w:hint="cs"/>
          <w:sz w:val="28"/>
          <w:szCs w:val="28"/>
          <w:rtl/>
          <w:lang w:bidi="fa-IR"/>
        </w:rPr>
        <w:t>ن</w:t>
      </w:r>
      <w:r>
        <w:rPr>
          <w:rFonts w:cs="B Mitra" w:hint="cs"/>
          <w:sz w:val="28"/>
          <w:szCs w:val="28"/>
          <w:rtl/>
          <w:lang w:bidi="fa-IR"/>
        </w:rPr>
        <w:t>د حدیث ضعیف است</w:t>
      </w:r>
      <w:r w:rsidR="0072297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اما اینکه محتوای آن جعل شده است چه دلیل دارد؟ می دانید که ضعیف بودن سند یک حدیث</w:t>
      </w:r>
      <w:r w:rsidR="0072297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ملازم با کذب بودن آن </w:t>
      </w:r>
      <w:r w:rsidR="00722975">
        <w:rPr>
          <w:rFonts w:cs="B Mitra" w:hint="cs"/>
          <w:sz w:val="28"/>
          <w:szCs w:val="28"/>
          <w:rtl/>
          <w:lang w:bidi="fa-IR"/>
        </w:rPr>
        <w:t xml:space="preserve">نیست زیرا </w:t>
      </w:r>
      <w:r>
        <w:rPr>
          <w:rFonts w:cs="B Mitra" w:hint="cs"/>
          <w:sz w:val="28"/>
          <w:szCs w:val="28"/>
          <w:rtl/>
          <w:lang w:bidi="fa-IR"/>
        </w:rPr>
        <w:t xml:space="preserve">ممکن است طریق صحیح آن به ما نرسیده </w:t>
      </w:r>
      <w:r w:rsidR="00722975">
        <w:rPr>
          <w:rFonts w:cs="B Mitra" w:hint="cs"/>
          <w:sz w:val="28"/>
          <w:szCs w:val="28"/>
          <w:rtl/>
          <w:lang w:bidi="fa-IR"/>
        </w:rPr>
        <w:t xml:space="preserve">باشد. </w:t>
      </w:r>
      <w:r>
        <w:rPr>
          <w:rFonts w:cs="B Mitra" w:hint="cs"/>
          <w:sz w:val="28"/>
          <w:szCs w:val="28"/>
          <w:rtl/>
          <w:lang w:bidi="fa-IR"/>
        </w:rPr>
        <w:t xml:space="preserve">از آن طرف می دانیم که اگر روایتی سندش درست باشد اما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متنش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بر خلاف مطالب مسلم عقلی و دینی باشد، کذب خواهد بود. اکنون می گوییم آیا مضمون و محتوای این حدیث</w:t>
      </w:r>
      <w:r w:rsidR="003665C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بر خلاف مطالب مسلم در قرآن کریم یا در سند نبوی یا از نظر عقلی </w:t>
      </w:r>
      <w:r w:rsidR="003665C4">
        <w:rPr>
          <w:rFonts w:cs="B Mitra" w:hint="cs"/>
          <w:sz w:val="28"/>
          <w:szCs w:val="28"/>
          <w:rtl/>
          <w:lang w:bidi="fa-IR"/>
        </w:rPr>
        <w:t>است</w:t>
      </w:r>
      <w:r>
        <w:rPr>
          <w:rFonts w:cs="B Mitra" w:hint="cs"/>
          <w:sz w:val="28"/>
          <w:szCs w:val="28"/>
          <w:rtl/>
          <w:lang w:bidi="fa-IR"/>
        </w:rPr>
        <w:t xml:space="preserve">؟ </w:t>
      </w:r>
      <w:r w:rsidR="003665C4">
        <w:rPr>
          <w:rFonts w:cs="B Mitra" w:hint="cs"/>
          <w:sz w:val="28"/>
          <w:szCs w:val="28"/>
          <w:rtl/>
          <w:lang w:bidi="fa-IR"/>
        </w:rPr>
        <w:t xml:space="preserve">پاسخ منفی است. </w:t>
      </w:r>
      <w:r>
        <w:rPr>
          <w:rFonts w:cs="B Mitra" w:hint="cs"/>
          <w:sz w:val="28"/>
          <w:szCs w:val="28"/>
          <w:rtl/>
          <w:lang w:bidi="fa-IR"/>
        </w:rPr>
        <w:t xml:space="preserve">حجت بودن امیرالمومنین (ع) </w:t>
      </w:r>
      <w:r w:rsidR="003665C4">
        <w:rPr>
          <w:rFonts w:cs="B Mitra" w:hint="cs"/>
          <w:sz w:val="28"/>
          <w:szCs w:val="28"/>
          <w:rtl/>
          <w:lang w:bidi="fa-IR"/>
        </w:rPr>
        <w:t xml:space="preserve">در این روایت </w:t>
      </w:r>
      <w:r>
        <w:rPr>
          <w:rFonts w:cs="B Mitra" w:hint="cs"/>
          <w:sz w:val="28"/>
          <w:szCs w:val="28"/>
          <w:rtl/>
          <w:lang w:bidi="fa-IR"/>
        </w:rPr>
        <w:t xml:space="preserve">در طول حجت بودن پیامبر (ص) </w:t>
      </w:r>
      <w:r w:rsidR="003665C4">
        <w:rPr>
          <w:rFonts w:cs="B Mitra" w:hint="cs"/>
          <w:sz w:val="28"/>
          <w:szCs w:val="28"/>
          <w:rtl/>
          <w:lang w:bidi="fa-IR"/>
        </w:rPr>
        <w:t xml:space="preserve">بیان شده است و </w:t>
      </w:r>
      <w:r>
        <w:rPr>
          <w:rFonts w:cs="B Mitra" w:hint="cs"/>
          <w:sz w:val="28"/>
          <w:szCs w:val="28"/>
          <w:rtl/>
          <w:lang w:bidi="fa-IR"/>
        </w:rPr>
        <w:t xml:space="preserve">با هیچ اصلی نه تنها مخالف نیست بلکه موافق است. </w:t>
      </w:r>
      <w:r w:rsidR="003665C4">
        <w:rPr>
          <w:rFonts w:cs="B Mitra" w:hint="cs"/>
          <w:sz w:val="28"/>
          <w:szCs w:val="28"/>
          <w:rtl/>
          <w:lang w:bidi="fa-IR"/>
        </w:rPr>
        <w:t xml:space="preserve">به این روایات دقت کنید: </w:t>
      </w:r>
    </w:p>
    <w:p w:rsidR="003665C4" w:rsidRDefault="003665C4" w:rsidP="003665C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پیامبر اکرم (ص) 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فرمود: «علی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علی»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 لازمه این سخن همان حجت بودن امیرالمومنین (ع) است. </w:t>
      </w:r>
      <w:r>
        <w:rPr>
          <w:rFonts w:cs="B Mitra" w:hint="cs"/>
          <w:sz w:val="28"/>
          <w:szCs w:val="28"/>
          <w:rtl/>
          <w:lang w:bidi="fa-IR"/>
        </w:rPr>
        <w:t xml:space="preserve">این روایت بیان می کند که آن حضرت 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مقیاس تشخیص حق است. </w:t>
      </w:r>
    </w:p>
    <w:p w:rsidR="00D404B5" w:rsidRDefault="003665C4" w:rsidP="00D404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آن حضرت در روایت دیگری 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فرمود: «علی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علی».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ذهبی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در مورد این حدیث خدشه ای نکرده است. اکنون مگر کتاب الله، حجت نیست، امیرالمومنین (ع) هم طبق این حدیث</w:t>
      </w:r>
      <w:r w:rsidR="00D404B5">
        <w:rPr>
          <w:rFonts w:cs="B Mitra" w:hint="cs"/>
          <w:sz w:val="28"/>
          <w:szCs w:val="28"/>
          <w:rtl/>
          <w:lang w:bidi="fa-IR"/>
        </w:rPr>
        <w:t>،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 قرآن ناطق و حجت خواهد بود. </w:t>
      </w:r>
    </w:p>
    <w:p w:rsidR="00D404B5" w:rsidRDefault="00D404B5" w:rsidP="00D404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پیامبر (ص) فرمود: «انا مدینه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و علی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بابها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مفاد این حدیث این است که 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علم دین و </w:t>
      </w:r>
      <w:r>
        <w:rPr>
          <w:rFonts w:cs="B Mitra" w:hint="cs"/>
          <w:sz w:val="28"/>
          <w:szCs w:val="28"/>
          <w:rtl/>
          <w:lang w:bidi="fa-IR"/>
        </w:rPr>
        <w:t xml:space="preserve">تشخیص </w:t>
      </w:r>
      <w:r w:rsidR="00163FB2">
        <w:rPr>
          <w:rFonts w:cs="B Mitra" w:hint="cs"/>
          <w:sz w:val="28"/>
          <w:szCs w:val="28"/>
          <w:rtl/>
          <w:lang w:bidi="fa-IR"/>
        </w:rPr>
        <w:t>حق و باطل را از پیامبر (ص) باید فهمید و باب ایشان امیرالمومنین (ع) است</w:t>
      </w:r>
      <w:r>
        <w:rPr>
          <w:rFonts w:cs="B Mitra" w:hint="cs"/>
          <w:sz w:val="28"/>
          <w:szCs w:val="28"/>
          <w:rtl/>
          <w:lang w:bidi="fa-IR"/>
        </w:rPr>
        <w:t xml:space="preserve">. روشن است که 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لازمه آن حجت بودن ایشان است. </w:t>
      </w:r>
    </w:p>
    <w:p w:rsidR="00163FB2" w:rsidRDefault="00D404B5" w:rsidP="00D404B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4. ح</w:t>
      </w:r>
      <w:r w:rsidR="00163FB2">
        <w:rPr>
          <w:rFonts w:cs="B Mitra" w:hint="cs"/>
          <w:sz w:val="28"/>
          <w:szCs w:val="28"/>
          <w:rtl/>
          <w:lang w:bidi="fa-IR"/>
        </w:rPr>
        <w:t xml:space="preserve">دیث </w:t>
      </w:r>
      <w:proofErr w:type="spellStart"/>
      <w:r w:rsidR="00163FB2">
        <w:rPr>
          <w:rFonts w:cs="B Mitra" w:hint="cs"/>
          <w:sz w:val="28"/>
          <w:szCs w:val="28"/>
          <w:rtl/>
          <w:lang w:bidi="fa-IR"/>
        </w:rPr>
        <w:t>ثقلین</w:t>
      </w:r>
      <w:proofErr w:type="spellEnd"/>
      <w:r w:rsidR="00163FB2">
        <w:rPr>
          <w:rFonts w:cs="B Mitra" w:hint="cs"/>
          <w:sz w:val="28"/>
          <w:szCs w:val="28"/>
          <w:rtl/>
          <w:lang w:bidi="fa-IR"/>
        </w:rPr>
        <w:t xml:space="preserve"> نیز همین مطلب را بیان می کند. </w:t>
      </w:r>
    </w:p>
    <w:p w:rsidR="003072AD" w:rsidRDefault="003072AD" w:rsidP="0086646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اگر این روایات و روایات دیگر مانند آن را در نظر بگیریم، حجت بودن امیرالمومنین (ع) را بر امت به روشنی نشان می دهد. معیار و مقیاسی که برای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مجعول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حدیث بیان شده این است که محتوای آن حدیث بر خلاف آموزه ای قرآن و سنت پیامبر (ص) و یا روایاتی که از طرق معتبر به ما رسیده و یا اصول عقلی باشد</w:t>
      </w:r>
      <w:r w:rsidR="00866466">
        <w:rPr>
          <w:rFonts w:cs="B Mitra" w:hint="cs"/>
          <w:sz w:val="28"/>
          <w:szCs w:val="28"/>
          <w:rtl/>
          <w:lang w:bidi="fa-IR"/>
        </w:rPr>
        <w:t xml:space="preserve">، در حالی که </w:t>
      </w:r>
      <w:r w:rsidR="00FA1495">
        <w:rPr>
          <w:rFonts w:cs="B Mitra" w:hint="cs"/>
          <w:sz w:val="28"/>
          <w:szCs w:val="28"/>
          <w:rtl/>
          <w:lang w:bidi="fa-IR"/>
        </w:rPr>
        <w:t xml:space="preserve">چنین مطلبی در مورد حدیث مورد نظر </w:t>
      </w:r>
      <w:r w:rsidR="00866466">
        <w:rPr>
          <w:rFonts w:cs="B Mitra" w:hint="cs"/>
          <w:sz w:val="28"/>
          <w:szCs w:val="28"/>
          <w:rtl/>
          <w:lang w:bidi="fa-IR"/>
        </w:rPr>
        <w:t xml:space="preserve">وجود ندارد. </w:t>
      </w:r>
    </w:p>
    <w:p w:rsidR="00796EE5" w:rsidRPr="00796EE5" w:rsidRDefault="00FA1495" w:rsidP="00ED6DC6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انشاءالله در جلسه آینده به بررسی روایت بعد می پردازیم</w:t>
      </w:r>
    </w:p>
    <w:p w:rsidR="009D748E" w:rsidRPr="00981DD2" w:rsidRDefault="009D748E" w:rsidP="00ED6DC6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ED6DC6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C5A" w:rsidRDefault="007A5C5A" w:rsidP="00BC6EBB">
      <w:pPr>
        <w:spacing w:after="0" w:line="240" w:lineRule="auto"/>
      </w:pPr>
      <w:r>
        <w:separator/>
      </w:r>
    </w:p>
  </w:endnote>
  <w:endnote w:type="continuationSeparator" w:id="0">
    <w:p w:rsidR="007A5C5A" w:rsidRDefault="007A5C5A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C5A" w:rsidRDefault="007A5C5A" w:rsidP="00BC6EBB">
      <w:pPr>
        <w:spacing w:after="0" w:line="240" w:lineRule="auto"/>
      </w:pPr>
      <w:r>
        <w:separator/>
      </w:r>
    </w:p>
  </w:footnote>
  <w:footnote w:type="continuationSeparator" w:id="0">
    <w:p w:rsidR="007A5C5A" w:rsidRDefault="007A5C5A" w:rsidP="00BC6EBB">
      <w:pPr>
        <w:spacing w:after="0" w:line="240" w:lineRule="auto"/>
      </w:pPr>
      <w:r>
        <w:continuationSeparator/>
      </w:r>
    </w:p>
  </w:footnote>
  <w:footnote w:id="1">
    <w:p w:rsidR="00ED6DC6" w:rsidRDefault="00ED6DC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تاریخ بغداد، ج2، ص 88 ؛ </w:t>
      </w:r>
      <w:proofErr w:type="spellStart"/>
      <w:r>
        <w:rPr>
          <w:rFonts w:hint="cs"/>
          <w:rtl/>
          <w:lang w:bidi="fa-IR"/>
        </w:rPr>
        <w:t>کنزالعمال</w:t>
      </w:r>
      <w:proofErr w:type="spellEnd"/>
      <w:r>
        <w:rPr>
          <w:rFonts w:hint="cs"/>
          <w:rtl/>
          <w:lang w:bidi="fa-IR"/>
        </w:rPr>
        <w:t xml:space="preserve">، ج11، ص 620، ح 33013 ؛ تاریخ مدینه دمشق، ابن </w:t>
      </w:r>
      <w:proofErr w:type="spellStart"/>
      <w:r>
        <w:rPr>
          <w:rFonts w:hint="cs"/>
          <w:rtl/>
          <w:lang w:bidi="fa-IR"/>
        </w:rPr>
        <w:t>عساکر</w:t>
      </w:r>
      <w:proofErr w:type="spellEnd"/>
      <w:r>
        <w:rPr>
          <w:rFonts w:hint="cs"/>
          <w:rtl/>
          <w:lang w:bidi="fa-IR"/>
        </w:rPr>
        <w:t xml:space="preserve">، ج42، ص 109 ؛ </w:t>
      </w:r>
      <w:proofErr w:type="spellStart"/>
      <w:r>
        <w:rPr>
          <w:rFonts w:hint="cs"/>
          <w:rtl/>
          <w:lang w:bidi="fa-IR"/>
        </w:rPr>
        <w:t>مناقب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مغازلی</w:t>
      </w:r>
      <w:proofErr w:type="spellEnd"/>
      <w:r>
        <w:rPr>
          <w:rFonts w:hint="cs"/>
          <w:rtl/>
          <w:lang w:bidi="fa-IR"/>
        </w:rPr>
        <w:t>، ص 45</w:t>
      </w:r>
    </w:p>
  </w:footnote>
  <w:footnote w:id="2">
    <w:p w:rsidR="00ED6DC6" w:rsidRDefault="00ED6DC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ج4، ص 127</w:t>
      </w:r>
    </w:p>
  </w:footnote>
  <w:footnote w:id="3">
    <w:p w:rsidR="00AC1033" w:rsidRDefault="00AC103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میزان </w:t>
      </w:r>
      <w:proofErr w:type="spellStart"/>
      <w:r>
        <w:rPr>
          <w:rFonts w:hint="cs"/>
          <w:rtl/>
          <w:lang w:bidi="fa-IR"/>
        </w:rPr>
        <w:t>الاعتدال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>، ج4، ص 128</w:t>
      </w:r>
    </w:p>
  </w:footnote>
  <w:footnote w:id="4">
    <w:p w:rsidR="00AC1033" w:rsidRDefault="00AC1033" w:rsidP="00AC103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اللألی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المصنوعه</w:t>
      </w:r>
      <w:proofErr w:type="spellEnd"/>
      <w:r>
        <w:rPr>
          <w:rFonts w:hint="cs"/>
          <w:rtl/>
          <w:lang w:bidi="fa-IR"/>
        </w:rPr>
        <w:t>، ج1، ص 366</w:t>
      </w:r>
    </w:p>
  </w:footnote>
  <w:footnote w:id="5">
    <w:p w:rsidR="00AC1033" w:rsidRDefault="00AC103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تنزیه </w:t>
      </w:r>
      <w:proofErr w:type="spellStart"/>
      <w:r>
        <w:rPr>
          <w:rFonts w:hint="cs"/>
          <w:rtl/>
          <w:lang w:bidi="fa-IR"/>
        </w:rPr>
        <w:t>الشریعه</w:t>
      </w:r>
      <w:proofErr w:type="spellEnd"/>
      <w:r>
        <w:rPr>
          <w:rFonts w:hint="cs"/>
          <w:rtl/>
          <w:lang w:bidi="fa-IR"/>
        </w:rPr>
        <w:t xml:space="preserve">، ابن عراق </w:t>
      </w:r>
      <w:proofErr w:type="spellStart"/>
      <w:r>
        <w:rPr>
          <w:rFonts w:hint="cs"/>
          <w:rtl/>
          <w:lang w:bidi="fa-IR"/>
        </w:rPr>
        <w:t>کنانی</w:t>
      </w:r>
      <w:proofErr w:type="spellEnd"/>
      <w:r>
        <w:rPr>
          <w:rFonts w:hint="cs"/>
          <w:rtl/>
          <w:lang w:bidi="fa-IR"/>
        </w:rPr>
        <w:t>، ج1، ص 360</w:t>
      </w:r>
    </w:p>
  </w:footnote>
  <w:footnote w:id="6">
    <w:p w:rsidR="00AC1033" w:rsidRDefault="00AC103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الفوائد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المجموعه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ترکانی</w:t>
      </w:r>
      <w:proofErr w:type="spellEnd"/>
      <w:r>
        <w:rPr>
          <w:rFonts w:hint="cs"/>
          <w:rtl/>
          <w:lang w:bidi="fa-IR"/>
        </w:rPr>
        <w:t>، ص 373</w:t>
      </w:r>
    </w:p>
  </w:footnote>
  <w:footnote w:id="7">
    <w:p w:rsidR="00AC1033" w:rsidRDefault="00AC103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اعظمی</w:t>
      </w:r>
      <w:proofErr w:type="spellEnd"/>
      <w:r>
        <w:rPr>
          <w:rFonts w:hint="cs"/>
          <w:rtl/>
          <w:lang w:bidi="fa-IR"/>
        </w:rPr>
        <w:t>، ج1، ص 489- 490</w:t>
      </w:r>
    </w:p>
  </w:footnote>
  <w:footnote w:id="8">
    <w:p w:rsidR="00163FB2" w:rsidRDefault="00163FB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تقریب </w:t>
      </w:r>
      <w:proofErr w:type="spellStart"/>
      <w:r>
        <w:rPr>
          <w:rFonts w:hint="cs"/>
          <w:rtl/>
          <w:lang w:bidi="fa-IR"/>
        </w:rPr>
        <w:t>التهذیب</w:t>
      </w:r>
      <w:proofErr w:type="spellEnd"/>
      <w:r>
        <w:rPr>
          <w:rFonts w:hint="cs"/>
          <w:rtl/>
          <w:lang w:bidi="fa-IR"/>
        </w:rPr>
        <w:t>، ج2، ص 587، ش 6974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197C9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197C95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96EE5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197C95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1B6603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3FB2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97C95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164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2AD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5C4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5861"/>
    <w:rsid w:val="003B6DFF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2975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5C5A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66466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033"/>
    <w:rsid w:val="00AC1179"/>
    <w:rsid w:val="00AC37D0"/>
    <w:rsid w:val="00AC4010"/>
    <w:rsid w:val="00AC60BC"/>
    <w:rsid w:val="00AC68D3"/>
    <w:rsid w:val="00AC7972"/>
    <w:rsid w:val="00AC7C55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04B5"/>
    <w:rsid w:val="00D44379"/>
    <w:rsid w:val="00D47453"/>
    <w:rsid w:val="00D475A2"/>
    <w:rsid w:val="00D52A1D"/>
    <w:rsid w:val="00D579BD"/>
    <w:rsid w:val="00D60224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B1E16"/>
    <w:rsid w:val="00DB383B"/>
    <w:rsid w:val="00DB4A75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D6DC6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1495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0922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CF12D4-97FC-48E1-B412-B0D9742A8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2021-02-17T17:35:00Z</dcterms:created>
  <dcterms:modified xsi:type="dcterms:W3CDTF">2021-02-21T08:24:00Z</dcterms:modified>
</cp:coreProperties>
</file>