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F7E28">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630C50">
        <w:rPr>
          <w:rFonts w:ascii="Traditional Arabic" w:hAnsi="Traditional Arabic" w:cs="Traditional Arabic" w:hint="cs"/>
          <w:sz w:val="28"/>
          <w:szCs w:val="28"/>
          <w:rtl/>
        </w:rPr>
        <w:t xml:space="preserve">بررسی </w:t>
      </w:r>
      <w:r w:rsidR="009D56E2">
        <w:rPr>
          <w:rFonts w:ascii="Traditional Arabic" w:hAnsi="Traditional Arabic" w:cs="Traditional Arabic" w:hint="cs"/>
          <w:sz w:val="28"/>
          <w:szCs w:val="28"/>
          <w:rtl/>
        </w:rPr>
        <w:t>حديث مدينه العلم</w:t>
      </w:r>
    </w:p>
    <w:p w:rsidR="0092512D" w:rsidRPr="00E74038" w:rsidRDefault="0092512D" w:rsidP="0092512D">
      <w:pPr>
        <w:spacing w:after="160" w:line="259" w:lineRule="auto"/>
        <w:jc w:val="both"/>
        <w:rPr>
          <w:rFonts w:cs="B Mitra"/>
          <w:color w:val="FF0000"/>
          <w:sz w:val="28"/>
          <w:szCs w:val="28"/>
          <w:rtl/>
          <w:lang w:bidi="fa-IR"/>
        </w:rPr>
      </w:pPr>
      <w:r w:rsidRPr="00E74038">
        <w:rPr>
          <w:rFonts w:cs="B Mitra" w:hint="cs"/>
          <w:color w:val="FF0000"/>
          <w:sz w:val="28"/>
          <w:szCs w:val="28"/>
          <w:rtl/>
          <w:lang w:bidi="fa-IR"/>
        </w:rPr>
        <w:t xml:space="preserve">بررسی اشکالات ابومریم اعظمی بر حدیث </w:t>
      </w:r>
      <w:r>
        <w:rPr>
          <w:rFonts w:cs="B Mitra" w:hint="cs"/>
          <w:color w:val="FF0000"/>
          <w:sz w:val="28"/>
          <w:szCs w:val="28"/>
          <w:rtl/>
          <w:lang w:bidi="fa-IR"/>
        </w:rPr>
        <w:t>دارالحکمه</w:t>
      </w:r>
    </w:p>
    <w:p w:rsidR="00D053C4" w:rsidRDefault="0092512D" w:rsidP="00D053C4">
      <w:pPr>
        <w:spacing w:after="160" w:line="259" w:lineRule="auto"/>
        <w:jc w:val="both"/>
        <w:rPr>
          <w:rFonts w:cs="B Mitra" w:hint="cs"/>
          <w:sz w:val="28"/>
          <w:szCs w:val="28"/>
          <w:rtl/>
          <w:lang w:bidi="fa-IR"/>
        </w:rPr>
      </w:pPr>
      <w:r>
        <w:rPr>
          <w:rFonts w:cs="B Mitra" w:hint="cs"/>
          <w:sz w:val="28"/>
          <w:szCs w:val="28"/>
          <w:rtl/>
          <w:lang w:bidi="fa-IR"/>
        </w:rPr>
        <w:t xml:space="preserve">موضوع بحث بررسی اشکالاتی است که ابومریم اعظمی نویسنده کتاب الحجج الدامغات بر سند حدیث مدینه العلم وارد کرده است. در گفتارهای قبل برخی از اشکالات وی بر روایت مدینه العلم از ابن عباس مورد نقل و بررسی قرار گرفت. همچنین به بررسی مناقشات وی </w:t>
      </w:r>
      <w:r w:rsidR="00D053C4">
        <w:rPr>
          <w:rFonts w:cs="B Mitra" w:hint="cs"/>
          <w:sz w:val="28"/>
          <w:szCs w:val="28"/>
          <w:rtl/>
          <w:lang w:bidi="fa-IR"/>
        </w:rPr>
        <w:t>ب</w:t>
      </w:r>
      <w:r>
        <w:rPr>
          <w:rFonts w:cs="B Mitra" w:hint="cs"/>
          <w:sz w:val="28"/>
          <w:szCs w:val="28"/>
          <w:rtl/>
          <w:lang w:bidi="fa-IR"/>
        </w:rPr>
        <w:t>ر سند روایت دارالحکمه پرداختیم و آنها را نقد کردیم.</w:t>
      </w:r>
      <w:r w:rsidR="00D053C4">
        <w:rPr>
          <w:rFonts w:cs="B Mitra" w:hint="cs"/>
          <w:sz w:val="28"/>
          <w:szCs w:val="28"/>
          <w:rtl/>
          <w:lang w:bidi="fa-IR"/>
        </w:rPr>
        <w:t xml:space="preserve"> در ادامه به بررسی برخی دیگر از اشکالات وی می پردازیم: </w:t>
      </w:r>
    </w:p>
    <w:p w:rsidR="005F2074" w:rsidRDefault="0092512D" w:rsidP="00D053C4">
      <w:pPr>
        <w:spacing w:after="160" w:line="259" w:lineRule="auto"/>
        <w:jc w:val="both"/>
        <w:rPr>
          <w:rFonts w:cs="B Mitra" w:hint="cs"/>
          <w:sz w:val="28"/>
          <w:szCs w:val="28"/>
          <w:rtl/>
          <w:lang w:bidi="fa-IR"/>
        </w:rPr>
      </w:pPr>
      <w:r>
        <w:rPr>
          <w:rFonts w:cs="B Mitra" w:hint="cs"/>
          <w:sz w:val="28"/>
          <w:szCs w:val="28"/>
          <w:rtl/>
          <w:lang w:bidi="fa-IR"/>
        </w:rPr>
        <w:t xml:space="preserve"> </w:t>
      </w:r>
    </w:p>
    <w:p w:rsidR="000454BD" w:rsidRPr="000454BD" w:rsidRDefault="000454BD" w:rsidP="00D053C4">
      <w:pPr>
        <w:spacing w:after="160" w:line="259" w:lineRule="auto"/>
        <w:jc w:val="both"/>
        <w:rPr>
          <w:rFonts w:cs="B Mitra"/>
          <w:color w:val="FF0000"/>
          <w:sz w:val="28"/>
          <w:szCs w:val="28"/>
          <w:rtl/>
          <w:lang w:bidi="fa-IR"/>
        </w:rPr>
      </w:pPr>
      <w:r w:rsidRPr="000454BD">
        <w:rPr>
          <w:rFonts w:cs="B Mitra" w:hint="cs"/>
          <w:color w:val="FF0000"/>
          <w:sz w:val="28"/>
          <w:szCs w:val="28"/>
          <w:rtl/>
          <w:lang w:bidi="fa-IR"/>
        </w:rPr>
        <w:t xml:space="preserve">اشکال </w:t>
      </w:r>
      <w:r w:rsidR="00D053C4">
        <w:rPr>
          <w:rFonts w:cs="B Mitra" w:hint="cs"/>
          <w:color w:val="FF0000"/>
          <w:sz w:val="28"/>
          <w:szCs w:val="28"/>
          <w:rtl/>
          <w:lang w:bidi="fa-IR"/>
        </w:rPr>
        <w:t xml:space="preserve">وی </w:t>
      </w:r>
      <w:r w:rsidRPr="000454BD">
        <w:rPr>
          <w:rFonts w:cs="B Mitra" w:hint="cs"/>
          <w:color w:val="FF0000"/>
          <w:sz w:val="28"/>
          <w:szCs w:val="28"/>
          <w:rtl/>
          <w:lang w:bidi="fa-IR"/>
        </w:rPr>
        <w:t>بر روایت مدینه العلم از امیرالمومنین (ع)</w:t>
      </w:r>
    </w:p>
    <w:p w:rsidR="0092512D" w:rsidRPr="005F2074" w:rsidRDefault="00D053C4" w:rsidP="00D053C4">
      <w:pPr>
        <w:spacing w:after="160" w:line="259" w:lineRule="auto"/>
        <w:jc w:val="both"/>
        <w:rPr>
          <w:rFonts w:cs="B Mitra"/>
          <w:sz w:val="28"/>
          <w:szCs w:val="28"/>
          <w:rtl/>
          <w:lang w:bidi="fa-IR"/>
        </w:rPr>
      </w:pPr>
      <w:r>
        <w:rPr>
          <w:rFonts w:cs="B Mitra" w:hint="cs"/>
          <w:sz w:val="28"/>
          <w:szCs w:val="28"/>
          <w:rtl/>
          <w:lang w:bidi="fa-IR"/>
        </w:rPr>
        <w:t xml:space="preserve">این </w:t>
      </w:r>
      <w:r w:rsidR="0092512D">
        <w:rPr>
          <w:rFonts w:cs="B Mitra" w:hint="cs"/>
          <w:sz w:val="28"/>
          <w:szCs w:val="28"/>
          <w:rtl/>
          <w:lang w:bidi="fa-IR"/>
        </w:rPr>
        <w:t xml:space="preserve">روایت </w:t>
      </w:r>
      <w:r>
        <w:rPr>
          <w:rFonts w:cs="B Mitra" w:hint="cs"/>
          <w:sz w:val="28"/>
          <w:szCs w:val="28"/>
          <w:rtl/>
          <w:lang w:bidi="fa-IR"/>
        </w:rPr>
        <w:t xml:space="preserve">از </w:t>
      </w:r>
      <w:r w:rsidR="0092512D">
        <w:rPr>
          <w:rFonts w:cs="B Mitra" w:hint="cs"/>
          <w:sz w:val="28"/>
          <w:szCs w:val="28"/>
          <w:rtl/>
          <w:lang w:bidi="fa-IR"/>
        </w:rPr>
        <w:t xml:space="preserve">دو تابعی </w:t>
      </w:r>
      <w:r>
        <w:rPr>
          <w:rFonts w:cs="B Mitra" w:hint="cs"/>
          <w:sz w:val="28"/>
          <w:szCs w:val="28"/>
          <w:rtl/>
          <w:lang w:bidi="fa-IR"/>
        </w:rPr>
        <w:t xml:space="preserve">یعنی </w:t>
      </w:r>
      <w:r w:rsidR="0092512D">
        <w:rPr>
          <w:rFonts w:cs="B Mitra" w:hint="cs"/>
          <w:sz w:val="28"/>
          <w:szCs w:val="28"/>
          <w:rtl/>
          <w:lang w:bidi="fa-IR"/>
        </w:rPr>
        <w:t xml:space="preserve">حادث اعور همدانی و عاصم بن زمره از امیرالمومنین (ع) </w:t>
      </w:r>
      <w:r>
        <w:rPr>
          <w:rFonts w:cs="B Mitra" w:hint="cs"/>
          <w:sz w:val="28"/>
          <w:szCs w:val="28"/>
          <w:rtl/>
          <w:lang w:bidi="fa-IR"/>
        </w:rPr>
        <w:t>نقل شده است</w:t>
      </w:r>
      <w:r w:rsidR="0092512D">
        <w:rPr>
          <w:rFonts w:cs="B Mitra" w:hint="cs"/>
          <w:sz w:val="28"/>
          <w:szCs w:val="28"/>
          <w:rtl/>
          <w:lang w:bidi="fa-IR"/>
        </w:rPr>
        <w:t xml:space="preserve">. خطیب بغدادی این طریق را در کتاب </w:t>
      </w:r>
      <w:r>
        <w:rPr>
          <w:rFonts w:cs="B Mitra" w:hint="cs"/>
          <w:sz w:val="28"/>
          <w:szCs w:val="28"/>
          <w:rtl/>
          <w:lang w:bidi="fa-IR"/>
        </w:rPr>
        <w:t>«</w:t>
      </w:r>
      <w:r w:rsidR="0092512D">
        <w:rPr>
          <w:rFonts w:cs="B Mitra" w:hint="cs"/>
          <w:sz w:val="28"/>
          <w:szCs w:val="28"/>
          <w:rtl/>
          <w:lang w:bidi="fa-IR"/>
        </w:rPr>
        <w:t>تلخیص المتشابه</w:t>
      </w:r>
      <w:r>
        <w:rPr>
          <w:rFonts w:cs="B Mitra" w:hint="cs"/>
          <w:sz w:val="28"/>
          <w:szCs w:val="28"/>
          <w:rtl/>
          <w:lang w:bidi="fa-IR"/>
        </w:rPr>
        <w:t>»</w:t>
      </w:r>
      <w:r>
        <w:rPr>
          <w:rStyle w:val="FootnoteReference"/>
          <w:rFonts w:cs="B Mitra"/>
          <w:sz w:val="28"/>
          <w:szCs w:val="28"/>
          <w:rtl/>
          <w:lang w:bidi="fa-IR"/>
        </w:rPr>
        <w:footnoteReference w:id="1"/>
      </w:r>
      <w:r w:rsidR="0092512D">
        <w:rPr>
          <w:rFonts w:cs="B Mitra" w:hint="cs"/>
          <w:sz w:val="28"/>
          <w:szCs w:val="28"/>
          <w:rtl/>
          <w:lang w:bidi="fa-IR"/>
        </w:rPr>
        <w:t xml:space="preserve"> و ذهبی در میزان الاعتدال</w:t>
      </w:r>
      <w:r>
        <w:rPr>
          <w:rStyle w:val="FootnoteReference"/>
          <w:rFonts w:cs="B Mitra"/>
          <w:sz w:val="28"/>
          <w:szCs w:val="28"/>
          <w:rtl/>
          <w:lang w:bidi="fa-IR"/>
        </w:rPr>
        <w:footnoteReference w:id="2"/>
      </w:r>
      <w:r>
        <w:rPr>
          <w:rFonts w:cs="B Mitra" w:hint="cs"/>
          <w:sz w:val="28"/>
          <w:szCs w:val="28"/>
          <w:rtl/>
          <w:lang w:bidi="fa-IR"/>
        </w:rPr>
        <w:t xml:space="preserve"> </w:t>
      </w:r>
      <w:r w:rsidR="0092512D">
        <w:rPr>
          <w:rFonts w:cs="B Mitra" w:hint="cs"/>
          <w:sz w:val="28"/>
          <w:szCs w:val="28"/>
          <w:rtl/>
          <w:lang w:bidi="fa-IR"/>
        </w:rPr>
        <w:t>نقل کرده اند</w:t>
      </w:r>
      <w:r>
        <w:rPr>
          <w:rFonts w:cs="B Mitra" w:hint="cs"/>
          <w:sz w:val="28"/>
          <w:szCs w:val="28"/>
          <w:rtl/>
          <w:lang w:bidi="fa-IR"/>
        </w:rPr>
        <w:t>، و آن روایت چنین است: «</w:t>
      </w:r>
      <w:r w:rsidR="000454BD">
        <w:rPr>
          <w:rFonts w:cs="B Mitra" w:hint="cs"/>
          <w:sz w:val="28"/>
          <w:szCs w:val="28"/>
          <w:rtl/>
          <w:lang w:bidi="fa-IR"/>
        </w:rPr>
        <w:t>انا مدینه العلم و علی بابها من اراد العلم فلیات الباب</w:t>
      </w:r>
      <w:r>
        <w:rPr>
          <w:rFonts w:cs="B Mitra" w:hint="cs"/>
          <w:sz w:val="28"/>
          <w:szCs w:val="28"/>
          <w:rtl/>
          <w:lang w:bidi="fa-IR"/>
        </w:rPr>
        <w:t>»</w:t>
      </w:r>
      <w:r w:rsidR="000454BD">
        <w:rPr>
          <w:rFonts w:cs="B Mitra" w:hint="cs"/>
          <w:sz w:val="28"/>
          <w:szCs w:val="28"/>
          <w:rtl/>
          <w:lang w:bidi="fa-IR"/>
        </w:rPr>
        <w:t>. خطیب بغدادی بعد از نقل روایت گفته است</w:t>
      </w:r>
      <w:r>
        <w:rPr>
          <w:rFonts w:cs="B Mitra" w:hint="cs"/>
          <w:sz w:val="28"/>
          <w:szCs w:val="28"/>
          <w:rtl/>
          <w:lang w:bidi="fa-IR"/>
        </w:rPr>
        <w:t>:</w:t>
      </w:r>
      <w:r w:rsidR="000454BD">
        <w:rPr>
          <w:rFonts w:cs="B Mitra" w:hint="cs"/>
          <w:sz w:val="28"/>
          <w:szCs w:val="28"/>
          <w:rtl/>
          <w:lang w:bidi="fa-IR"/>
        </w:rPr>
        <w:t xml:space="preserve"> یحیی بن بشار و شیخ او اسماعیل بن ابراهیم که در سند این روایت آمده است مجهول اند. ذهبی نیز یحیی بن بشار را مجهول شمرده است اما درباره اسماعیل بن ابراهیم سخنی نگفته است. وی همچنین گفته است این حدیث باطل است. اعظمی ضمن تایید سخن ذهبی </w:t>
      </w:r>
      <w:r>
        <w:rPr>
          <w:rFonts w:cs="B Mitra" w:hint="cs"/>
          <w:sz w:val="28"/>
          <w:szCs w:val="28"/>
          <w:rtl/>
          <w:lang w:bidi="fa-IR"/>
        </w:rPr>
        <w:t xml:space="preserve">در باطل بودن حدیث، </w:t>
      </w:r>
      <w:r w:rsidR="000454BD">
        <w:rPr>
          <w:rFonts w:cs="B Mitra" w:hint="cs"/>
          <w:sz w:val="28"/>
          <w:szCs w:val="28"/>
          <w:rtl/>
          <w:lang w:bidi="fa-IR"/>
        </w:rPr>
        <w:t>با استناد به سخن ذهبی و خطیب در مورد یحیی بن بشار، این روایت را ضعیف دانسته است.</w:t>
      </w:r>
      <w:r w:rsidR="000454BD">
        <w:rPr>
          <w:rStyle w:val="FootnoteReference"/>
          <w:rFonts w:cs="B Mitra"/>
          <w:sz w:val="28"/>
          <w:szCs w:val="28"/>
          <w:rtl/>
          <w:lang w:bidi="fa-IR"/>
        </w:rPr>
        <w:footnoteReference w:id="3"/>
      </w:r>
    </w:p>
    <w:p w:rsidR="005F2074" w:rsidRPr="000454BD" w:rsidRDefault="000454BD" w:rsidP="002652D3">
      <w:pPr>
        <w:spacing w:after="160" w:line="259" w:lineRule="auto"/>
        <w:jc w:val="both"/>
        <w:rPr>
          <w:rFonts w:cs="B Mitra" w:hint="cs"/>
          <w:color w:val="FF0000"/>
          <w:sz w:val="28"/>
          <w:szCs w:val="28"/>
          <w:rtl/>
          <w:lang w:bidi="fa-IR"/>
        </w:rPr>
      </w:pPr>
      <w:r w:rsidRPr="000454BD">
        <w:rPr>
          <w:rFonts w:cs="B Mitra" w:hint="cs"/>
          <w:color w:val="FF0000"/>
          <w:sz w:val="28"/>
          <w:szCs w:val="28"/>
          <w:rtl/>
          <w:lang w:bidi="fa-IR"/>
        </w:rPr>
        <w:t>نقد و ارزیابی</w:t>
      </w:r>
    </w:p>
    <w:p w:rsidR="007F221A" w:rsidRDefault="000454BD" w:rsidP="00D053C4">
      <w:pPr>
        <w:spacing w:after="160" w:line="259" w:lineRule="auto"/>
        <w:jc w:val="both"/>
        <w:rPr>
          <w:rFonts w:cs="B Mitra" w:hint="cs"/>
          <w:sz w:val="28"/>
          <w:szCs w:val="28"/>
          <w:rtl/>
          <w:lang w:bidi="fa-IR"/>
        </w:rPr>
      </w:pPr>
      <w:r>
        <w:rPr>
          <w:rFonts w:cs="B Mitra" w:hint="cs"/>
          <w:sz w:val="28"/>
          <w:szCs w:val="28"/>
          <w:rtl/>
          <w:lang w:bidi="fa-IR"/>
        </w:rPr>
        <w:t xml:space="preserve">1. قبلا بیان شد که ذهبی موضع خاصی در مورد روایات فضایل اهل بیت (ع) دارد به گونه ای که </w:t>
      </w:r>
      <w:r w:rsidR="00D053C4">
        <w:rPr>
          <w:rFonts w:cs="B Mitra" w:hint="cs"/>
          <w:sz w:val="28"/>
          <w:szCs w:val="28"/>
          <w:rtl/>
          <w:lang w:bidi="fa-IR"/>
        </w:rPr>
        <w:t xml:space="preserve">این ویژگی وی </w:t>
      </w:r>
      <w:r>
        <w:rPr>
          <w:rFonts w:cs="B Mitra" w:hint="cs"/>
          <w:sz w:val="28"/>
          <w:szCs w:val="28"/>
          <w:rtl/>
          <w:lang w:bidi="fa-IR"/>
        </w:rPr>
        <w:t xml:space="preserve">مورد نقد عالمان منصف و حتی عالمان اهل سنت قرار گرفته است. سخنان و مواضع وی رنگ و بوی ناصبی گری دارد. </w:t>
      </w:r>
      <w:r w:rsidR="00D053C4">
        <w:rPr>
          <w:rFonts w:cs="B Mitra" w:hint="cs"/>
          <w:sz w:val="28"/>
          <w:szCs w:val="28"/>
          <w:rtl/>
          <w:lang w:bidi="fa-IR"/>
        </w:rPr>
        <w:t xml:space="preserve">در این باره </w:t>
      </w:r>
      <w:r w:rsidR="007F221A">
        <w:rPr>
          <w:rFonts w:cs="B Mitra" w:hint="cs"/>
          <w:sz w:val="28"/>
          <w:szCs w:val="28"/>
          <w:rtl/>
          <w:lang w:bidi="fa-IR"/>
        </w:rPr>
        <w:t>چند نمونه بیان می شود:</w:t>
      </w:r>
    </w:p>
    <w:p w:rsidR="005F2074" w:rsidRDefault="007F221A" w:rsidP="0002664E">
      <w:pPr>
        <w:spacing w:after="160" w:line="259" w:lineRule="auto"/>
        <w:jc w:val="both"/>
        <w:rPr>
          <w:rFonts w:cs="B Mitra"/>
          <w:sz w:val="28"/>
          <w:szCs w:val="28"/>
          <w:rtl/>
          <w:lang w:bidi="fa-IR"/>
        </w:rPr>
      </w:pPr>
      <w:r>
        <w:rPr>
          <w:rFonts w:cs="B Mitra" w:hint="cs"/>
          <w:sz w:val="28"/>
          <w:szCs w:val="28"/>
          <w:rtl/>
          <w:lang w:bidi="fa-IR"/>
        </w:rPr>
        <w:t xml:space="preserve">الف) </w:t>
      </w:r>
      <w:r w:rsidR="000454BD">
        <w:rPr>
          <w:rFonts w:cs="B Mitra" w:hint="cs"/>
          <w:sz w:val="28"/>
          <w:szCs w:val="28"/>
          <w:rtl/>
          <w:lang w:bidi="fa-IR"/>
        </w:rPr>
        <w:t xml:space="preserve">صدیق غماری در کتاب فتح الملک العلی در این باره می گوید: ابن عباس </w:t>
      </w:r>
      <w:r w:rsidR="00D053C4">
        <w:rPr>
          <w:rFonts w:cs="B Mitra" w:hint="cs"/>
          <w:sz w:val="28"/>
          <w:szCs w:val="28"/>
          <w:rtl/>
          <w:lang w:bidi="fa-IR"/>
        </w:rPr>
        <w:t xml:space="preserve">این روایت را نقل کرده </w:t>
      </w:r>
      <w:r w:rsidR="000454BD">
        <w:rPr>
          <w:rFonts w:cs="B Mitra" w:hint="cs"/>
          <w:sz w:val="28"/>
          <w:szCs w:val="28"/>
          <w:rtl/>
          <w:lang w:bidi="fa-IR"/>
        </w:rPr>
        <w:t>است</w:t>
      </w:r>
      <w:r w:rsidR="00D053C4">
        <w:rPr>
          <w:rFonts w:cs="B Mitra" w:hint="cs"/>
          <w:sz w:val="28"/>
          <w:szCs w:val="28"/>
          <w:rtl/>
          <w:lang w:bidi="fa-IR"/>
        </w:rPr>
        <w:t>:</w:t>
      </w:r>
      <w:r w:rsidR="000454BD">
        <w:rPr>
          <w:rFonts w:cs="B Mitra" w:hint="cs"/>
          <w:sz w:val="28"/>
          <w:szCs w:val="28"/>
          <w:rtl/>
          <w:lang w:bidi="fa-IR"/>
        </w:rPr>
        <w:t xml:space="preserve"> «کنا نتخدث ان النبی (ص) عهد الی علی سبعین عهدا لم یعهدها الی غیره»: ما این حدیث پیامبر (ص) را به هم می گفتیم که آن حضرت هفتا</w:t>
      </w:r>
      <w:r w:rsidR="00D053C4">
        <w:rPr>
          <w:rFonts w:cs="B Mitra" w:hint="cs"/>
          <w:sz w:val="28"/>
          <w:szCs w:val="28"/>
          <w:rtl/>
          <w:lang w:bidi="fa-IR"/>
        </w:rPr>
        <w:t>د</w:t>
      </w:r>
      <w:r w:rsidR="000454BD">
        <w:rPr>
          <w:rFonts w:cs="B Mitra" w:hint="cs"/>
          <w:sz w:val="28"/>
          <w:szCs w:val="28"/>
          <w:rtl/>
          <w:lang w:bidi="fa-IR"/>
        </w:rPr>
        <w:t xml:space="preserve"> عهد را در اختیار امیرالمومنین (ع) قرار داده است و به دیگران نسپرد. طبرانی در معجم الصغیر</w:t>
      </w:r>
      <w:r w:rsidR="00D053C4">
        <w:rPr>
          <w:rStyle w:val="FootnoteReference"/>
          <w:rFonts w:cs="B Mitra"/>
          <w:sz w:val="28"/>
          <w:szCs w:val="28"/>
          <w:rtl/>
          <w:lang w:bidi="fa-IR"/>
        </w:rPr>
        <w:footnoteReference w:id="4"/>
      </w:r>
      <w:r>
        <w:rPr>
          <w:rFonts w:cs="B Mitra" w:hint="cs"/>
          <w:sz w:val="28"/>
          <w:szCs w:val="28"/>
          <w:rtl/>
          <w:lang w:bidi="fa-IR"/>
        </w:rPr>
        <w:t xml:space="preserve"> این روایت را آورده است. ذهبی </w:t>
      </w:r>
      <w:r>
        <w:rPr>
          <w:rFonts w:cs="B Mitra" w:hint="cs"/>
          <w:sz w:val="28"/>
          <w:szCs w:val="28"/>
          <w:rtl/>
          <w:lang w:bidi="fa-IR"/>
        </w:rPr>
        <w:lastRenderedPageBreak/>
        <w:t>این روایات را به خاطر احمد بن فرات رد کرده و وی را منکر الحدیث دانسته است.</w:t>
      </w:r>
      <w:r>
        <w:rPr>
          <w:rStyle w:val="FootnoteReference"/>
          <w:rFonts w:cs="B Mitra"/>
          <w:sz w:val="28"/>
          <w:szCs w:val="28"/>
          <w:rtl/>
          <w:lang w:bidi="fa-IR"/>
        </w:rPr>
        <w:footnoteReference w:id="5"/>
      </w:r>
      <w:r w:rsidR="000454BD">
        <w:rPr>
          <w:rFonts w:cs="B Mitra" w:hint="cs"/>
          <w:sz w:val="28"/>
          <w:szCs w:val="28"/>
          <w:rtl/>
          <w:lang w:bidi="fa-IR"/>
        </w:rPr>
        <w:t xml:space="preserve"> </w:t>
      </w:r>
      <w:r>
        <w:rPr>
          <w:rFonts w:cs="B Mitra" w:hint="cs"/>
          <w:sz w:val="28"/>
          <w:szCs w:val="28"/>
          <w:rtl/>
          <w:lang w:bidi="fa-IR"/>
        </w:rPr>
        <w:t xml:space="preserve">این در حالی است که </w:t>
      </w:r>
      <w:r w:rsidR="00D053C4">
        <w:rPr>
          <w:rFonts w:cs="B Mitra" w:hint="cs"/>
          <w:sz w:val="28"/>
          <w:szCs w:val="28"/>
          <w:rtl/>
          <w:lang w:bidi="fa-IR"/>
        </w:rPr>
        <w:t xml:space="preserve">خود </w:t>
      </w:r>
      <w:r>
        <w:rPr>
          <w:rFonts w:cs="B Mitra" w:hint="cs"/>
          <w:sz w:val="28"/>
          <w:szCs w:val="28"/>
          <w:rtl/>
          <w:lang w:bidi="fa-IR"/>
        </w:rPr>
        <w:t xml:space="preserve">ذهبی </w:t>
      </w:r>
      <w:r w:rsidR="00D053C4">
        <w:rPr>
          <w:rFonts w:cs="B Mitra" w:hint="cs"/>
          <w:sz w:val="28"/>
          <w:szCs w:val="28"/>
          <w:rtl/>
          <w:lang w:bidi="fa-IR"/>
        </w:rPr>
        <w:t xml:space="preserve">در جای دیگر </w:t>
      </w:r>
      <w:r>
        <w:rPr>
          <w:rFonts w:cs="B Mitra" w:hint="cs"/>
          <w:sz w:val="28"/>
          <w:szCs w:val="28"/>
          <w:rtl/>
          <w:lang w:bidi="fa-IR"/>
        </w:rPr>
        <w:t>احمد بن فرات را حافظ و ثقه دانسته است.</w:t>
      </w:r>
      <w:r>
        <w:rPr>
          <w:rStyle w:val="FootnoteReference"/>
          <w:rFonts w:cs="B Mitra"/>
          <w:sz w:val="28"/>
          <w:szCs w:val="28"/>
          <w:rtl/>
          <w:lang w:bidi="fa-IR"/>
        </w:rPr>
        <w:footnoteReference w:id="6"/>
      </w:r>
      <w:r>
        <w:rPr>
          <w:rFonts w:cs="B Mitra" w:hint="cs"/>
          <w:sz w:val="28"/>
          <w:szCs w:val="28"/>
          <w:rtl/>
          <w:lang w:bidi="fa-IR"/>
        </w:rPr>
        <w:t xml:space="preserve"> صدیق غماری بعد از نقل این مطالب می گوید: «لکن الذهبی اذا رأی حدیثا فی فضل علیّ بادر الی انکاره بحق او باطل حتی کأنه لا یدری ما یخرج من راسه سامح الله». احتمال این معنا نیز وجود دارد که مراد ذهبی از منکر الحدیث</w:t>
      </w:r>
      <w:r w:rsidR="00D053C4">
        <w:rPr>
          <w:rFonts w:cs="B Mitra" w:hint="cs"/>
          <w:sz w:val="28"/>
          <w:szCs w:val="28"/>
          <w:rtl/>
          <w:lang w:bidi="fa-IR"/>
        </w:rPr>
        <w:t>،</w:t>
      </w:r>
      <w:r>
        <w:rPr>
          <w:rFonts w:cs="B Mitra" w:hint="cs"/>
          <w:sz w:val="28"/>
          <w:szCs w:val="28"/>
          <w:rtl/>
          <w:lang w:bidi="fa-IR"/>
        </w:rPr>
        <w:t xml:space="preserve"> سندی</w:t>
      </w:r>
      <w:r w:rsidR="00D053C4">
        <w:rPr>
          <w:rFonts w:cs="B Mitra" w:hint="cs"/>
          <w:sz w:val="28"/>
          <w:szCs w:val="28"/>
          <w:rtl/>
          <w:lang w:bidi="fa-IR"/>
        </w:rPr>
        <w:t xml:space="preserve"> راوی دیگر حدیث </w:t>
      </w:r>
      <w:r>
        <w:rPr>
          <w:rFonts w:cs="B Mitra" w:hint="cs"/>
          <w:sz w:val="28"/>
          <w:szCs w:val="28"/>
          <w:rtl/>
          <w:lang w:bidi="fa-IR"/>
        </w:rPr>
        <w:t>باشد، اما این احتمال نیز وارد نیست زیرا اولا ذهبی وی را در کتاب ضعفا</w:t>
      </w:r>
      <w:r w:rsidR="00D053C4">
        <w:rPr>
          <w:rFonts w:cs="B Mitra" w:hint="cs"/>
          <w:sz w:val="28"/>
          <w:szCs w:val="28"/>
          <w:rtl/>
          <w:lang w:bidi="fa-IR"/>
        </w:rPr>
        <w:t>ی خویش</w:t>
      </w:r>
      <w:r>
        <w:rPr>
          <w:rFonts w:cs="B Mitra" w:hint="cs"/>
          <w:sz w:val="28"/>
          <w:szCs w:val="28"/>
          <w:rtl/>
          <w:lang w:bidi="fa-IR"/>
        </w:rPr>
        <w:t xml:space="preserve"> نقل نکرده است</w:t>
      </w:r>
      <w:r w:rsidR="00D053C4">
        <w:rPr>
          <w:rFonts w:cs="B Mitra" w:hint="cs"/>
          <w:sz w:val="28"/>
          <w:szCs w:val="28"/>
          <w:rtl/>
          <w:lang w:bidi="fa-IR"/>
        </w:rPr>
        <w:t>.</w:t>
      </w:r>
      <w:r>
        <w:rPr>
          <w:rFonts w:cs="B Mitra" w:hint="cs"/>
          <w:sz w:val="28"/>
          <w:szCs w:val="28"/>
          <w:rtl/>
          <w:lang w:bidi="fa-IR"/>
        </w:rPr>
        <w:t xml:space="preserve"> ثانیا: ابوابانه وی را ثقه دانسته و از وی روایت نقل کرده است</w:t>
      </w:r>
      <w:r w:rsidR="0002664E">
        <w:rPr>
          <w:rFonts w:cs="B Mitra" w:hint="cs"/>
          <w:sz w:val="28"/>
          <w:szCs w:val="28"/>
          <w:rtl/>
          <w:lang w:bidi="fa-IR"/>
        </w:rPr>
        <w:t>.</w:t>
      </w:r>
      <w:r>
        <w:rPr>
          <w:rFonts w:cs="B Mitra" w:hint="cs"/>
          <w:sz w:val="28"/>
          <w:szCs w:val="28"/>
          <w:rtl/>
          <w:lang w:bidi="fa-IR"/>
        </w:rPr>
        <w:t xml:space="preserve"> ثالثا</w:t>
      </w:r>
      <w:r w:rsidR="0002664E">
        <w:rPr>
          <w:rFonts w:cs="B Mitra" w:hint="cs"/>
          <w:sz w:val="28"/>
          <w:szCs w:val="28"/>
          <w:rtl/>
          <w:lang w:bidi="fa-IR"/>
        </w:rPr>
        <w:t>:</w:t>
      </w:r>
      <w:r>
        <w:rPr>
          <w:rFonts w:cs="B Mitra" w:hint="cs"/>
          <w:sz w:val="28"/>
          <w:szCs w:val="28"/>
          <w:rtl/>
          <w:lang w:bidi="fa-IR"/>
        </w:rPr>
        <w:t xml:space="preserve"> ابن حبان وی را در کتاب ثقات ذکر کرده است</w:t>
      </w:r>
      <w:r w:rsidR="0002664E">
        <w:rPr>
          <w:rFonts w:cs="B Mitra" w:hint="cs"/>
          <w:sz w:val="28"/>
          <w:szCs w:val="28"/>
          <w:rtl/>
          <w:lang w:bidi="fa-IR"/>
        </w:rPr>
        <w:t>.</w:t>
      </w:r>
      <w:r>
        <w:rPr>
          <w:rFonts w:cs="B Mitra" w:hint="cs"/>
          <w:sz w:val="28"/>
          <w:szCs w:val="28"/>
          <w:rtl/>
          <w:lang w:bidi="fa-IR"/>
        </w:rPr>
        <w:t xml:space="preserve"> رابعا</w:t>
      </w:r>
      <w:r w:rsidR="0002664E">
        <w:rPr>
          <w:rFonts w:cs="B Mitra" w:hint="cs"/>
          <w:sz w:val="28"/>
          <w:szCs w:val="28"/>
          <w:rtl/>
          <w:lang w:bidi="fa-IR"/>
        </w:rPr>
        <w:t>:</w:t>
      </w:r>
      <w:r>
        <w:rPr>
          <w:rFonts w:cs="B Mitra" w:hint="cs"/>
          <w:sz w:val="28"/>
          <w:szCs w:val="28"/>
          <w:rtl/>
          <w:lang w:bidi="fa-IR"/>
        </w:rPr>
        <w:t xml:space="preserve"> ابوداود طیالسی در</w:t>
      </w:r>
      <w:r w:rsidR="0002664E">
        <w:rPr>
          <w:rFonts w:cs="B Mitra" w:hint="cs"/>
          <w:sz w:val="28"/>
          <w:szCs w:val="28"/>
          <w:rtl/>
          <w:lang w:bidi="fa-IR"/>
        </w:rPr>
        <w:t xml:space="preserve"> توثیق </w:t>
      </w:r>
      <w:r>
        <w:rPr>
          <w:rFonts w:cs="B Mitra" w:hint="cs"/>
          <w:sz w:val="28"/>
          <w:szCs w:val="28"/>
          <w:rtl/>
          <w:lang w:bidi="fa-IR"/>
        </w:rPr>
        <w:t xml:space="preserve">وی </w:t>
      </w:r>
      <w:r w:rsidR="0002664E">
        <w:rPr>
          <w:rFonts w:cs="B Mitra" w:hint="cs"/>
          <w:sz w:val="28"/>
          <w:szCs w:val="28"/>
          <w:rtl/>
          <w:lang w:bidi="fa-IR"/>
        </w:rPr>
        <w:t xml:space="preserve">چنین </w:t>
      </w:r>
      <w:r>
        <w:rPr>
          <w:rFonts w:cs="B Mitra" w:hint="cs"/>
          <w:sz w:val="28"/>
          <w:szCs w:val="28"/>
          <w:rtl/>
          <w:lang w:bidi="fa-IR"/>
        </w:rPr>
        <w:t>گفته است</w:t>
      </w:r>
      <w:r w:rsidR="0002664E">
        <w:rPr>
          <w:rFonts w:cs="B Mitra" w:hint="cs"/>
          <w:sz w:val="28"/>
          <w:szCs w:val="28"/>
          <w:rtl/>
          <w:lang w:bidi="fa-IR"/>
        </w:rPr>
        <w:t>:</w:t>
      </w:r>
      <w:r>
        <w:rPr>
          <w:rFonts w:cs="B Mitra" w:hint="cs"/>
          <w:sz w:val="28"/>
          <w:szCs w:val="28"/>
          <w:rtl/>
          <w:lang w:bidi="fa-IR"/>
        </w:rPr>
        <w:t xml:space="preserve"> در ری کسی را عالم تر از وی در حدیث نیافتم.</w:t>
      </w:r>
      <w:r>
        <w:rPr>
          <w:rStyle w:val="FootnoteReference"/>
          <w:rFonts w:cs="B Mitra"/>
          <w:sz w:val="28"/>
          <w:szCs w:val="28"/>
          <w:rtl/>
          <w:lang w:bidi="fa-IR"/>
        </w:rPr>
        <w:footnoteReference w:id="7"/>
      </w:r>
    </w:p>
    <w:p w:rsidR="007F221A" w:rsidRDefault="007F221A" w:rsidP="003E4B30">
      <w:pPr>
        <w:spacing w:after="160" w:line="259" w:lineRule="auto"/>
        <w:jc w:val="both"/>
        <w:rPr>
          <w:rFonts w:cs="B Mitra" w:hint="cs"/>
          <w:sz w:val="28"/>
          <w:szCs w:val="28"/>
          <w:rtl/>
          <w:lang w:bidi="fa-IR"/>
        </w:rPr>
      </w:pPr>
      <w:r>
        <w:rPr>
          <w:rFonts w:cs="B Mitra" w:hint="cs"/>
          <w:sz w:val="28"/>
          <w:szCs w:val="28"/>
          <w:rtl/>
          <w:lang w:bidi="fa-IR"/>
        </w:rPr>
        <w:t xml:space="preserve">ب) نمونه دیگر در موضع خاص ذهبی درباره روایات فضایل اهل بیت(ع) </w:t>
      </w:r>
      <w:r w:rsidR="005548EB">
        <w:rPr>
          <w:rFonts w:cs="B Mitra" w:hint="cs"/>
          <w:sz w:val="28"/>
          <w:szCs w:val="28"/>
          <w:rtl/>
          <w:lang w:bidi="fa-IR"/>
        </w:rPr>
        <w:t xml:space="preserve">روایتی از ابن عباس است که در آن </w:t>
      </w:r>
      <w:r>
        <w:rPr>
          <w:rFonts w:cs="B Mitra" w:hint="cs"/>
          <w:sz w:val="28"/>
          <w:szCs w:val="28"/>
          <w:rtl/>
          <w:lang w:bidi="fa-IR"/>
        </w:rPr>
        <w:t xml:space="preserve">پیامبر اکرم </w:t>
      </w:r>
      <w:r w:rsidR="005548EB">
        <w:rPr>
          <w:rFonts w:cs="B Mitra" w:hint="cs"/>
          <w:sz w:val="28"/>
          <w:szCs w:val="28"/>
          <w:rtl/>
          <w:lang w:bidi="fa-IR"/>
        </w:rPr>
        <w:t>(ص) فرمود: «قسمت الحکمه عشره اجزاء و اعطی علی تسعه اجزاء و الناس جزءا واحدا».</w:t>
      </w:r>
      <w:r w:rsidR="005548EB">
        <w:rPr>
          <w:rStyle w:val="FootnoteReference"/>
          <w:rFonts w:cs="B Mitra"/>
          <w:sz w:val="28"/>
          <w:szCs w:val="28"/>
          <w:rtl/>
          <w:lang w:bidi="fa-IR"/>
        </w:rPr>
        <w:footnoteReference w:id="8"/>
      </w:r>
      <w:r w:rsidR="005548EB">
        <w:rPr>
          <w:rFonts w:cs="B Mitra" w:hint="cs"/>
          <w:sz w:val="28"/>
          <w:szCs w:val="28"/>
          <w:rtl/>
          <w:lang w:bidi="fa-IR"/>
        </w:rPr>
        <w:t xml:space="preserve"> در سند این روایت احمد بن عمران است</w:t>
      </w:r>
      <w:r w:rsidR="003E4B30">
        <w:rPr>
          <w:rFonts w:cs="B Mitra" w:hint="cs"/>
          <w:sz w:val="28"/>
          <w:szCs w:val="28"/>
          <w:rtl/>
          <w:lang w:bidi="fa-IR"/>
        </w:rPr>
        <w:t xml:space="preserve"> و </w:t>
      </w:r>
      <w:r w:rsidR="005548EB">
        <w:rPr>
          <w:rFonts w:cs="B Mitra" w:hint="cs"/>
          <w:sz w:val="28"/>
          <w:szCs w:val="28"/>
          <w:rtl/>
          <w:lang w:bidi="fa-IR"/>
        </w:rPr>
        <w:t xml:space="preserve"> ذهبی وی را مجهول دانسته و به خاطر نقل این روایت وی را ضعیف شمرده است.</w:t>
      </w:r>
      <w:r w:rsidR="00EF7EB9">
        <w:rPr>
          <w:rStyle w:val="FootnoteReference"/>
          <w:rFonts w:cs="B Mitra"/>
          <w:sz w:val="28"/>
          <w:szCs w:val="28"/>
          <w:rtl/>
          <w:lang w:bidi="fa-IR"/>
        </w:rPr>
        <w:footnoteReference w:id="9"/>
      </w:r>
      <w:r w:rsidR="00EF7EB9">
        <w:rPr>
          <w:rFonts w:cs="B Mitra" w:hint="cs"/>
          <w:sz w:val="28"/>
          <w:szCs w:val="28"/>
          <w:rtl/>
          <w:lang w:bidi="fa-IR"/>
        </w:rPr>
        <w:t xml:space="preserve"> با اینکه محمد بن علی کوفی که راوی این حدیث از احمد بن </w:t>
      </w:r>
      <w:r w:rsidR="003E4B30">
        <w:rPr>
          <w:rFonts w:cs="B Mitra" w:hint="cs"/>
          <w:sz w:val="28"/>
          <w:szCs w:val="28"/>
          <w:rtl/>
          <w:lang w:bidi="fa-IR"/>
        </w:rPr>
        <w:t>عمران</w:t>
      </w:r>
      <w:r w:rsidR="00EF7EB9">
        <w:rPr>
          <w:rFonts w:cs="B Mitra" w:hint="cs"/>
          <w:sz w:val="28"/>
          <w:szCs w:val="28"/>
          <w:rtl/>
          <w:lang w:bidi="fa-IR"/>
        </w:rPr>
        <w:t xml:space="preserve"> است آن را توثق کرده است. ابن حجر عسقلانی با استناد به سخن محمد بن علی کوفی، رای ذهبی را در مجهول دانستن احمد بن عمران رد کرده است.</w:t>
      </w:r>
      <w:r w:rsidR="00EF7EB9">
        <w:rPr>
          <w:rStyle w:val="FootnoteReference"/>
          <w:rFonts w:cs="B Mitra"/>
          <w:sz w:val="28"/>
          <w:szCs w:val="28"/>
          <w:rtl/>
          <w:lang w:bidi="fa-IR"/>
        </w:rPr>
        <w:footnoteReference w:id="10"/>
      </w:r>
      <w:r w:rsidR="00EF7EB9">
        <w:rPr>
          <w:rFonts w:cs="B Mitra" w:hint="cs"/>
          <w:sz w:val="28"/>
          <w:szCs w:val="28"/>
          <w:rtl/>
          <w:lang w:bidi="fa-IR"/>
        </w:rPr>
        <w:t xml:space="preserve"> صدیق غماری </w:t>
      </w:r>
      <w:r w:rsidR="003E4B30">
        <w:rPr>
          <w:rFonts w:cs="B Mitra" w:hint="cs"/>
          <w:sz w:val="28"/>
          <w:szCs w:val="28"/>
          <w:rtl/>
          <w:lang w:bidi="fa-IR"/>
        </w:rPr>
        <w:t xml:space="preserve">نیز </w:t>
      </w:r>
      <w:r w:rsidR="00EF7EB9">
        <w:rPr>
          <w:rFonts w:cs="B Mitra" w:hint="cs"/>
          <w:sz w:val="28"/>
          <w:szCs w:val="28"/>
          <w:rtl/>
          <w:lang w:bidi="fa-IR"/>
        </w:rPr>
        <w:t xml:space="preserve">پس از نقل این مطالب می گوید: «اگر همه انسان ها احمد بن عمران را توثیق کنند، ذهبی خواهد گفت </w:t>
      </w:r>
      <w:r w:rsidR="003E4B30">
        <w:rPr>
          <w:rFonts w:cs="B Mitra" w:hint="cs"/>
          <w:sz w:val="28"/>
          <w:szCs w:val="28"/>
          <w:rtl/>
          <w:lang w:bidi="fa-IR"/>
        </w:rPr>
        <w:t xml:space="preserve">این </w:t>
      </w:r>
      <w:r w:rsidR="00EF7EB9">
        <w:rPr>
          <w:rFonts w:cs="B Mitra" w:hint="cs"/>
          <w:sz w:val="28"/>
          <w:szCs w:val="28"/>
          <w:rtl/>
          <w:lang w:bidi="fa-IR"/>
        </w:rPr>
        <w:t>حدیث او دروغ است</w:t>
      </w:r>
      <w:r w:rsidR="003E4B30">
        <w:rPr>
          <w:rFonts w:cs="B Mitra" w:hint="cs"/>
          <w:sz w:val="28"/>
          <w:szCs w:val="28"/>
          <w:rtl/>
          <w:lang w:bidi="fa-IR"/>
        </w:rPr>
        <w:t>،</w:t>
      </w:r>
      <w:r w:rsidR="00EF7EB9">
        <w:rPr>
          <w:rFonts w:cs="B Mitra" w:hint="cs"/>
          <w:sz w:val="28"/>
          <w:szCs w:val="28"/>
          <w:rtl/>
          <w:lang w:bidi="fa-IR"/>
        </w:rPr>
        <w:t xml:space="preserve"> همان طور که احادیثی که حاکم نیشابوری با سند شیخین روایت کرده است، مطابق میل خود و بدون دلیل</w:t>
      </w:r>
      <w:r w:rsidR="003E4B30">
        <w:rPr>
          <w:rFonts w:cs="B Mitra" w:hint="cs"/>
          <w:sz w:val="28"/>
          <w:szCs w:val="28"/>
          <w:rtl/>
          <w:lang w:bidi="fa-IR"/>
        </w:rPr>
        <w:t>،</w:t>
      </w:r>
      <w:r w:rsidR="00EF7EB9">
        <w:rPr>
          <w:rFonts w:cs="B Mitra" w:hint="cs"/>
          <w:sz w:val="28"/>
          <w:szCs w:val="28"/>
          <w:rtl/>
          <w:lang w:bidi="fa-IR"/>
        </w:rPr>
        <w:t xml:space="preserve"> ساختگی شمرده است. این موضع و دیدگاه وی علتی جز اینکه آن روایت درباره فضیلت امیرالمومنین (ع) است ندارد».</w:t>
      </w:r>
      <w:r w:rsidR="00EF7EB9">
        <w:rPr>
          <w:rStyle w:val="FootnoteReference"/>
          <w:rFonts w:cs="B Mitra"/>
          <w:sz w:val="28"/>
          <w:szCs w:val="28"/>
          <w:rtl/>
          <w:lang w:bidi="fa-IR"/>
        </w:rPr>
        <w:footnoteReference w:id="11"/>
      </w:r>
    </w:p>
    <w:p w:rsidR="007F221A" w:rsidRDefault="00EF7EB9" w:rsidP="007F221A">
      <w:pPr>
        <w:spacing w:after="160" w:line="259" w:lineRule="auto"/>
        <w:jc w:val="both"/>
        <w:rPr>
          <w:rFonts w:cs="B Mitra" w:hint="cs"/>
          <w:sz w:val="28"/>
          <w:szCs w:val="28"/>
          <w:rtl/>
          <w:lang w:bidi="fa-IR"/>
        </w:rPr>
      </w:pPr>
      <w:r>
        <w:rPr>
          <w:rFonts w:cs="B Mitra" w:hint="cs"/>
          <w:sz w:val="28"/>
          <w:szCs w:val="28"/>
          <w:rtl/>
          <w:lang w:bidi="fa-IR"/>
        </w:rPr>
        <w:t xml:space="preserve">بنابراین باطل شمردن حدیث از سوی ذهبی، وجهی ندارد و سخنی بدون دلیل است و لذا ارزش علمی ندارد. </w:t>
      </w:r>
    </w:p>
    <w:p w:rsidR="00EF7EB9" w:rsidRDefault="00EF7EB9" w:rsidP="003E4B30">
      <w:pPr>
        <w:spacing w:after="160" w:line="259" w:lineRule="auto"/>
        <w:jc w:val="both"/>
        <w:rPr>
          <w:rFonts w:cs="B Mitra"/>
          <w:sz w:val="28"/>
          <w:szCs w:val="28"/>
          <w:rtl/>
          <w:lang w:bidi="fa-IR"/>
        </w:rPr>
      </w:pPr>
      <w:r>
        <w:rPr>
          <w:rFonts w:cs="B Mitra" w:hint="cs"/>
          <w:sz w:val="28"/>
          <w:szCs w:val="28"/>
          <w:rtl/>
          <w:lang w:bidi="fa-IR"/>
        </w:rPr>
        <w:t xml:space="preserve">2. بارها گفته شد </w:t>
      </w:r>
      <w:r w:rsidR="003E4B30">
        <w:rPr>
          <w:rFonts w:cs="B Mitra" w:hint="cs"/>
          <w:sz w:val="28"/>
          <w:szCs w:val="28"/>
          <w:rtl/>
          <w:lang w:bidi="fa-IR"/>
        </w:rPr>
        <w:t xml:space="preserve">هر چند </w:t>
      </w:r>
      <w:r>
        <w:rPr>
          <w:rFonts w:cs="B Mitra" w:hint="cs"/>
          <w:sz w:val="28"/>
          <w:szCs w:val="28"/>
          <w:rtl/>
          <w:lang w:bidi="fa-IR"/>
        </w:rPr>
        <w:t>مجهول بودن راوی از اسباب ضعف روایت است ولی این ضعف قابل جبران است و یکی از راه های آن تعدد نقل است</w:t>
      </w:r>
      <w:r w:rsidR="003E4B30">
        <w:rPr>
          <w:rFonts w:cs="B Mitra" w:hint="cs"/>
          <w:sz w:val="28"/>
          <w:szCs w:val="28"/>
          <w:rtl/>
          <w:lang w:bidi="fa-IR"/>
        </w:rPr>
        <w:t>.</w:t>
      </w:r>
      <w:r>
        <w:rPr>
          <w:rFonts w:cs="B Mitra" w:hint="cs"/>
          <w:sz w:val="28"/>
          <w:szCs w:val="28"/>
          <w:rtl/>
          <w:lang w:bidi="fa-IR"/>
        </w:rPr>
        <w:t xml:space="preserve"> یعنی اگر مطلبی که این راوی نقل کرده از طرق دیگر نقل شده باشد</w:t>
      </w:r>
      <w:r w:rsidR="00693BB2">
        <w:rPr>
          <w:rFonts w:cs="B Mitra" w:hint="cs"/>
          <w:sz w:val="28"/>
          <w:szCs w:val="28"/>
          <w:rtl/>
          <w:lang w:bidi="fa-IR"/>
        </w:rPr>
        <w:t xml:space="preserve"> که از نظر اعتبار یا هم ردیف این حدیث و یا بالاتر از</w:t>
      </w:r>
      <w:r w:rsidR="003E4B30">
        <w:rPr>
          <w:rFonts w:cs="B Mitra" w:hint="cs"/>
          <w:sz w:val="28"/>
          <w:szCs w:val="28"/>
          <w:rtl/>
          <w:lang w:bidi="fa-IR"/>
        </w:rPr>
        <w:t xml:space="preserve"> باشد، </w:t>
      </w:r>
      <w:r w:rsidR="00693BB2">
        <w:rPr>
          <w:rFonts w:cs="B Mitra" w:hint="cs"/>
          <w:sz w:val="28"/>
          <w:szCs w:val="28"/>
          <w:rtl/>
          <w:lang w:bidi="fa-IR"/>
        </w:rPr>
        <w:t xml:space="preserve">در این صورت، ضعف آن </w:t>
      </w:r>
      <w:r w:rsidR="003E4B30">
        <w:rPr>
          <w:rFonts w:cs="B Mitra" w:hint="cs"/>
          <w:sz w:val="28"/>
          <w:szCs w:val="28"/>
          <w:rtl/>
          <w:lang w:bidi="fa-IR"/>
        </w:rPr>
        <w:t xml:space="preserve">روایت </w:t>
      </w:r>
      <w:r w:rsidR="00693BB2">
        <w:rPr>
          <w:rFonts w:cs="B Mitra" w:hint="cs"/>
          <w:sz w:val="28"/>
          <w:szCs w:val="28"/>
          <w:rtl/>
          <w:lang w:bidi="fa-IR"/>
        </w:rPr>
        <w:t xml:space="preserve">جبران می شود. کما اینکه اگر آن روایت دارای شواهد باشد (یعنی متن روایت نقل نشده است </w:t>
      </w:r>
      <w:r w:rsidR="003E4B30">
        <w:rPr>
          <w:rFonts w:cs="B Mitra" w:hint="cs"/>
          <w:sz w:val="28"/>
          <w:szCs w:val="28"/>
          <w:rtl/>
          <w:lang w:bidi="fa-IR"/>
        </w:rPr>
        <w:t xml:space="preserve">اما </w:t>
      </w:r>
      <w:r w:rsidR="00693BB2">
        <w:rPr>
          <w:rFonts w:cs="B Mitra" w:hint="cs"/>
          <w:sz w:val="28"/>
          <w:szCs w:val="28"/>
          <w:rtl/>
          <w:lang w:bidi="fa-IR"/>
        </w:rPr>
        <w:t>همین مضمون با تعابیر دیگر نقل شده است)</w:t>
      </w:r>
      <w:r w:rsidR="003E4B30">
        <w:rPr>
          <w:rFonts w:cs="B Mitra" w:hint="cs"/>
          <w:sz w:val="28"/>
          <w:szCs w:val="28"/>
          <w:rtl/>
          <w:lang w:bidi="fa-IR"/>
        </w:rPr>
        <w:t>،</w:t>
      </w:r>
      <w:r w:rsidR="00693BB2">
        <w:rPr>
          <w:rFonts w:cs="B Mitra" w:hint="cs"/>
          <w:sz w:val="28"/>
          <w:szCs w:val="28"/>
          <w:rtl/>
          <w:lang w:bidi="fa-IR"/>
        </w:rPr>
        <w:t xml:space="preserve"> باز ضعف روایت به خاطر مجهول بودن راوی برطرف می شود.</w:t>
      </w:r>
    </w:p>
    <w:p w:rsidR="00E07F48" w:rsidRPr="005F2074" w:rsidRDefault="00E07F48" w:rsidP="00EF7EB9">
      <w:pPr>
        <w:spacing w:after="160" w:line="259" w:lineRule="auto"/>
        <w:jc w:val="both"/>
        <w:rPr>
          <w:rFonts w:cs="B Mitra"/>
          <w:sz w:val="28"/>
          <w:szCs w:val="28"/>
          <w:rtl/>
          <w:lang w:bidi="fa-IR"/>
        </w:rPr>
      </w:pPr>
      <w:r>
        <w:rPr>
          <w:rFonts w:cs="B Mitra" w:hint="cs"/>
          <w:sz w:val="28"/>
          <w:szCs w:val="28"/>
          <w:rtl/>
          <w:lang w:bidi="fa-IR"/>
        </w:rPr>
        <w:lastRenderedPageBreak/>
        <w:t>از آنجا که مجهول بودن راوی یکی از مباحث مبتلا به است و اقسامی دارد، بهتر است که با استناد به کتب علم الحدیث این بحث بیشتر مورد توجه باشد</w:t>
      </w:r>
      <w:r w:rsidR="00927958">
        <w:rPr>
          <w:rFonts w:cs="B Mitra" w:hint="cs"/>
          <w:sz w:val="28"/>
          <w:szCs w:val="28"/>
          <w:rtl/>
          <w:lang w:bidi="fa-IR"/>
        </w:rPr>
        <w:t>،</w:t>
      </w:r>
      <w:bookmarkStart w:id="0" w:name="_GoBack"/>
      <w:bookmarkEnd w:id="0"/>
      <w:r>
        <w:rPr>
          <w:rFonts w:cs="B Mitra" w:hint="cs"/>
          <w:sz w:val="28"/>
          <w:szCs w:val="28"/>
          <w:rtl/>
          <w:lang w:bidi="fa-IR"/>
        </w:rPr>
        <w:t xml:space="preserve"> لذا در گفتار بعد به این موضوع انشاءالله می پردازیم.</w:t>
      </w:r>
    </w:p>
    <w:p w:rsidR="00E07F48" w:rsidRDefault="00E07F48" w:rsidP="00BF7E28">
      <w:pPr>
        <w:spacing w:after="160" w:line="259" w:lineRule="auto"/>
        <w:jc w:val="both"/>
        <w:rPr>
          <w:rFonts w:ascii="Tahoma" w:hAnsi="Tahoma" w:cs="Traditional Arabic"/>
          <w:color w:val="008000"/>
          <w:sz w:val="24"/>
          <w:szCs w:val="24"/>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F71" w:rsidRDefault="00554F71" w:rsidP="00BC6EBB">
      <w:pPr>
        <w:spacing w:after="0" w:line="240" w:lineRule="auto"/>
      </w:pPr>
      <w:r>
        <w:separator/>
      </w:r>
    </w:p>
  </w:endnote>
  <w:endnote w:type="continuationSeparator" w:id="0">
    <w:p w:rsidR="00554F71" w:rsidRDefault="00554F71"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F71" w:rsidRDefault="00554F71" w:rsidP="00BC6EBB">
      <w:pPr>
        <w:spacing w:after="0" w:line="240" w:lineRule="auto"/>
      </w:pPr>
      <w:r>
        <w:separator/>
      </w:r>
    </w:p>
  </w:footnote>
  <w:footnote w:type="continuationSeparator" w:id="0">
    <w:p w:rsidR="00554F71" w:rsidRDefault="00554F71" w:rsidP="00BC6EBB">
      <w:pPr>
        <w:spacing w:after="0" w:line="240" w:lineRule="auto"/>
      </w:pPr>
      <w:r>
        <w:continuationSeparator/>
      </w:r>
    </w:p>
  </w:footnote>
  <w:footnote w:id="1">
    <w:p w:rsidR="00D053C4" w:rsidRDefault="00D053C4" w:rsidP="00D053C4">
      <w:pPr>
        <w:pStyle w:val="FootnoteText"/>
        <w:rPr>
          <w:rFonts w:hint="cs"/>
          <w:lang w:bidi="fa-IR"/>
        </w:rPr>
      </w:pPr>
      <w:r>
        <w:rPr>
          <w:rStyle w:val="FootnoteReference"/>
        </w:rPr>
        <w:footnoteRef/>
      </w:r>
      <w:r>
        <w:rPr>
          <w:rtl/>
        </w:rPr>
        <w:t xml:space="preserve"> </w:t>
      </w:r>
      <w:r w:rsidRPr="00D053C4">
        <w:rPr>
          <w:rFonts w:hint="cs"/>
          <w:rtl/>
          <w:lang w:bidi="fa-IR"/>
        </w:rPr>
        <w:t>تلخیص</w:t>
      </w:r>
      <w:r w:rsidRPr="00D053C4">
        <w:rPr>
          <w:rtl/>
          <w:lang w:bidi="fa-IR"/>
        </w:rPr>
        <w:t xml:space="preserve"> </w:t>
      </w:r>
      <w:r w:rsidRPr="00D053C4">
        <w:rPr>
          <w:rFonts w:hint="cs"/>
          <w:rtl/>
          <w:lang w:bidi="fa-IR"/>
        </w:rPr>
        <w:t>المتشابه،</w:t>
      </w:r>
      <w:r w:rsidRPr="00D053C4">
        <w:rPr>
          <w:rtl/>
          <w:lang w:bidi="fa-IR"/>
        </w:rPr>
        <w:t xml:space="preserve"> </w:t>
      </w:r>
      <w:r>
        <w:rPr>
          <w:rFonts w:hint="cs"/>
          <w:rtl/>
          <w:lang w:bidi="fa-IR"/>
        </w:rPr>
        <w:t xml:space="preserve">خطیب بغدادی، </w:t>
      </w:r>
      <w:r w:rsidRPr="00D053C4">
        <w:rPr>
          <w:rFonts w:hint="cs"/>
          <w:rtl/>
          <w:lang w:bidi="fa-IR"/>
        </w:rPr>
        <w:t>ج</w:t>
      </w:r>
      <w:r w:rsidRPr="00D053C4">
        <w:rPr>
          <w:rtl/>
          <w:lang w:bidi="fa-IR"/>
        </w:rPr>
        <w:t>1</w:t>
      </w:r>
      <w:r w:rsidRPr="00D053C4">
        <w:rPr>
          <w:rFonts w:hint="cs"/>
          <w:rtl/>
          <w:lang w:bidi="fa-IR"/>
        </w:rPr>
        <w:t>،</w:t>
      </w:r>
      <w:r w:rsidRPr="00D053C4">
        <w:rPr>
          <w:rtl/>
          <w:lang w:bidi="fa-IR"/>
        </w:rPr>
        <w:t xml:space="preserve"> </w:t>
      </w:r>
      <w:r w:rsidRPr="00D053C4">
        <w:rPr>
          <w:rFonts w:hint="cs"/>
          <w:rtl/>
          <w:lang w:bidi="fa-IR"/>
        </w:rPr>
        <w:t>ص</w:t>
      </w:r>
      <w:r w:rsidRPr="00D053C4">
        <w:rPr>
          <w:rtl/>
          <w:lang w:bidi="fa-IR"/>
        </w:rPr>
        <w:t xml:space="preserve"> 308 </w:t>
      </w:r>
    </w:p>
  </w:footnote>
  <w:footnote w:id="2">
    <w:p w:rsidR="00D053C4" w:rsidRDefault="00D053C4" w:rsidP="00D053C4">
      <w:pPr>
        <w:pStyle w:val="FootnoteText"/>
        <w:rPr>
          <w:rFonts w:hint="cs"/>
          <w:lang w:bidi="fa-IR"/>
        </w:rPr>
      </w:pPr>
      <w:r>
        <w:rPr>
          <w:rStyle w:val="FootnoteReference"/>
        </w:rPr>
        <w:footnoteRef/>
      </w:r>
      <w:r>
        <w:rPr>
          <w:rtl/>
        </w:rPr>
        <w:t xml:space="preserve"> </w:t>
      </w:r>
      <w:r w:rsidRPr="00D053C4">
        <w:rPr>
          <w:rFonts w:hint="cs"/>
          <w:rtl/>
          <w:lang w:bidi="fa-IR"/>
        </w:rPr>
        <w:t>میزان</w:t>
      </w:r>
      <w:r w:rsidRPr="00D053C4">
        <w:rPr>
          <w:rtl/>
          <w:lang w:bidi="fa-IR"/>
        </w:rPr>
        <w:t xml:space="preserve"> </w:t>
      </w:r>
      <w:r w:rsidRPr="00D053C4">
        <w:rPr>
          <w:rFonts w:hint="cs"/>
          <w:rtl/>
          <w:lang w:bidi="fa-IR"/>
        </w:rPr>
        <w:t>الاعتدال،</w:t>
      </w:r>
      <w:r w:rsidRPr="00D053C4">
        <w:rPr>
          <w:rtl/>
          <w:lang w:bidi="fa-IR"/>
        </w:rPr>
        <w:t xml:space="preserve"> </w:t>
      </w:r>
      <w:r>
        <w:rPr>
          <w:rFonts w:hint="cs"/>
          <w:rtl/>
          <w:lang w:bidi="fa-IR"/>
        </w:rPr>
        <w:t xml:space="preserve">ذهبی، </w:t>
      </w:r>
      <w:r w:rsidRPr="00D053C4">
        <w:rPr>
          <w:rFonts w:hint="cs"/>
          <w:rtl/>
          <w:lang w:bidi="fa-IR"/>
        </w:rPr>
        <w:t>ج</w:t>
      </w:r>
      <w:r w:rsidRPr="00D053C4">
        <w:rPr>
          <w:rtl/>
          <w:lang w:bidi="fa-IR"/>
        </w:rPr>
        <w:t>4</w:t>
      </w:r>
      <w:r w:rsidRPr="00D053C4">
        <w:rPr>
          <w:rFonts w:hint="cs"/>
          <w:rtl/>
          <w:lang w:bidi="fa-IR"/>
        </w:rPr>
        <w:t>،</w:t>
      </w:r>
      <w:r w:rsidRPr="00D053C4">
        <w:rPr>
          <w:rtl/>
          <w:lang w:bidi="fa-IR"/>
        </w:rPr>
        <w:t xml:space="preserve"> </w:t>
      </w:r>
      <w:r w:rsidRPr="00D053C4">
        <w:rPr>
          <w:rFonts w:hint="cs"/>
          <w:rtl/>
          <w:lang w:bidi="fa-IR"/>
        </w:rPr>
        <w:t>ص</w:t>
      </w:r>
      <w:r w:rsidRPr="00D053C4">
        <w:rPr>
          <w:rtl/>
          <w:lang w:bidi="fa-IR"/>
        </w:rPr>
        <w:t xml:space="preserve"> 366</w:t>
      </w:r>
    </w:p>
  </w:footnote>
  <w:footnote w:id="3">
    <w:p w:rsidR="000454BD" w:rsidRDefault="000454BD">
      <w:pPr>
        <w:pStyle w:val="FootnoteText"/>
        <w:rPr>
          <w:rFonts w:hint="cs"/>
          <w:lang w:bidi="fa-IR"/>
        </w:rPr>
      </w:pPr>
      <w:r>
        <w:rPr>
          <w:rStyle w:val="FootnoteReference"/>
        </w:rPr>
        <w:footnoteRef/>
      </w:r>
      <w:r>
        <w:rPr>
          <w:rtl/>
        </w:rPr>
        <w:t xml:space="preserve"> </w:t>
      </w:r>
      <w:r>
        <w:rPr>
          <w:rFonts w:hint="cs"/>
          <w:rtl/>
          <w:lang w:bidi="fa-IR"/>
        </w:rPr>
        <w:t>الحجج الدامغات، ج1، ص 457</w:t>
      </w:r>
    </w:p>
  </w:footnote>
  <w:footnote w:id="4">
    <w:p w:rsidR="00D053C4" w:rsidRDefault="00D053C4">
      <w:pPr>
        <w:pStyle w:val="FootnoteText"/>
        <w:rPr>
          <w:rFonts w:hint="cs"/>
          <w:lang w:bidi="fa-IR"/>
        </w:rPr>
      </w:pPr>
      <w:r>
        <w:rPr>
          <w:rStyle w:val="FootnoteReference"/>
        </w:rPr>
        <w:footnoteRef/>
      </w:r>
      <w:r>
        <w:rPr>
          <w:rtl/>
        </w:rPr>
        <w:t xml:space="preserve"> </w:t>
      </w:r>
      <w:r w:rsidRPr="00D053C4">
        <w:rPr>
          <w:rFonts w:hint="cs"/>
          <w:rtl/>
          <w:lang w:bidi="fa-IR"/>
        </w:rPr>
        <w:t>معجم</w:t>
      </w:r>
      <w:r w:rsidRPr="00D053C4">
        <w:rPr>
          <w:rtl/>
          <w:lang w:bidi="fa-IR"/>
        </w:rPr>
        <w:t xml:space="preserve"> </w:t>
      </w:r>
      <w:r w:rsidRPr="00D053C4">
        <w:rPr>
          <w:rFonts w:hint="cs"/>
          <w:rtl/>
          <w:lang w:bidi="fa-IR"/>
        </w:rPr>
        <w:t>الصغیر،</w:t>
      </w:r>
      <w:r w:rsidRPr="00D053C4">
        <w:rPr>
          <w:rtl/>
          <w:lang w:bidi="fa-IR"/>
        </w:rPr>
        <w:t xml:space="preserve"> </w:t>
      </w:r>
      <w:r>
        <w:rPr>
          <w:rFonts w:hint="cs"/>
          <w:rtl/>
          <w:lang w:bidi="fa-IR"/>
        </w:rPr>
        <w:t xml:space="preserve">طبرانی، </w:t>
      </w:r>
      <w:r w:rsidRPr="00D053C4">
        <w:rPr>
          <w:rFonts w:hint="cs"/>
          <w:rtl/>
          <w:lang w:bidi="fa-IR"/>
        </w:rPr>
        <w:t>ج</w:t>
      </w:r>
      <w:r w:rsidRPr="00D053C4">
        <w:rPr>
          <w:rtl/>
          <w:lang w:bidi="fa-IR"/>
        </w:rPr>
        <w:t>2</w:t>
      </w:r>
      <w:r w:rsidRPr="00D053C4">
        <w:rPr>
          <w:rFonts w:hint="cs"/>
          <w:rtl/>
          <w:lang w:bidi="fa-IR"/>
        </w:rPr>
        <w:t>،</w:t>
      </w:r>
      <w:r w:rsidRPr="00D053C4">
        <w:rPr>
          <w:rtl/>
          <w:lang w:bidi="fa-IR"/>
        </w:rPr>
        <w:t xml:space="preserve"> </w:t>
      </w:r>
      <w:r w:rsidRPr="00D053C4">
        <w:rPr>
          <w:rFonts w:hint="cs"/>
          <w:rtl/>
          <w:lang w:bidi="fa-IR"/>
        </w:rPr>
        <w:t>ص</w:t>
      </w:r>
      <w:r w:rsidRPr="00D053C4">
        <w:rPr>
          <w:rtl/>
          <w:lang w:bidi="fa-IR"/>
        </w:rPr>
        <w:t>69</w:t>
      </w:r>
    </w:p>
  </w:footnote>
  <w:footnote w:id="5">
    <w:p w:rsidR="007F221A" w:rsidRDefault="007F221A">
      <w:pPr>
        <w:pStyle w:val="FootnoteText"/>
        <w:rPr>
          <w:rFonts w:hint="cs"/>
          <w:lang w:bidi="fa-IR"/>
        </w:rPr>
      </w:pPr>
      <w:r>
        <w:rPr>
          <w:rStyle w:val="FootnoteReference"/>
        </w:rPr>
        <w:footnoteRef/>
      </w:r>
      <w:r>
        <w:rPr>
          <w:rtl/>
        </w:rPr>
        <w:t xml:space="preserve"> </w:t>
      </w:r>
      <w:r>
        <w:rPr>
          <w:rFonts w:hint="cs"/>
          <w:rtl/>
          <w:lang w:bidi="fa-IR"/>
        </w:rPr>
        <w:t>میزان الاعتدال، ج1، ص 170</w:t>
      </w:r>
    </w:p>
  </w:footnote>
  <w:footnote w:id="6">
    <w:p w:rsidR="007F221A" w:rsidRDefault="007F221A">
      <w:pPr>
        <w:pStyle w:val="FootnoteText"/>
        <w:rPr>
          <w:rFonts w:hint="cs"/>
          <w:lang w:bidi="fa-IR"/>
        </w:rPr>
      </w:pPr>
      <w:r>
        <w:rPr>
          <w:rStyle w:val="FootnoteReference"/>
        </w:rPr>
        <w:footnoteRef/>
      </w:r>
      <w:r>
        <w:rPr>
          <w:rtl/>
        </w:rPr>
        <w:t xml:space="preserve"> </w:t>
      </w:r>
      <w:r>
        <w:rPr>
          <w:rFonts w:hint="cs"/>
          <w:rtl/>
          <w:lang w:bidi="fa-IR"/>
        </w:rPr>
        <w:t>میزان الاعتدال، ج3، ص 128</w:t>
      </w:r>
    </w:p>
  </w:footnote>
  <w:footnote w:id="7">
    <w:p w:rsidR="007F221A" w:rsidRDefault="007F221A" w:rsidP="007F221A">
      <w:pPr>
        <w:pStyle w:val="FootnoteText"/>
        <w:rPr>
          <w:rFonts w:hint="cs"/>
          <w:lang w:bidi="fa-IR"/>
        </w:rPr>
      </w:pPr>
      <w:r>
        <w:rPr>
          <w:rStyle w:val="FootnoteReference"/>
        </w:rPr>
        <w:footnoteRef/>
      </w:r>
      <w:r>
        <w:rPr>
          <w:rtl/>
        </w:rPr>
        <w:t xml:space="preserve"> </w:t>
      </w:r>
      <w:r>
        <w:rPr>
          <w:rFonts w:hint="cs"/>
          <w:rtl/>
          <w:lang w:bidi="fa-IR"/>
        </w:rPr>
        <w:t>فتح الملک العلی، ص 121</w:t>
      </w:r>
    </w:p>
  </w:footnote>
  <w:footnote w:id="8">
    <w:p w:rsidR="005548EB" w:rsidRDefault="005548EB">
      <w:pPr>
        <w:pStyle w:val="FootnoteText"/>
        <w:rPr>
          <w:rFonts w:hint="cs"/>
          <w:lang w:bidi="fa-IR"/>
        </w:rPr>
      </w:pPr>
      <w:r>
        <w:rPr>
          <w:rStyle w:val="FootnoteReference"/>
        </w:rPr>
        <w:footnoteRef/>
      </w:r>
      <w:r>
        <w:rPr>
          <w:rtl/>
        </w:rPr>
        <w:t xml:space="preserve"> </w:t>
      </w:r>
      <w:r>
        <w:rPr>
          <w:rFonts w:hint="cs"/>
          <w:rtl/>
          <w:lang w:bidi="fa-IR"/>
        </w:rPr>
        <w:t>حلیه الاولیاء، ابونعیم اصفهانی، ج1، ص 64</w:t>
      </w:r>
    </w:p>
  </w:footnote>
  <w:footnote w:id="9">
    <w:p w:rsidR="00EF7EB9" w:rsidRDefault="00EF7EB9">
      <w:pPr>
        <w:pStyle w:val="FootnoteText"/>
        <w:rPr>
          <w:rFonts w:hint="cs"/>
          <w:lang w:bidi="fa-IR"/>
        </w:rPr>
      </w:pPr>
      <w:r>
        <w:rPr>
          <w:rStyle w:val="FootnoteReference"/>
        </w:rPr>
        <w:footnoteRef/>
      </w:r>
      <w:r>
        <w:rPr>
          <w:rtl/>
        </w:rPr>
        <w:t xml:space="preserve"> </w:t>
      </w:r>
      <w:r>
        <w:rPr>
          <w:rFonts w:hint="cs"/>
          <w:rtl/>
          <w:lang w:bidi="fa-IR"/>
        </w:rPr>
        <w:t>میزان الاعتدال، ج1، ص 64</w:t>
      </w:r>
    </w:p>
  </w:footnote>
  <w:footnote w:id="10">
    <w:p w:rsidR="00EF7EB9" w:rsidRDefault="00EF7EB9">
      <w:pPr>
        <w:pStyle w:val="FootnoteText"/>
        <w:rPr>
          <w:rFonts w:hint="cs"/>
          <w:lang w:bidi="fa-IR"/>
        </w:rPr>
      </w:pPr>
      <w:r>
        <w:rPr>
          <w:rStyle w:val="FootnoteReference"/>
        </w:rPr>
        <w:footnoteRef/>
      </w:r>
      <w:r>
        <w:rPr>
          <w:rtl/>
        </w:rPr>
        <w:t xml:space="preserve"> </w:t>
      </w:r>
      <w:r>
        <w:rPr>
          <w:rFonts w:hint="cs"/>
          <w:rtl/>
          <w:lang w:bidi="fa-IR"/>
        </w:rPr>
        <w:t>لسان المیزان، ج1، ص 345</w:t>
      </w:r>
    </w:p>
  </w:footnote>
  <w:footnote w:id="11">
    <w:p w:rsidR="00EF7EB9" w:rsidRDefault="00EF7EB9">
      <w:pPr>
        <w:pStyle w:val="FootnoteText"/>
        <w:rPr>
          <w:rFonts w:hint="cs"/>
          <w:lang w:bidi="fa-IR"/>
        </w:rPr>
      </w:pPr>
      <w:r>
        <w:rPr>
          <w:rStyle w:val="FootnoteReference"/>
        </w:rPr>
        <w:footnoteRef/>
      </w:r>
      <w:r>
        <w:rPr>
          <w:rtl/>
        </w:rPr>
        <w:t xml:space="preserve"> </w:t>
      </w:r>
      <w:r>
        <w:rPr>
          <w:rFonts w:hint="cs"/>
          <w:rtl/>
          <w:lang w:bidi="fa-IR"/>
        </w:rPr>
        <w:t>فتح الملک العلی، ص 165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F355FC">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F355FC">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F355FC">
      <w:rPr>
        <w:rFonts w:ascii="Tahoma" w:hAnsi="Tahoma" w:cs="Traditional Arabic" w:hint="cs"/>
        <w:sz w:val="28"/>
        <w:szCs w:val="28"/>
        <w:rtl/>
        <w:lang w:bidi="fa-IR"/>
      </w:rPr>
      <w:t>30</w:t>
    </w:r>
    <w:r>
      <w:rPr>
        <w:rFonts w:ascii="Tahoma" w:hAnsi="Tahoma" w:cs="Traditional Arabic" w:hint="cs"/>
        <w:sz w:val="28"/>
        <w:szCs w:val="28"/>
        <w:rtl/>
        <w:lang w:bidi="fa-IR"/>
      </w:rPr>
      <w:t>/</w:t>
    </w:r>
    <w:r w:rsidR="005F2074">
      <w:rPr>
        <w:rFonts w:ascii="Tahoma" w:hAnsi="Tahoma" w:cs="Traditional Arabic" w:hint="cs"/>
        <w:sz w:val="28"/>
        <w:szCs w:val="28"/>
        <w:rtl/>
        <w:lang w:bidi="fa-IR"/>
      </w:rPr>
      <w:t>07</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2664E"/>
    <w:rsid w:val="00032306"/>
    <w:rsid w:val="000323A2"/>
    <w:rsid w:val="00032DB3"/>
    <w:rsid w:val="000363B5"/>
    <w:rsid w:val="000409ED"/>
    <w:rsid w:val="000423A0"/>
    <w:rsid w:val="0004279F"/>
    <w:rsid w:val="00045264"/>
    <w:rsid w:val="000454BD"/>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4B30"/>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548EB"/>
    <w:rsid w:val="00554F71"/>
    <w:rsid w:val="0056438B"/>
    <w:rsid w:val="00564CE6"/>
    <w:rsid w:val="00565371"/>
    <w:rsid w:val="00566178"/>
    <w:rsid w:val="00567F2A"/>
    <w:rsid w:val="005723D4"/>
    <w:rsid w:val="00573629"/>
    <w:rsid w:val="00574246"/>
    <w:rsid w:val="00576E1F"/>
    <w:rsid w:val="00580C74"/>
    <w:rsid w:val="0058228F"/>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3BB2"/>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21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2512D"/>
    <w:rsid w:val="00927958"/>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CC0"/>
    <w:rsid w:val="00B15D53"/>
    <w:rsid w:val="00B2014B"/>
    <w:rsid w:val="00B23F8F"/>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3C4"/>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07F48"/>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EF7EB9"/>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355FC"/>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6BA9ECA-A8AD-4E3A-8022-331B3A3E3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2020-10-22T16:04:00Z</dcterms:created>
  <dcterms:modified xsi:type="dcterms:W3CDTF">2020-10-22T17:04:00Z</dcterms:modified>
</cp:coreProperties>
</file>