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5F2074" w:rsidRPr="005F2074" w:rsidRDefault="00B111CF" w:rsidP="00754D3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</w:t>
      </w:r>
      <w:r w:rsidR="000943D0">
        <w:rPr>
          <w:rFonts w:cs="B Mitra" w:hint="cs"/>
          <w:color w:val="FF0000"/>
          <w:sz w:val="28"/>
          <w:szCs w:val="28"/>
          <w:rtl/>
          <w:lang w:bidi="fa-IR"/>
        </w:rPr>
        <w:t>20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و </w:t>
      </w:r>
      <w:r w:rsidR="002652D3" w:rsidRPr="00981DD2">
        <w:rPr>
          <w:rFonts w:cs="B Mitra" w:hint="cs"/>
          <w:color w:val="FF0000"/>
          <w:sz w:val="28"/>
          <w:szCs w:val="28"/>
          <w:rtl/>
          <w:lang w:bidi="fa-IR"/>
        </w:rPr>
        <w:t xml:space="preserve">بررسی </w:t>
      </w:r>
      <w:proofErr w:type="spellStart"/>
      <w:r w:rsidR="00754D3B"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 w:rsidR="00754D3B">
        <w:rPr>
          <w:rFonts w:cs="B Mitra" w:hint="cs"/>
          <w:color w:val="FF0000"/>
          <w:sz w:val="28"/>
          <w:szCs w:val="28"/>
          <w:rtl/>
          <w:lang w:bidi="fa-IR"/>
        </w:rPr>
        <w:t xml:space="preserve"> آن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</w:p>
    <w:p w:rsidR="005614E0" w:rsidRDefault="00A93E20" w:rsidP="009513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سخن در روایت 20 از مراجعه 48 بود. در این روایت </w:t>
      </w:r>
      <w:r w:rsidR="005614E0">
        <w:rPr>
          <w:rFonts w:cs="B Mitra" w:hint="cs"/>
          <w:sz w:val="28"/>
          <w:szCs w:val="28"/>
          <w:rtl/>
          <w:lang w:bidi="fa-IR"/>
        </w:rPr>
        <w:t xml:space="preserve">پیامبر اکرم (ص) به امیرالمومنین (ع) فرمود: </w:t>
      </w:r>
      <w:r w:rsidR="005614E0" w:rsidRPr="004F0C82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الدنيا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و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الآخرة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حبيبك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و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حبيب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و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عدوّك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و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عدوّ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5614E0" w:rsidRPr="004F0C82">
        <w:rPr>
          <w:rFonts w:cs="B Mitra" w:hint="cs"/>
          <w:sz w:val="28"/>
          <w:szCs w:val="28"/>
          <w:rtl/>
          <w:lang w:bidi="fa-IR"/>
        </w:rPr>
        <w:t>،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و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الويل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="005614E0" w:rsidRPr="004F0C82">
        <w:rPr>
          <w:rFonts w:cs="B Mitra" w:hint="cs"/>
          <w:sz w:val="28"/>
          <w:szCs w:val="28"/>
          <w:rtl/>
          <w:lang w:bidi="fa-IR"/>
        </w:rPr>
        <w:t>لمن</w:t>
      </w:r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أبغضك</w:t>
      </w:r>
      <w:proofErr w:type="spellEnd"/>
      <w:r w:rsidR="005614E0"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614E0" w:rsidRPr="004F0C82">
        <w:rPr>
          <w:rFonts w:cs="B Mitra" w:hint="cs"/>
          <w:sz w:val="28"/>
          <w:szCs w:val="28"/>
          <w:rtl/>
          <w:lang w:bidi="fa-IR"/>
        </w:rPr>
        <w:t>بعدي</w:t>
      </w:r>
      <w:proofErr w:type="spellEnd"/>
      <w:r w:rsidR="005614E0" w:rsidRPr="004F0C82">
        <w:rPr>
          <w:rFonts w:cs="B Mitra" w:hint="eastAsia"/>
          <w:sz w:val="28"/>
          <w:szCs w:val="28"/>
          <w:rtl/>
          <w:lang w:bidi="fa-IR"/>
        </w:rPr>
        <w:t>»</w:t>
      </w:r>
      <w:r w:rsidR="005614E0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5614E0">
        <w:rPr>
          <w:rFonts w:cs="B Mitra" w:hint="cs"/>
          <w:sz w:val="28"/>
          <w:szCs w:val="28"/>
          <w:rtl/>
          <w:lang w:bidi="fa-IR"/>
        </w:rPr>
        <w:t xml:space="preserve">. درباره سند این روایت بحث کافی انجام </w:t>
      </w:r>
      <w:r w:rsidR="00951318">
        <w:rPr>
          <w:rFonts w:cs="B Mitra" w:hint="cs"/>
          <w:sz w:val="28"/>
          <w:szCs w:val="28"/>
          <w:rtl/>
          <w:lang w:bidi="fa-IR"/>
        </w:rPr>
        <w:t xml:space="preserve">گرفت </w:t>
      </w:r>
      <w:r w:rsidR="005614E0">
        <w:rPr>
          <w:rFonts w:cs="B Mitra" w:hint="cs"/>
          <w:sz w:val="28"/>
          <w:szCs w:val="28"/>
          <w:rtl/>
          <w:lang w:bidi="fa-IR"/>
        </w:rPr>
        <w:t xml:space="preserve">و معلوم شد که رجال آن همه موثق هستند و هیچ گونه اشکالی حتی از طرف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که در نقد روایات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المراجعات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خیلی سخت گیر است وجود ندارد. آنچه در این باره مطرح شده منکر یا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دانستن </w:t>
      </w:r>
      <w:r w:rsidR="00951318">
        <w:rPr>
          <w:rFonts w:cs="B Mitra" w:hint="cs"/>
          <w:sz w:val="28"/>
          <w:szCs w:val="28"/>
          <w:rtl/>
          <w:lang w:bidi="fa-IR"/>
        </w:rPr>
        <w:t xml:space="preserve">متن آن است. </w:t>
      </w:r>
      <w:r w:rsidR="005614E0">
        <w:rPr>
          <w:rFonts w:cs="B Mitra" w:hint="cs"/>
          <w:sz w:val="28"/>
          <w:szCs w:val="28"/>
          <w:rtl/>
          <w:lang w:bidi="fa-IR"/>
        </w:rPr>
        <w:t xml:space="preserve">(صحت سند شرط لازم برای اعتبار حدیث است نه شرط لازم و کافی. دلالت </w:t>
      </w:r>
      <w:r w:rsidR="00951318">
        <w:rPr>
          <w:rFonts w:cs="B Mitra" w:hint="cs"/>
          <w:sz w:val="28"/>
          <w:szCs w:val="28"/>
          <w:rtl/>
          <w:lang w:bidi="fa-IR"/>
        </w:rPr>
        <w:t xml:space="preserve">و مضمون </w:t>
      </w:r>
      <w:r w:rsidR="005614E0">
        <w:rPr>
          <w:rFonts w:cs="B Mitra" w:hint="cs"/>
          <w:sz w:val="28"/>
          <w:szCs w:val="28"/>
          <w:rtl/>
          <w:lang w:bidi="fa-IR"/>
        </w:rPr>
        <w:t xml:space="preserve">حدیث نیز باید خالی از اشکال باشد). درباره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حدیث هم در مجموع آنچه بیان شد </w:t>
      </w:r>
      <w:r w:rsidR="00951318">
        <w:rPr>
          <w:rFonts w:cs="B Mitra" w:hint="cs"/>
          <w:sz w:val="28"/>
          <w:szCs w:val="28"/>
          <w:rtl/>
          <w:lang w:bidi="fa-IR"/>
        </w:rPr>
        <w:t xml:space="preserve">نشان می دهد که متن آن نیز صحیح بوده و </w:t>
      </w:r>
      <w:proofErr w:type="spellStart"/>
      <w:r w:rsidR="005614E0"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 w:rsidR="005614E0">
        <w:rPr>
          <w:rFonts w:cs="B Mitra" w:hint="cs"/>
          <w:sz w:val="28"/>
          <w:szCs w:val="28"/>
          <w:rtl/>
          <w:lang w:bidi="fa-IR"/>
        </w:rPr>
        <w:t xml:space="preserve"> برای منکر و جعلی دانستن </w:t>
      </w:r>
      <w:r w:rsidR="00951318">
        <w:rPr>
          <w:rFonts w:cs="B Mitra" w:hint="cs"/>
          <w:sz w:val="28"/>
          <w:szCs w:val="28"/>
          <w:rtl/>
          <w:lang w:bidi="fa-IR"/>
        </w:rPr>
        <w:t xml:space="preserve">آن </w:t>
      </w:r>
      <w:r w:rsidR="005614E0">
        <w:rPr>
          <w:rFonts w:cs="B Mitra" w:hint="cs"/>
          <w:sz w:val="28"/>
          <w:szCs w:val="28"/>
          <w:rtl/>
          <w:lang w:bidi="fa-IR"/>
        </w:rPr>
        <w:t>وجود ندارد.</w:t>
      </w:r>
    </w:p>
    <w:p w:rsidR="005614E0" w:rsidRDefault="005614E0" w:rsidP="005614E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5F2074" w:rsidRPr="00451023" w:rsidRDefault="005614E0" w:rsidP="0045102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614E0">
        <w:rPr>
          <w:rFonts w:cs="B Mitra" w:hint="cs"/>
          <w:color w:val="FF0000"/>
          <w:sz w:val="28"/>
          <w:szCs w:val="28"/>
          <w:rtl/>
          <w:lang w:bidi="fa-IR"/>
        </w:rPr>
        <w:t xml:space="preserve">مفاد و </w:t>
      </w:r>
      <w:proofErr w:type="spellStart"/>
      <w:r w:rsidRPr="005614E0"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 w:rsidRPr="005614E0">
        <w:rPr>
          <w:rFonts w:cs="B Mitra" w:hint="cs"/>
          <w:color w:val="FF0000"/>
          <w:sz w:val="28"/>
          <w:szCs w:val="28"/>
          <w:rtl/>
          <w:lang w:bidi="fa-IR"/>
        </w:rPr>
        <w:t xml:space="preserve"> روایت</w:t>
      </w:r>
    </w:p>
    <w:p w:rsidR="005F2074" w:rsidRDefault="0045551E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اینجا به بررسی مفاد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می پردازیم. </w:t>
      </w:r>
      <w:r w:rsidR="00451023">
        <w:rPr>
          <w:rFonts w:cs="B Mitra" w:hint="cs"/>
          <w:sz w:val="28"/>
          <w:szCs w:val="28"/>
          <w:rtl/>
          <w:lang w:bidi="fa-IR"/>
        </w:rPr>
        <w:t>این روایت سه بخش دارد:</w:t>
      </w:r>
    </w:p>
    <w:p w:rsidR="00451023" w:rsidRDefault="00451023" w:rsidP="0045102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«</w:t>
      </w:r>
      <w:r w:rsidRPr="0045102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أنت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الدنيا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سيّد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الآخرة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</w:p>
    <w:p w:rsidR="00451023" w:rsidRDefault="00451023" w:rsidP="0045551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برای کلمه سید کاربردهای مختلفی نقل شده است: رب، ملک، مولی، متولی امور جماعتی بسیار، زوج، رئیس، مقدم و افضل قوم، کسی که اطاعت او واجب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1576A2">
        <w:rPr>
          <w:rFonts w:cs="B Mitra" w:hint="cs"/>
          <w:sz w:val="28"/>
          <w:szCs w:val="28"/>
          <w:rtl/>
          <w:lang w:bidi="fa-IR"/>
        </w:rPr>
        <w:t xml:space="preserve"> مجموع این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کاربردها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به دو کاربرد و معنای محوری می رسد: یکی ریاست و فرمانروایی و دیگری فضیلت و برتری است. راغب اصفهانی در این باره می گوید: سید کسی است که متولی جماعت بسیاری است و از آنجا که از شرایط چنین شخصی این است که دارای نفسی پیراسته و مهذب باشد، کسی که از تهذیب نفس برخودار باشد را سید گویند. زوج را نیز </w:t>
      </w:r>
      <w:r w:rsidR="0045551E">
        <w:rPr>
          <w:rFonts w:cs="B Mitra" w:hint="cs"/>
          <w:sz w:val="28"/>
          <w:szCs w:val="28"/>
          <w:rtl/>
          <w:lang w:bidi="fa-IR"/>
        </w:rPr>
        <w:t xml:space="preserve">چون </w:t>
      </w:r>
      <w:r w:rsidR="001576A2">
        <w:rPr>
          <w:rFonts w:cs="B Mitra" w:hint="cs"/>
          <w:sz w:val="28"/>
          <w:szCs w:val="28"/>
          <w:rtl/>
          <w:lang w:bidi="fa-IR"/>
        </w:rPr>
        <w:t xml:space="preserve">متولی امر همسر خویش است سید نامیده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. چنانکه </w:t>
      </w:r>
      <w:r w:rsidR="0045551E">
        <w:rPr>
          <w:rFonts w:cs="B Mitra" w:hint="cs"/>
          <w:sz w:val="28"/>
          <w:szCs w:val="28"/>
          <w:rtl/>
          <w:lang w:bidi="fa-IR"/>
        </w:rPr>
        <w:t xml:space="preserve">قرآن کریم </w:t>
      </w:r>
      <w:r w:rsidR="001576A2">
        <w:rPr>
          <w:rFonts w:cs="B Mitra" w:hint="cs"/>
          <w:sz w:val="28"/>
          <w:szCs w:val="28"/>
          <w:rtl/>
          <w:lang w:bidi="fa-IR"/>
        </w:rPr>
        <w:t xml:space="preserve">فرموده است «و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الفیا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سیدها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لدی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الباب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>»</w:t>
      </w:r>
      <w:r w:rsidR="001576A2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1576A2">
        <w:rPr>
          <w:rFonts w:cs="B Mitra" w:hint="cs"/>
          <w:sz w:val="28"/>
          <w:szCs w:val="28"/>
          <w:rtl/>
          <w:lang w:bidi="fa-IR"/>
        </w:rPr>
        <w:t xml:space="preserve"> و «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ربنا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انّا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اطعنا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سادتنا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1576A2">
        <w:rPr>
          <w:rFonts w:cs="B Mitra" w:hint="cs"/>
          <w:sz w:val="28"/>
          <w:szCs w:val="28"/>
          <w:rtl/>
          <w:lang w:bidi="fa-IR"/>
        </w:rPr>
        <w:t>کبرائنا</w:t>
      </w:r>
      <w:proofErr w:type="spellEnd"/>
      <w:r w:rsidR="001576A2">
        <w:rPr>
          <w:rFonts w:cs="B Mitra" w:hint="cs"/>
          <w:sz w:val="28"/>
          <w:szCs w:val="28"/>
          <w:rtl/>
          <w:lang w:bidi="fa-IR"/>
        </w:rPr>
        <w:t>»</w:t>
      </w:r>
      <w:r w:rsidR="001576A2"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 w:rsidR="001576A2">
        <w:rPr>
          <w:rFonts w:cs="B Mitra" w:hint="cs"/>
          <w:sz w:val="28"/>
          <w:szCs w:val="28"/>
          <w:rtl/>
          <w:lang w:bidi="fa-IR"/>
        </w:rPr>
        <w:t>.</w:t>
      </w:r>
      <w:r w:rsidR="001576A2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451023" w:rsidRDefault="001576A2" w:rsidP="007136C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ابن فارس که معمولا ریشه های کلمات و لغات را بیان می کند </w:t>
      </w:r>
      <w:r w:rsidR="007136C0">
        <w:rPr>
          <w:rFonts w:cs="B Mitra" w:hint="cs"/>
          <w:sz w:val="28"/>
          <w:szCs w:val="28"/>
          <w:rtl/>
          <w:lang w:bidi="fa-IR"/>
        </w:rPr>
        <w:t xml:space="preserve">در این باره </w:t>
      </w:r>
      <w:r>
        <w:rPr>
          <w:rFonts w:cs="B Mitra" w:hint="cs"/>
          <w:sz w:val="28"/>
          <w:szCs w:val="28"/>
          <w:rtl/>
          <w:lang w:bidi="fa-IR"/>
        </w:rPr>
        <w:t>می گوید</w:t>
      </w:r>
      <w:r w:rsidR="007136C0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عده ای سید را حلیم دانسته </w:t>
      </w:r>
      <w:r w:rsidR="007136C0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عده ای دیگر منکر آن شده و گفته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بدان جهت سید را به این نام نامیده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مردم به شخص او پناه می بردند. این معنای دوم از معنای اول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استوارتر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صحیح تر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451023" w:rsidRDefault="001576A2" w:rsidP="007136C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روایت نبوی (ص) نیز آمده است که فرمود: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قوموا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سیدکم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که مقصود سعد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معاذ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و معنای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برتری وی بر آنان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 همچنین درباره سعد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عباده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پیامبر اکرم (ص) نقل شده که فرمود: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انظروا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سیدنا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یقول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»: بنگرید به این سید ما که چه می گوید. ابن اثیر می گوید مراد از </w:t>
      </w:r>
      <w:r w:rsidR="007136C0">
        <w:rPr>
          <w:rFonts w:cs="B Mitra" w:hint="cs"/>
          <w:sz w:val="28"/>
          <w:szCs w:val="28"/>
          <w:rtl/>
          <w:lang w:bidi="fa-IR"/>
        </w:rPr>
        <w:t xml:space="preserve">تعبیر </w:t>
      </w:r>
      <w:r>
        <w:rPr>
          <w:rFonts w:cs="B Mitra" w:hint="cs"/>
          <w:sz w:val="28"/>
          <w:szCs w:val="28"/>
          <w:rtl/>
          <w:lang w:bidi="fa-IR"/>
        </w:rPr>
        <w:t xml:space="preserve">سید ما در این روایت این است که </w:t>
      </w:r>
      <w:r w:rsidR="007136C0">
        <w:rPr>
          <w:rFonts w:cs="B Mitra" w:hint="cs"/>
          <w:sz w:val="28"/>
          <w:szCs w:val="28"/>
          <w:rtl/>
          <w:lang w:bidi="fa-IR"/>
        </w:rPr>
        <w:t xml:space="preserve">آن حضرت می فرماید: </w:t>
      </w:r>
      <w:r>
        <w:rPr>
          <w:rFonts w:cs="B Mitra" w:hint="cs"/>
          <w:sz w:val="28"/>
          <w:szCs w:val="28"/>
          <w:rtl/>
          <w:lang w:bidi="fa-IR"/>
        </w:rPr>
        <w:t xml:space="preserve">ما او را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قومش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سیادت و ریاست دادیم. </w:t>
      </w:r>
      <w:r w:rsidR="008F1178">
        <w:rPr>
          <w:rFonts w:cs="B Mitra" w:hint="cs"/>
          <w:sz w:val="28"/>
          <w:szCs w:val="28"/>
          <w:rtl/>
          <w:lang w:bidi="fa-IR"/>
        </w:rPr>
        <w:t xml:space="preserve">همچنین </w:t>
      </w:r>
      <w:r w:rsidR="007136C0">
        <w:rPr>
          <w:rFonts w:cs="B Mitra" w:hint="cs"/>
          <w:sz w:val="28"/>
          <w:szCs w:val="28"/>
          <w:rtl/>
          <w:lang w:bidi="fa-IR"/>
        </w:rPr>
        <w:t xml:space="preserve">از آن حضرت در روایت دیگری نقل شده که </w:t>
      </w:r>
      <w:r w:rsidR="008F1178">
        <w:rPr>
          <w:rFonts w:cs="B Mitra" w:hint="cs"/>
          <w:sz w:val="28"/>
          <w:szCs w:val="28"/>
          <w:rtl/>
          <w:lang w:bidi="fa-IR"/>
        </w:rPr>
        <w:t xml:space="preserve">فرمود: «انا سید ولد آدم و </w:t>
      </w:r>
      <w:proofErr w:type="spellStart"/>
      <w:r w:rsidR="008F1178">
        <w:rPr>
          <w:rFonts w:cs="B Mitra" w:hint="cs"/>
          <w:sz w:val="28"/>
          <w:szCs w:val="28"/>
          <w:rtl/>
          <w:lang w:bidi="fa-IR"/>
        </w:rPr>
        <w:t>لافخر</w:t>
      </w:r>
      <w:proofErr w:type="spellEnd"/>
      <w:r w:rsidR="008F1178">
        <w:rPr>
          <w:rFonts w:cs="B Mitra" w:hint="cs"/>
          <w:sz w:val="28"/>
          <w:szCs w:val="28"/>
          <w:rtl/>
          <w:lang w:bidi="fa-IR"/>
        </w:rPr>
        <w:t xml:space="preserve">»: من سید فرزندان حضرت آدم (ع) هستم و فخر فروشی </w:t>
      </w:r>
      <w:proofErr w:type="spellStart"/>
      <w:r w:rsidR="008F1178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8F1178">
        <w:rPr>
          <w:rFonts w:cs="B Mitra" w:hint="cs"/>
          <w:sz w:val="28"/>
          <w:szCs w:val="28"/>
          <w:rtl/>
          <w:lang w:bidi="fa-IR"/>
        </w:rPr>
        <w:t xml:space="preserve"> کنم. ابن اثیر می گوید</w:t>
      </w:r>
      <w:r w:rsidR="007136C0">
        <w:rPr>
          <w:rFonts w:cs="B Mitra" w:hint="cs"/>
          <w:sz w:val="28"/>
          <w:szCs w:val="28"/>
          <w:rtl/>
          <w:lang w:bidi="fa-IR"/>
        </w:rPr>
        <w:t>:</w:t>
      </w:r>
      <w:r w:rsidR="008F1178">
        <w:rPr>
          <w:rFonts w:cs="B Mitra" w:hint="cs"/>
          <w:sz w:val="28"/>
          <w:szCs w:val="28"/>
          <w:rtl/>
          <w:lang w:bidi="fa-IR"/>
        </w:rPr>
        <w:t xml:space="preserve"> در این روایت آن حضرت از آقایی و کرامتی که خداوند به او عطا فرموده یاد می کند. </w:t>
      </w:r>
    </w:p>
    <w:p w:rsidR="00451023" w:rsidRDefault="007136C0" w:rsidP="007136C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طبق آنچه در معنای سید بیان شده معلوم می شود </w:t>
      </w:r>
      <w:r w:rsidR="00B65D49">
        <w:rPr>
          <w:rFonts w:cs="B Mitra" w:hint="cs"/>
          <w:sz w:val="28"/>
          <w:szCs w:val="28"/>
          <w:rtl/>
          <w:lang w:bidi="fa-IR"/>
        </w:rPr>
        <w:t xml:space="preserve">از کلمه سید یکی </w:t>
      </w:r>
      <w:proofErr w:type="spellStart"/>
      <w:r w:rsidR="00B65D49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B65D49">
        <w:rPr>
          <w:rFonts w:cs="B Mitra" w:hint="cs"/>
          <w:sz w:val="28"/>
          <w:szCs w:val="28"/>
          <w:rtl/>
          <w:lang w:bidi="fa-IR"/>
        </w:rPr>
        <w:t xml:space="preserve"> و دیگر رهبری و ریاست استفاده می شود. </w:t>
      </w:r>
      <w:r>
        <w:rPr>
          <w:rFonts w:cs="B Mitra" w:hint="cs"/>
          <w:sz w:val="28"/>
          <w:szCs w:val="28"/>
          <w:rtl/>
          <w:lang w:bidi="fa-IR"/>
        </w:rPr>
        <w:t xml:space="preserve">اکنون با توجه به آنچه گفته شد روشن شد که </w:t>
      </w:r>
      <w:r w:rsidR="00B65D49">
        <w:rPr>
          <w:rFonts w:cs="B Mitra" w:hint="cs"/>
          <w:sz w:val="28"/>
          <w:szCs w:val="28"/>
          <w:rtl/>
          <w:lang w:bidi="fa-IR"/>
        </w:rPr>
        <w:t xml:space="preserve">مراد از </w:t>
      </w:r>
      <w:r>
        <w:rPr>
          <w:rFonts w:cs="B Mitra" w:hint="cs"/>
          <w:sz w:val="28"/>
          <w:szCs w:val="28"/>
          <w:rtl/>
          <w:lang w:bidi="fa-IR"/>
        </w:rPr>
        <w:t xml:space="preserve">عبارت:  </w:t>
      </w:r>
      <w:r w:rsidR="00BA26D3">
        <w:rPr>
          <w:rFonts w:cs="B Mitra" w:hint="cs"/>
          <w:sz w:val="28"/>
          <w:szCs w:val="28"/>
          <w:rtl/>
          <w:lang w:bidi="fa-IR"/>
        </w:rPr>
        <w:t xml:space="preserve">انت </w:t>
      </w:r>
      <w:proofErr w:type="spellStart"/>
      <w:r w:rsidR="00BA26D3">
        <w:rPr>
          <w:rFonts w:cs="B Mitra" w:hint="cs"/>
          <w:sz w:val="28"/>
          <w:szCs w:val="28"/>
          <w:rtl/>
          <w:lang w:bidi="fa-IR"/>
        </w:rPr>
        <w:t>سیدی</w:t>
      </w:r>
      <w:proofErr w:type="spellEnd"/>
      <w:r w:rsidR="00BA26D3"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BA26D3">
        <w:rPr>
          <w:rFonts w:cs="B Mitra" w:hint="cs"/>
          <w:sz w:val="28"/>
          <w:szCs w:val="28"/>
          <w:rtl/>
          <w:lang w:bidi="fa-IR"/>
        </w:rPr>
        <w:t>الدنیا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 w:rsidR="00BA26D3">
        <w:rPr>
          <w:rFonts w:cs="B Mitra" w:hint="cs"/>
          <w:sz w:val="28"/>
          <w:szCs w:val="28"/>
          <w:rtl/>
          <w:lang w:bidi="fa-IR"/>
        </w:rPr>
        <w:t xml:space="preserve"> این است که تو در دنیا دارای مقام سیادت و </w:t>
      </w:r>
      <w:proofErr w:type="spellStart"/>
      <w:r w:rsidR="00BA26D3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BA26D3">
        <w:rPr>
          <w:rFonts w:cs="B Mitra" w:hint="cs"/>
          <w:sz w:val="28"/>
          <w:szCs w:val="28"/>
          <w:rtl/>
          <w:lang w:bidi="fa-IR"/>
        </w:rPr>
        <w:t xml:space="preserve"> بر دیگران هستی. سیادت در آخرت نیز به معنای تصمیم گیری و رهبری کردن در امر بهشت و جهنم است.  </w:t>
      </w:r>
    </w:p>
    <w:p w:rsidR="00451023" w:rsidRDefault="00451023" w:rsidP="0045102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«</w:t>
      </w:r>
      <w:r w:rsidRPr="00451023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حبيب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 w:hint="cs"/>
          <w:sz w:val="28"/>
          <w:szCs w:val="28"/>
          <w:rtl/>
          <w:lang w:bidi="fa-IR"/>
        </w:rPr>
        <w:t>،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عدوّي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عدوّ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</w:p>
    <w:p w:rsidR="006149BB" w:rsidRDefault="00452A19" w:rsidP="001D384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مفاد روشن این فراز این است که کسی که با امیرالمومنین (ع) دوست باشد، دوست پیامبر و کسی که با ایشان دشمن باشد، دشمن پیامبر است. دوست پیامبر </w:t>
      </w:r>
      <w:r w:rsidR="001D384B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دوست خداوند و دشمن او دشمن خداست. این </w:t>
      </w:r>
      <w:r w:rsidR="001D384B">
        <w:rPr>
          <w:rFonts w:cs="B Mitra" w:hint="cs"/>
          <w:sz w:val="28"/>
          <w:szCs w:val="28"/>
          <w:rtl/>
          <w:lang w:bidi="fa-IR"/>
        </w:rPr>
        <w:t xml:space="preserve">مطلب نشان می دهد </w:t>
      </w:r>
      <w:r>
        <w:rPr>
          <w:rFonts w:cs="B Mitra" w:hint="cs"/>
          <w:sz w:val="28"/>
          <w:szCs w:val="28"/>
          <w:rtl/>
          <w:lang w:bidi="fa-IR"/>
        </w:rPr>
        <w:t xml:space="preserve">که منزلت و جایگاه امیرالمومنین (ع) نسبت به پیامبر اکرم (ص) یک نوع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مشابهتی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دارد و به منزله آن است. وجه اینکه دوست پیامبر (ص) دوست خدا است، این است که آن حضرت برگزیده و منتخب از جانب خداوند است. در مورد امیرالمومنین (ع) </w:t>
      </w:r>
      <w:r w:rsidR="001606CF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این ویژگی، به خاطر خویشاوندی و یا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صحابی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</w:t>
      </w:r>
      <w:r w:rsidR="001606CF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نیست، بلکه شخصیت ویژه آن حضرت است که با شخصیت پیامبر قابل مقایسه است. این مطلب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برتری امیرالمومنین (ع) دلالت می کند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از شرایط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است. </w:t>
      </w:r>
    </w:p>
    <w:p w:rsidR="00BA26D3" w:rsidRDefault="001606CF" w:rsidP="001606C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همچنین </w:t>
      </w:r>
      <w:r w:rsidR="006149BB">
        <w:rPr>
          <w:rFonts w:cs="B Mitra" w:hint="cs"/>
          <w:sz w:val="28"/>
          <w:szCs w:val="28"/>
          <w:rtl/>
          <w:lang w:bidi="fa-IR"/>
        </w:rPr>
        <w:t xml:space="preserve">از زاویه دیگر این ویژگی بر عصمت آن حضرت </w:t>
      </w:r>
      <w:r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6149BB">
        <w:rPr>
          <w:rFonts w:cs="B Mitra" w:hint="cs"/>
          <w:sz w:val="28"/>
          <w:szCs w:val="28"/>
          <w:rtl/>
          <w:lang w:bidi="fa-IR"/>
        </w:rPr>
        <w:t>دلالت می کند</w:t>
      </w:r>
      <w:r>
        <w:rPr>
          <w:rFonts w:cs="B Mitra" w:hint="cs"/>
          <w:sz w:val="28"/>
          <w:szCs w:val="28"/>
          <w:rtl/>
          <w:lang w:bidi="fa-IR"/>
        </w:rPr>
        <w:t>،</w:t>
      </w:r>
      <w:r w:rsidR="006149BB">
        <w:rPr>
          <w:rFonts w:cs="B Mitra" w:hint="cs"/>
          <w:sz w:val="28"/>
          <w:szCs w:val="28"/>
          <w:rtl/>
          <w:lang w:bidi="fa-IR"/>
        </w:rPr>
        <w:t xml:space="preserve"> زیرا اگر </w:t>
      </w:r>
      <w:proofErr w:type="spellStart"/>
      <w:r w:rsidR="006149BB">
        <w:rPr>
          <w:rFonts w:cs="B Mitra" w:hint="cs"/>
          <w:sz w:val="28"/>
          <w:szCs w:val="28"/>
          <w:rtl/>
          <w:lang w:bidi="fa-IR"/>
        </w:rPr>
        <w:t>مصونتی</w:t>
      </w:r>
      <w:proofErr w:type="spellEnd"/>
      <w:r w:rsidR="006149BB">
        <w:rPr>
          <w:rFonts w:cs="B Mitra" w:hint="cs"/>
          <w:sz w:val="28"/>
          <w:szCs w:val="28"/>
          <w:rtl/>
          <w:lang w:bidi="fa-IR"/>
        </w:rPr>
        <w:t xml:space="preserve"> از آنچه برخلاف رضای خداوند است </w:t>
      </w:r>
      <w:r>
        <w:rPr>
          <w:rFonts w:cs="B Mitra" w:hint="cs"/>
          <w:sz w:val="28"/>
          <w:szCs w:val="28"/>
          <w:rtl/>
          <w:lang w:bidi="fa-IR"/>
        </w:rPr>
        <w:t xml:space="preserve">در اینجا وجود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داشت، معنا برای او به صورت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ثابت نبود. اکنون با اثبات عصمت می گوییم که </w:t>
      </w:r>
      <w:r w:rsidR="006149BB">
        <w:rPr>
          <w:rFonts w:cs="B Mitra" w:hint="cs"/>
          <w:sz w:val="28"/>
          <w:szCs w:val="28"/>
          <w:rtl/>
          <w:lang w:bidi="fa-IR"/>
        </w:rPr>
        <w:t xml:space="preserve">عصمت نیز از شرایط </w:t>
      </w:r>
      <w:proofErr w:type="spellStart"/>
      <w:r w:rsidR="006149BB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6149BB">
        <w:rPr>
          <w:rFonts w:cs="B Mitra" w:hint="cs"/>
          <w:sz w:val="28"/>
          <w:szCs w:val="28"/>
          <w:rtl/>
          <w:lang w:bidi="fa-IR"/>
        </w:rPr>
        <w:t xml:space="preserve"> است.</w:t>
      </w:r>
      <w:r w:rsidR="00452A19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451023" w:rsidRPr="005F2074" w:rsidRDefault="00451023" w:rsidP="0045102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«</w:t>
      </w:r>
      <w:r w:rsidRPr="00451023">
        <w:rPr>
          <w:rFonts w:cs="B Mitra" w:hint="cs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و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الويل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r w:rsidRPr="004F0C82">
        <w:rPr>
          <w:rFonts w:cs="B Mitra" w:hint="cs"/>
          <w:sz w:val="28"/>
          <w:szCs w:val="28"/>
          <w:rtl/>
          <w:lang w:bidi="fa-IR"/>
        </w:rPr>
        <w:t>لمن</w:t>
      </w:r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أبغضك</w:t>
      </w:r>
      <w:proofErr w:type="spellEnd"/>
      <w:r w:rsidRPr="004F0C8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F0C82">
        <w:rPr>
          <w:rFonts w:cs="B Mitra" w:hint="cs"/>
          <w:sz w:val="28"/>
          <w:szCs w:val="28"/>
          <w:rtl/>
          <w:lang w:bidi="fa-IR"/>
        </w:rPr>
        <w:t>بعدي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</w:p>
    <w:p w:rsidR="005F2074" w:rsidRDefault="006149BB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ویل کلمه ای است که بیان گر شدت ناپسند بودن عمل است. پیامبر اکرم (ص) </w:t>
      </w:r>
      <w:r w:rsidR="00C42E48">
        <w:rPr>
          <w:rFonts w:cs="B Mitra" w:hint="cs"/>
          <w:sz w:val="28"/>
          <w:szCs w:val="28"/>
          <w:rtl/>
          <w:lang w:bidi="fa-IR"/>
        </w:rPr>
        <w:t xml:space="preserve">با این تعبیر </w:t>
      </w:r>
      <w:r>
        <w:rPr>
          <w:rFonts w:cs="B Mitra" w:hint="cs"/>
          <w:sz w:val="28"/>
          <w:szCs w:val="28"/>
          <w:rtl/>
          <w:lang w:bidi="fa-IR"/>
        </w:rPr>
        <w:t xml:space="preserve">افراد را از اینکه نسبت به امیرالمومنین (ع) خشم و غضب داشته باشد برحذر داشته است. این جمله مشعر به این است که آن حضرت بعد از پیامبر (ص) در جایگاه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رهبری امت اسلامی قرار داشتند و ممکن بود افرادی به خاطر حسادت بر آن حضرت غضب کنند. خصوصا اینکه اگر کلمه «بعدی» را به معنای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رتبی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بدانیم یا اعم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رتبی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زمانی </w:t>
      </w:r>
      <w:r w:rsidR="00754D3B">
        <w:rPr>
          <w:rFonts w:cs="B Mitra" w:hint="cs"/>
          <w:sz w:val="28"/>
          <w:szCs w:val="28"/>
          <w:rtl/>
          <w:lang w:bidi="fa-IR"/>
        </w:rPr>
        <w:t xml:space="preserve">بدانیم در این صورت دلالت آن بر مساله </w:t>
      </w:r>
      <w:proofErr w:type="spellStart"/>
      <w:r w:rsidR="00754D3B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754D3B">
        <w:rPr>
          <w:rFonts w:cs="B Mitra" w:hint="cs"/>
          <w:sz w:val="28"/>
          <w:szCs w:val="28"/>
          <w:rtl/>
          <w:lang w:bidi="fa-IR"/>
        </w:rPr>
        <w:t xml:space="preserve"> و رهبری روشن تر خواهد بود. </w:t>
      </w:r>
    </w:p>
    <w:p w:rsidR="00754D3B" w:rsidRPr="005F2074" w:rsidRDefault="00754D3B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حاصل اینکه با توجه به جهات مختلفی که درباره بخش های این روایت بیان شد، دلالت این روایت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امیرالمومنین (ع) روشن است و می تواند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مویدات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آیه ولایت به شمار آید. </w:t>
      </w:r>
    </w:p>
    <w:p w:rsidR="005F2074" w:rsidRPr="005F2074" w:rsidRDefault="00754D3B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ادامه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 بحث را در گفتار آینده دنبال کنید.</w:t>
      </w:r>
    </w:p>
    <w:p w:rsidR="005F2074" w:rsidRPr="00981DD2" w:rsidRDefault="005F2074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B93" w:rsidRDefault="00E70B93" w:rsidP="00BC6EBB">
      <w:pPr>
        <w:spacing w:after="0" w:line="240" w:lineRule="auto"/>
      </w:pPr>
      <w:r>
        <w:separator/>
      </w:r>
    </w:p>
  </w:endnote>
  <w:endnote w:type="continuationSeparator" w:id="0">
    <w:p w:rsidR="00E70B93" w:rsidRDefault="00E70B9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B93" w:rsidRDefault="00E70B93" w:rsidP="00BC6EBB">
      <w:pPr>
        <w:spacing w:after="0" w:line="240" w:lineRule="auto"/>
      </w:pPr>
      <w:r>
        <w:separator/>
      </w:r>
    </w:p>
  </w:footnote>
  <w:footnote w:type="continuationSeparator" w:id="0">
    <w:p w:rsidR="00E70B93" w:rsidRDefault="00E70B93" w:rsidP="00BC6EBB">
      <w:pPr>
        <w:spacing w:after="0" w:line="240" w:lineRule="auto"/>
      </w:pPr>
      <w:r>
        <w:continuationSeparator/>
      </w:r>
    </w:p>
  </w:footnote>
  <w:footnote w:id="1">
    <w:p w:rsidR="005614E0" w:rsidRDefault="005614E0" w:rsidP="005614E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337</w:t>
      </w:r>
    </w:p>
  </w:footnote>
  <w:footnote w:id="2">
    <w:p w:rsidR="00451023" w:rsidRDefault="0045102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النهایه</w:t>
      </w:r>
      <w:proofErr w:type="spellEnd"/>
      <w:r>
        <w:rPr>
          <w:rFonts w:hint="cs"/>
          <w:rtl/>
          <w:lang w:bidi="fa-IR"/>
        </w:rPr>
        <w:t xml:space="preserve"> فی غریب </w:t>
      </w:r>
      <w:proofErr w:type="spellStart"/>
      <w:r>
        <w:rPr>
          <w:rFonts w:hint="cs"/>
          <w:rtl/>
          <w:lang w:bidi="fa-IR"/>
        </w:rPr>
        <w:t>الحدیث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الاثر</w:t>
      </w:r>
      <w:proofErr w:type="spellEnd"/>
      <w:r>
        <w:rPr>
          <w:rFonts w:hint="cs"/>
          <w:rtl/>
          <w:lang w:bidi="fa-IR"/>
        </w:rPr>
        <w:t xml:space="preserve">، ابن اثیر، ج2، ص 418 ؛ </w:t>
      </w:r>
      <w:proofErr w:type="spellStart"/>
      <w:r>
        <w:rPr>
          <w:rFonts w:hint="cs"/>
          <w:rtl/>
          <w:lang w:bidi="fa-IR"/>
        </w:rPr>
        <w:t>المعجم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الوسیط</w:t>
      </w:r>
      <w:proofErr w:type="spellEnd"/>
      <w:r>
        <w:rPr>
          <w:rFonts w:hint="cs"/>
          <w:rtl/>
          <w:lang w:bidi="fa-IR"/>
        </w:rPr>
        <w:t>، ص 461</w:t>
      </w:r>
    </w:p>
  </w:footnote>
  <w:footnote w:id="3">
    <w:p w:rsidR="001576A2" w:rsidRDefault="001576A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یوسف، آیه 25</w:t>
      </w:r>
    </w:p>
  </w:footnote>
  <w:footnote w:id="4">
    <w:p w:rsidR="001576A2" w:rsidRDefault="001576A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احزاب، آیه 67</w:t>
      </w:r>
    </w:p>
  </w:footnote>
  <w:footnote w:id="5">
    <w:p w:rsidR="001576A2" w:rsidRDefault="001576A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المفردات</w:t>
      </w:r>
      <w:proofErr w:type="spellEnd"/>
      <w:r>
        <w:rPr>
          <w:rFonts w:hint="cs"/>
          <w:rtl/>
          <w:lang w:bidi="fa-IR"/>
        </w:rPr>
        <w:t>، راغب اصفهانی، ص 247</w:t>
      </w:r>
    </w:p>
  </w:footnote>
  <w:footnote w:id="6">
    <w:p w:rsidR="001576A2" w:rsidRDefault="001576A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معجم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المقاییس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اللغه</w:t>
      </w:r>
      <w:proofErr w:type="spellEnd"/>
      <w:r>
        <w:rPr>
          <w:rFonts w:hint="cs"/>
          <w:rtl/>
          <w:lang w:bidi="fa-IR"/>
        </w:rPr>
        <w:t>، ابن فارس، ص 497</w:t>
      </w:r>
    </w:p>
  </w:footnote>
  <w:footnote w:id="7">
    <w:p w:rsidR="001576A2" w:rsidRDefault="001576A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النهایه</w:t>
      </w:r>
      <w:proofErr w:type="spellEnd"/>
      <w:r>
        <w:rPr>
          <w:rFonts w:hint="cs"/>
          <w:rtl/>
          <w:lang w:bidi="fa-IR"/>
        </w:rPr>
        <w:t>، ابن اثیر، ج2، ص 407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0943D0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0943D0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0943D0">
      <w:rPr>
        <w:rFonts w:ascii="Tahoma" w:hAnsi="Tahoma" w:cs="Traditional Arabic" w:hint="cs"/>
        <w:sz w:val="28"/>
        <w:szCs w:val="28"/>
        <w:rtl/>
        <w:lang w:bidi="fa-IR"/>
      </w:rPr>
      <w:t>24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39E4"/>
    <w:rsid w:val="00085804"/>
    <w:rsid w:val="00090F00"/>
    <w:rsid w:val="00091B01"/>
    <w:rsid w:val="00092A91"/>
    <w:rsid w:val="000940C9"/>
    <w:rsid w:val="000943D0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0BC8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2"/>
    <w:rsid w:val="001576A6"/>
    <w:rsid w:val="001606CF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C1185"/>
    <w:rsid w:val="001C1950"/>
    <w:rsid w:val="001C2FAF"/>
    <w:rsid w:val="001C3086"/>
    <w:rsid w:val="001C6744"/>
    <w:rsid w:val="001D384B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1023"/>
    <w:rsid w:val="00452A19"/>
    <w:rsid w:val="00453FAA"/>
    <w:rsid w:val="0045551E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14E0"/>
    <w:rsid w:val="0056438B"/>
    <w:rsid w:val="00564CE6"/>
    <w:rsid w:val="00565371"/>
    <w:rsid w:val="00566178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49BB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136C0"/>
    <w:rsid w:val="0072520D"/>
    <w:rsid w:val="00731208"/>
    <w:rsid w:val="00731230"/>
    <w:rsid w:val="00734378"/>
    <w:rsid w:val="0073515E"/>
    <w:rsid w:val="00751BE4"/>
    <w:rsid w:val="00751F29"/>
    <w:rsid w:val="007523F3"/>
    <w:rsid w:val="00753E95"/>
    <w:rsid w:val="00754814"/>
    <w:rsid w:val="00754D3B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D9D"/>
    <w:rsid w:val="008E20E3"/>
    <w:rsid w:val="008E66BC"/>
    <w:rsid w:val="008F1178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318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E1E66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3E20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4FDC"/>
    <w:rsid w:val="00B55684"/>
    <w:rsid w:val="00B556E3"/>
    <w:rsid w:val="00B642BF"/>
    <w:rsid w:val="00B64524"/>
    <w:rsid w:val="00B649FB"/>
    <w:rsid w:val="00B65902"/>
    <w:rsid w:val="00B65D49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6D3"/>
    <w:rsid w:val="00BA4318"/>
    <w:rsid w:val="00BA4DD6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4FFC"/>
    <w:rsid w:val="00C27085"/>
    <w:rsid w:val="00C3793E"/>
    <w:rsid w:val="00C4062E"/>
    <w:rsid w:val="00C41A4D"/>
    <w:rsid w:val="00C42E48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0B93"/>
    <w:rsid w:val="00E7354B"/>
    <w:rsid w:val="00E73A9D"/>
    <w:rsid w:val="00E742A7"/>
    <w:rsid w:val="00E747B5"/>
    <w:rsid w:val="00E75EA0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BD49ED-4F8B-4FCD-AFE6-2A5D12EB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2021-01-13T16:05:00Z</dcterms:created>
  <dcterms:modified xsi:type="dcterms:W3CDTF">2021-01-13T19:17:00Z</dcterms:modified>
</cp:coreProperties>
</file>