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9D748E" w:rsidRDefault="00796EE5" w:rsidP="00870E77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حدیث 3</w:t>
      </w:r>
      <w:r w:rsidR="00870E77">
        <w:rPr>
          <w:rFonts w:cs="B Mitra" w:hint="cs"/>
          <w:color w:val="FF0000"/>
          <w:sz w:val="28"/>
          <w:szCs w:val="28"/>
          <w:rtl/>
          <w:lang w:bidi="fa-IR"/>
        </w:rPr>
        <w:t>4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از مراجعه 48 </w:t>
      </w:r>
    </w:p>
    <w:p w:rsidR="00870E77" w:rsidRDefault="00870E77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حدیث 34 از مراجعه 48 پیامبر اکرم (ص) فرمودند: هر کس می خواهد به نوح (ع) بنگرد در عزم و اراده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به آدم (ع) بنگرد در علم و دانش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به ابراهیم (ع) بنگرد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حلمش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به موسی (ع) بنگرد در اقتدار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صلابتش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به عیسی (ع) بنگرد در زهد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عبادتش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به علی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(ع) بنگرد.</w:t>
      </w:r>
    </w:p>
    <w:p w:rsidR="003D1CEC" w:rsidRDefault="00870E77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روایت و روایت های مشابه آن به روایات تشبیه معروف هستند، از جهت متن و موارد تشبیه متفاوت </w:t>
      </w:r>
      <w:proofErr w:type="spellStart"/>
      <w:r w:rsidR="00483F5B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 منشا این تفاوت ها می تواند بیان آن در زمان ها و مکان های مختلف و افراد گوناگون باشد.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 و چون آنچه بیان شده ناسازگاری با هم ندارد، </w:t>
      </w:r>
      <w:r>
        <w:rPr>
          <w:rFonts w:cs="B Mitra" w:hint="cs"/>
          <w:sz w:val="28"/>
          <w:szCs w:val="28"/>
          <w:rtl/>
          <w:lang w:bidi="fa-IR"/>
        </w:rPr>
        <w:t xml:space="preserve">این تفاوت ها موجب اضطراب متن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</w:t>
      </w:r>
      <w:r w:rsidR="00483F5B">
        <w:rPr>
          <w:rFonts w:cs="B Mitra" w:hint="cs"/>
          <w:sz w:val="28"/>
          <w:szCs w:val="28"/>
          <w:rtl/>
          <w:lang w:bidi="fa-IR"/>
        </w:rPr>
        <w:t>می</w:t>
      </w:r>
      <w:proofErr w:type="spellEnd"/>
      <w:r w:rsidR="00483F5B">
        <w:rPr>
          <w:rFonts w:cs="B Mitra" w:hint="cs"/>
          <w:sz w:val="28"/>
          <w:szCs w:val="28"/>
          <w:rtl/>
          <w:lang w:bidi="fa-IR"/>
        </w:rPr>
        <w:t xml:space="preserve"> شود و </w:t>
      </w:r>
      <w:r>
        <w:rPr>
          <w:rFonts w:cs="B Mitra" w:hint="cs"/>
          <w:sz w:val="28"/>
          <w:szCs w:val="28"/>
          <w:rtl/>
          <w:lang w:bidi="fa-IR"/>
        </w:rPr>
        <w:t xml:space="preserve">احتمال بیان شده برای اثبات آن کافی است. گرچه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قرائن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شواهد</w:t>
      </w:r>
      <w:r w:rsidR="00483F5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نشان دهنده آن است که این روایت در زمان های گوناگون و جمع های مختلف از صحابه مطرح شده است. </w:t>
      </w:r>
    </w:p>
    <w:p w:rsidR="003D1CEC" w:rsidRDefault="003D1CEC" w:rsidP="00870E7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دیگر اینکه این روایت توسط تعدادی از صحابه مانند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ابوالحمراء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ابن عباس، ابن مسعود، انس بن مالک، جابر بن عبدالله انصاری، ابوذر غفاری،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ابوهریره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سلمه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قیس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امام حسین (ع) نقل شده است. </w:t>
      </w:r>
    </w:p>
    <w:p w:rsidR="003D1CEC" w:rsidRDefault="003D1CEC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حدیث مورد توجه عالمان اسلامی اعم از شیعه و اهل سنت قرار گرفته و در طول قرن ها نقل شده است. تعدادی از عالمان اهل سنت که این حدیث را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از این قرار است: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96EE5" w:rsidRDefault="00A00F20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</w:t>
      </w:r>
      <w:r w:rsidR="003D1CEC">
        <w:rPr>
          <w:rFonts w:cs="B Mitra" w:hint="cs"/>
          <w:sz w:val="28"/>
          <w:szCs w:val="28"/>
          <w:rtl/>
          <w:lang w:bidi="fa-IR"/>
        </w:rPr>
        <w:t xml:space="preserve">احمد بن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(م 240 هـ)، این مطلب را شمس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سمرقندی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، مولف کتاب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الصحائف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فی علم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الکلام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، از احمد بن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بیهقی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نقل کرده 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و چنین گفته </w:t>
      </w:r>
      <w:r w:rsidR="003D1CEC">
        <w:rPr>
          <w:rFonts w:cs="B Mitra" w:hint="cs"/>
          <w:sz w:val="28"/>
          <w:szCs w:val="28"/>
          <w:rtl/>
          <w:lang w:bidi="fa-IR"/>
        </w:rPr>
        <w:t>است</w:t>
      </w:r>
      <w:r w:rsidR="00483F5B">
        <w:rPr>
          <w:rFonts w:cs="B Mitra" w:hint="cs"/>
          <w:sz w:val="28"/>
          <w:szCs w:val="28"/>
          <w:rtl/>
          <w:lang w:bidi="fa-IR"/>
        </w:rPr>
        <w:t>:</w:t>
      </w:r>
      <w:r w:rsidR="003D1CEC">
        <w:rPr>
          <w:rFonts w:cs="B Mitra" w:hint="cs"/>
          <w:sz w:val="28"/>
          <w:szCs w:val="28"/>
          <w:rtl/>
          <w:lang w:bidi="fa-IR"/>
        </w:rPr>
        <w:t xml:space="preserve"> «روا احمد و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البیهقی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فی فضائل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انه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قال(ص): من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اراد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ان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ینظر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الی آدم فی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علمه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الی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یوشع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تقواه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الی ابراهیم فی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حلمه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الی موسی فی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هیبته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الی عیسی فی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عبادته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فلنظر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الی وجه علی»</w:t>
      </w:r>
      <w:r w:rsidR="00483F5B">
        <w:rPr>
          <w:rFonts w:cs="B Mitra" w:hint="cs"/>
          <w:sz w:val="28"/>
          <w:szCs w:val="28"/>
          <w:rtl/>
          <w:lang w:bidi="fa-IR"/>
        </w:rPr>
        <w:t>.</w:t>
      </w:r>
      <w:r w:rsidR="003D1CEC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 w:rsidR="003D1CE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D1CEC" w:rsidRDefault="003D1CEC" w:rsidP="003D1CEC">
      <w:pPr>
        <w:spacing w:after="160" w:line="259" w:lineRule="auto"/>
        <w:jc w:val="both"/>
        <w:rPr>
          <w:rStyle w:val="FootnoteReference"/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همچنین ابن شهر آشوب مازندرانی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آل ابی طالب، این حدیث را از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و گفته </w:t>
      </w:r>
      <w:r>
        <w:rPr>
          <w:rFonts w:cs="B Mitra" w:hint="cs"/>
          <w:sz w:val="28"/>
          <w:szCs w:val="28"/>
          <w:rtl/>
          <w:lang w:bidi="fa-IR"/>
        </w:rPr>
        <w:t>است</w:t>
      </w:r>
      <w:r w:rsidR="00483F5B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عبد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الرزاق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معمر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زهری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عن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مصیب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ابوهریره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(ص) قال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اراد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ینظر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...»</w:t>
      </w:r>
      <w:r w:rsidR="00483F5B">
        <w:rPr>
          <w:rStyle w:val="FootnoteReference"/>
          <w:rFonts w:cs="B Mitra" w:hint="cs"/>
          <w:sz w:val="28"/>
          <w:szCs w:val="28"/>
          <w:rtl/>
          <w:lang w:bidi="fa-IR"/>
        </w:rPr>
        <w:t>.</w:t>
      </w:r>
      <w:r w:rsidRPr="003D1CEC">
        <w:rPr>
          <w:rStyle w:val="FootnoteReference"/>
          <w:rFonts w:cs="B Mitra"/>
          <w:sz w:val="28"/>
          <w:szCs w:val="28"/>
          <w:rtl/>
          <w:lang w:bidi="fa-IR"/>
        </w:rPr>
        <w:t xml:space="preserve">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</w:p>
    <w:p w:rsidR="003D1CEC" w:rsidRDefault="00483F5B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طبق آنچه بیان شد این اشکال که گفته شده </w:t>
      </w:r>
      <w:r w:rsidR="003D1CEC">
        <w:rPr>
          <w:rFonts w:cs="B Mitra" w:hint="cs"/>
          <w:sz w:val="28"/>
          <w:szCs w:val="28"/>
          <w:rtl/>
          <w:lang w:bidi="fa-IR"/>
        </w:rPr>
        <w:t xml:space="preserve">این حدیث در کتاب احمد بن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بیهقی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نیامده </w:t>
      </w:r>
      <w:r>
        <w:rPr>
          <w:rFonts w:cs="B Mitra" w:hint="cs"/>
          <w:sz w:val="28"/>
          <w:szCs w:val="28"/>
          <w:rtl/>
          <w:lang w:bidi="fa-IR"/>
        </w:rPr>
        <w:t xml:space="preserve">رفع می شود زیرا </w:t>
      </w:r>
      <w:r w:rsidR="003D1CEC">
        <w:rPr>
          <w:rFonts w:cs="B Mitra" w:hint="cs"/>
          <w:sz w:val="28"/>
          <w:szCs w:val="28"/>
          <w:rtl/>
          <w:lang w:bidi="fa-IR"/>
        </w:rPr>
        <w:t xml:space="preserve">سوال می شود این عالمان که آن را به احمد بن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بیهقی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نسبت داده </w:t>
      </w:r>
      <w:proofErr w:type="spellStart"/>
      <w:r w:rsidR="003D1CE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3D1CEC">
        <w:rPr>
          <w:rFonts w:cs="B Mitra" w:hint="cs"/>
          <w:sz w:val="28"/>
          <w:szCs w:val="28"/>
          <w:rtl/>
          <w:lang w:bidi="fa-IR"/>
        </w:rPr>
        <w:t xml:space="preserve"> </w:t>
      </w:r>
      <w:r w:rsidR="00A00F20">
        <w:rPr>
          <w:rFonts w:cs="B Mitra" w:hint="cs"/>
          <w:sz w:val="28"/>
          <w:szCs w:val="28"/>
          <w:rtl/>
          <w:lang w:bidi="fa-IR"/>
        </w:rPr>
        <w:t xml:space="preserve">چه داعی داشته </w:t>
      </w:r>
      <w:proofErr w:type="spellStart"/>
      <w:r w:rsidR="00A00F20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00F20">
        <w:rPr>
          <w:rFonts w:cs="B Mitra" w:hint="cs"/>
          <w:sz w:val="28"/>
          <w:szCs w:val="28"/>
          <w:rtl/>
          <w:lang w:bidi="fa-IR"/>
        </w:rPr>
        <w:t xml:space="preserve"> که آن را بسازند</w:t>
      </w:r>
      <w:r>
        <w:rPr>
          <w:rFonts w:cs="B Mitra" w:hint="cs"/>
          <w:sz w:val="28"/>
          <w:szCs w:val="28"/>
          <w:rtl/>
          <w:lang w:bidi="fa-IR"/>
        </w:rPr>
        <w:t>؟</w:t>
      </w:r>
      <w:r w:rsidR="00A00F20">
        <w:rPr>
          <w:rFonts w:cs="B Mitra" w:hint="cs"/>
          <w:sz w:val="28"/>
          <w:szCs w:val="28"/>
          <w:rtl/>
          <w:lang w:bidi="fa-IR"/>
        </w:rPr>
        <w:t xml:space="preserve"> بنابرین نبود </w:t>
      </w:r>
      <w:r>
        <w:rPr>
          <w:rFonts w:cs="B Mitra" w:hint="cs"/>
          <w:sz w:val="28"/>
          <w:szCs w:val="28"/>
          <w:rtl/>
          <w:lang w:bidi="fa-IR"/>
        </w:rPr>
        <w:t xml:space="preserve">این حدیث در این دو کتاب </w:t>
      </w:r>
      <w:r w:rsidR="00A00F20">
        <w:rPr>
          <w:rFonts w:cs="B Mitra" w:hint="cs"/>
          <w:sz w:val="28"/>
          <w:szCs w:val="28"/>
          <w:rtl/>
          <w:lang w:bidi="fa-IR"/>
        </w:rPr>
        <w:t xml:space="preserve">دلیل بر </w:t>
      </w:r>
      <w:r>
        <w:rPr>
          <w:rFonts w:cs="B Mitra" w:hint="cs"/>
          <w:sz w:val="28"/>
          <w:szCs w:val="28"/>
          <w:rtl/>
          <w:lang w:bidi="fa-IR"/>
        </w:rPr>
        <w:t xml:space="preserve">نبود آن در اصل کتاب نیست زیرا </w:t>
      </w:r>
      <w:r w:rsidR="00A00F20">
        <w:rPr>
          <w:rFonts w:cs="B Mitra" w:hint="cs"/>
          <w:sz w:val="28"/>
          <w:szCs w:val="28"/>
          <w:rtl/>
          <w:lang w:bidi="fa-IR"/>
        </w:rPr>
        <w:t xml:space="preserve">ممکن است به هر دلیلی از کتاب آنها افتاده باشد. </w:t>
      </w:r>
    </w:p>
    <w:p w:rsidR="00A00F20" w:rsidRPr="00796EE5" w:rsidRDefault="00A00F20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حاتم (م 277 هـ)، ابن مطلب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ابومحمد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عاصمی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زین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که تفسیر سوره هل اتی است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9D748E" w:rsidRDefault="00A00F20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A00F20">
        <w:rPr>
          <w:rFonts w:cs="B Mitra" w:hint="cs"/>
          <w:sz w:val="28"/>
          <w:szCs w:val="28"/>
          <w:rtl/>
          <w:lang w:bidi="fa-IR"/>
        </w:rPr>
        <w:lastRenderedPageBreak/>
        <w:t xml:space="preserve">3. </w:t>
      </w:r>
      <w:proofErr w:type="spellStart"/>
      <w:r w:rsidRPr="00A00F20">
        <w:rPr>
          <w:rFonts w:cs="B Mitra" w:hint="cs"/>
          <w:sz w:val="28"/>
          <w:szCs w:val="28"/>
          <w:rtl/>
          <w:lang w:bidi="fa-IR"/>
        </w:rPr>
        <w:t>ابوحفص</w:t>
      </w:r>
      <w:proofErr w:type="spellEnd"/>
      <w:r w:rsidRPr="00A00F20">
        <w:rPr>
          <w:rFonts w:cs="B Mitra" w:hint="cs"/>
          <w:sz w:val="28"/>
          <w:szCs w:val="28"/>
          <w:rtl/>
          <w:lang w:bidi="fa-IR"/>
        </w:rPr>
        <w:t xml:space="preserve"> عمر بن احمد بن عثمان (م 384 ) وی این سعید را از ابوسعید </w:t>
      </w:r>
      <w:proofErr w:type="spellStart"/>
      <w:r w:rsidRPr="00A00F20">
        <w:rPr>
          <w:rFonts w:cs="B Mitra" w:hint="cs"/>
          <w:sz w:val="28"/>
          <w:szCs w:val="28"/>
          <w:rtl/>
          <w:lang w:bidi="fa-IR"/>
        </w:rPr>
        <w:t>خدری</w:t>
      </w:r>
      <w:proofErr w:type="spellEnd"/>
      <w:r w:rsidRPr="00A00F2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A00F20">
        <w:rPr>
          <w:rFonts w:cs="B Mitra" w:hint="cs"/>
          <w:sz w:val="28"/>
          <w:szCs w:val="28"/>
          <w:rtl/>
          <w:lang w:bidi="fa-IR"/>
        </w:rPr>
        <w:t>روایت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A00F20" w:rsidRDefault="00A00F20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4.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ابوعبدالله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عبیدالله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محمد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حمدان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اکبری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علمان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حنابله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387). روایت وی را حافظ گنجی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کفایه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A00F20" w:rsidRDefault="00A00F20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5. حاکم نیشابوری (م 405) در کتاب تاریخ نیشابور این روایت را نقل کره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</w:p>
    <w:p w:rsidR="00A00F20" w:rsidRDefault="00A00F20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6. حافظ ابوبکر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مردویه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اصفهانی (م 410) . روایت او را خطیب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خوارزمی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A00F20" w:rsidRDefault="00A00F20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7.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ابونعیم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اصفهانی ( م 430) در کتاب فضائل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این مطلب را محمد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صدرالعالم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معارج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الاولی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وی نقل کره است.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A00F20" w:rsidRDefault="00A00F20" w:rsidP="007126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8. حافظ احمد بن محمد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بیهقی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458) در کتاب فضائل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الصحابه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 آن را نقل کرده است. شمس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سمرقندی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، خطیب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خوارزمی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، محمد بن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طلحه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 xml:space="preserve"> و ابن صباغ مالکی این روایت را از کتاب وی نقل کرده </w:t>
      </w:r>
      <w:proofErr w:type="spellStart"/>
      <w:r w:rsidR="00712642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712642">
        <w:rPr>
          <w:rFonts w:cs="B Mitra" w:hint="cs"/>
          <w:sz w:val="28"/>
          <w:szCs w:val="28"/>
          <w:rtl/>
          <w:lang w:bidi="fa-IR"/>
        </w:rPr>
        <w:t>.</w:t>
      </w:r>
      <w:r w:rsidR="00712642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</w:p>
    <w:p w:rsidR="00A00F20" w:rsidRDefault="00712642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9. حافظ ابوالحسن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المغازلی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483)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(ع)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این روایت را نقل کرده است. </w:t>
      </w:r>
    </w:p>
    <w:p w:rsidR="00A00F20" w:rsidRDefault="00712642" w:rsidP="0071264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10. حاکم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حسکانی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(قرن پنجم) در کتاب شواهد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التنزیل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>
        <w:rPr>
          <w:rFonts w:cs="B Mitra" w:hint="cs"/>
          <w:sz w:val="28"/>
          <w:szCs w:val="28"/>
          <w:rtl/>
          <w:lang w:bidi="fa-IR"/>
        </w:rPr>
        <w:t xml:space="preserve"> آن را نقل کرده است. </w:t>
      </w:r>
    </w:p>
    <w:p w:rsidR="00A00F20" w:rsidRDefault="00712642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11. </w:t>
      </w:r>
      <w:proofErr w:type="spellStart"/>
      <w:r w:rsidR="00F003CF">
        <w:rPr>
          <w:rFonts w:cs="B Mitra" w:hint="cs"/>
          <w:sz w:val="28"/>
          <w:szCs w:val="28"/>
          <w:rtl/>
          <w:lang w:bidi="fa-IR"/>
        </w:rPr>
        <w:t>شیرویه</w:t>
      </w:r>
      <w:proofErr w:type="spellEnd"/>
      <w:r w:rsidR="00F003CF">
        <w:rPr>
          <w:rFonts w:cs="B Mitra" w:hint="cs"/>
          <w:sz w:val="28"/>
          <w:szCs w:val="28"/>
          <w:rtl/>
          <w:lang w:bidi="fa-IR"/>
        </w:rPr>
        <w:t xml:space="preserve"> بن شهردار دیلمی (م 509) در کتاب فردوس </w:t>
      </w:r>
      <w:proofErr w:type="spellStart"/>
      <w:r w:rsidR="00F003CF">
        <w:rPr>
          <w:rFonts w:cs="B Mitra" w:hint="cs"/>
          <w:sz w:val="28"/>
          <w:szCs w:val="28"/>
          <w:rtl/>
          <w:lang w:bidi="fa-IR"/>
        </w:rPr>
        <w:t>الاخبار</w:t>
      </w:r>
      <w:proofErr w:type="spellEnd"/>
    </w:p>
    <w:p w:rsidR="00F003CF" w:rsidRDefault="00F003CF" w:rsidP="00F003C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12. احمد بن محمد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عاصمی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زین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الفتی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</w:p>
    <w:p w:rsidR="00F003CF" w:rsidRDefault="00F003CF" w:rsidP="00F003CF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13. شهردار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شیرویه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558) وی کتاب فردوس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الاخبار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مسند کرده و آن را مسند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الفردوس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نامیده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</w:p>
    <w:p w:rsidR="00F003CF" w:rsidRDefault="002F2E2B" w:rsidP="005364C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14. خطیب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خوارزمی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568)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دو طریق این روایت را نقل کرده است. </w:t>
      </w:r>
    </w:p>
    <w:p w:rsidR="00F003CF" w:rsidRDefault="002F2E2B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15.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ابوالخیر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حاکمی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القزوینی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 م 590). محب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طبری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الریاض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النضره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زخائر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العقبی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روایت را از وی نقل کرده است.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4"/>
      </w:r>
    </w:p>
    <w:p w:rsidR="00A00F20" w:rsidRDefault="002F2E2B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16. عمر بن محمد بن خزر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الاربلی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570) در کتاب وسیله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المتعبدین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5"/>
      </w:r>
    </w:p>
    <w:p w:rsidR="002F2E2B" w:rsidRDefault="002F2E2B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17.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عبدالحمید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هبه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ابن ابی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معتزلی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(م 655) در شرح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نهج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البلاغه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حدیث تشبیه را از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بیهقی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6"/>
      </w:r>
    </w:p>
    <w:p w:rsidR="002F2E2B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18. فخرالدین رازی (م 606)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التفسیر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الکبیر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7"/>
      </w:r>
    </w:p>
    <w:p w:rsidR="002F2E2B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19. ابوحامد محمود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صالحانی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. شهاب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احمد در کتاب توضیح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الدلائل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او نقل کرده است. </w:t>
      </w:r>
    </w:p>
    <w:p w:rsidR="005364C4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20. محمد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طلحه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در کتاب مطالب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السئول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8"/>
      </w:r>
    </w:p>
    <w:p w:rsidR="002F2E2B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21. حافظ گنجی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کفایه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ص 121 </w:t>
      </w:r>
    </w:p>
    <w:p w:rsidR="005364C4" w:rsidRDefault="005364C4" w:rsidP="005364C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22. محب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طبری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الریاض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النضره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ذخائر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العقبی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نقل کرده است.</w:t>
      </w:r>
    </w:p>
    <w:p w:rsidR="005364C4" w:rsidRDefault="005364C4" w:rsidP="005364C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23. سید علی همدانی (م 886)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القربی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نقل کرده است. 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9"/>
      </w:r>
    </w:p>
    <w:p w:rsidR="002F2E2B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24. قاضی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عضدالدین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ایجی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المواقف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علم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الکلام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0"/>
      </w:r>
    </w:p>
    <w:p w:rsidR="005364C4" w:rsidRDefault="005364C4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25. سعد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تفتازانی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در کتاب شرح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المقاصد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1"/>
      </w:r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26. سیف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آمدی، در کتاب ابکار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الافکار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2"/>
      </w:r>
    </w:p>
    <w:p w:rsidR="002F2E2B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این افرادی که نام برده شد برخی این حدیث را در کتاب خویش نقل کرده و نقد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اما نقد آنها متوجه متن بوده و از جهت سند اشکالی نگرفته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27. حافظ ابراهیم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جوینی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خراسانی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فرائد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السمطین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3"/>
      </w:r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28. شهاب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احد در کتاب توضیح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الدلائل</w:t>
      </w:r>
      <w:proofErr w:type="spellEnd"/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29. شهاب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دولت آبادی در کتاب هدیه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السعداء</w:t>
      </w:r>
      <w:proofErr w:type="spellEnd"/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30. ابن صباغ مالکی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الفصول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المهمه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4"/>
      </w:r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31. ابراهیم بن عبدالله یمانی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اسنی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32.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باکسی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33.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میراز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بدخشانی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مفتاح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النجاح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34. شیخ محمد صدر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العالم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معارح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الاولی</w:t>
      </w:r>
      <w:proofErr w:type="spellEnd"/>
    </w:p>
    <w:p w:rsidR="00354AFE" w:rsidRDefault="00354AFE" w:rsidP="00A00F2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35.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الروضه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الندیه</w:t>
      </w:r>
      <w:proofErr w:type="spellEnd"/>
    </w:p>
    <w:p w:rsidR="00354AFE" w:rsidRDefault="00354AFE" w:rsidP="00354AF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36. شهاب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عجیلی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شافعی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ذخیره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المعاد</w:t>
      </w:r>
      <w:proofErr w:type="spellEnd"/>
    </w:p>
    <w:p w:rsidR="00354AFE" w:rsidRDefault="00354AFE" w:rsidP="00354AF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37. مولوی ولی الله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لکهوی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مرآه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المومنین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54AFE" w:rsidRDefault="00354AFE" w:rsidP="00354AF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38.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قندوزی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حنفی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ینابیع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ص 144 و 300</w:t>
      </w:r>
    </w:p>
    <w:p w:rsidR="00354AFE" w:rsidRDefault="00354AFE" w:rsidP="00354AF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39. احمد بن صدیق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غماری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فتح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الملک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، ص 166</w:t>
      </w:r>
    </w:p>
    <w:p w:rsidR="00354AFE" w:rsidRDefault="00354AFE" w:rsidP="00483F5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عالمان اهل سنت حدیث تشبیه را در کتاب های خود نقل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برخی از اینان 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تنها </w:t>
      </w:r>
      <w:r>
        <w:rPr>
          <w:rFonts w:cs="B Mitra" w:hint="cs"/>
          <w:sz w:val="28"/>
          <w:szCs w:val="28"/>
          <w:rtl/>
          <w:lang w:bidi="fa-IR"/>
        </w:rPr>
        <w:t xml:space="preserve">حدیث را نقل کرده و درباره سند آن سخنی نگفته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483F5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البته برای بیان فضائل امیرالمومنین (ع) </w:t>
      </w:r>
      <w:r w:rsidR="00483F5B">
        <w:rPr>
          <w:rFonts w:cs="B Mitra" w:hint="cs"/>
          <w:sz w:val="28"/>
          <w:szCs w:val="28"/>
          <w:rtl/>
          <w:lang w:bidi="fa-IR"/>
        </w:rPr>
        <w:t xml:space="preserve">نیز به آن استناد </w:t>
      </w:r>
      <w:r>
        <w:rPr>
          <w:rFonts w:cs="B Mitra" w:hint="cs"/>
          <w:sz w:val="28"/>
          <w:szCs w:val="28"/>
          <w:rtl/>
          <w:lang w:bidi="fa-IR"/>
        </w:rPr>
        <w:t xml:space="preserve">نکرده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483F5B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عده ای دیگر این حدیث را به عنوان یکی از فضائل امیرالمومنین (ع) به شمار آورده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4730E" w:rsidRDefault="0094730E" w:rsidP="0094730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ادامه بحث انشاءالله در گفتار بعدی بیان می شود. 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9C0" w:rsidRDefault="008739C0" w:rsidP="00BC6EBB">
      <w:pPr>
        <w:spacing w:after="0" w:line="240" w:lineRule="auto"/>
      </w:pPr>
      <w:r>
        <w:separator/>
      </w:r>
    </w:p>
  </w:endnote>
  <w:endnote w:type="continuationSeparator" w:id="0">
    <w:p w:rsidR="008739C0" w:rsidRDefault="008739C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9C0" w:rsidRDefault="008739C0" w:rsidP="00BC6EBB">
      <w:pPr>
        <w:spacing w:after="0" w:line="240" w:lineRule="auto"/>
      </w:pPr>
      <w:r>
        <w:separator/>
      </w:r>
    </w:p>
  </w:footnote>
  <w:footnote w:type="continuationSeparator" w:id="0">
    <w:p w:rsidR="008739C0" w:rsidRDefault="008739C0" w:rsidP="00BC6EBB">
      <w:pPr>
        <w:spacing w:after="0" w:line="240" w:lineRule="auto"/>
      </w:pPr>
      <w:r>
        <w:continuationSeparator/>
      </w:r>
    </w:p>
  </w:footnote>
  <w:footnote w:id="1">
    <w:p w:rsidR="003D1CEC" w:rsidRDefault="003D1CE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شهاب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 xml:space="preserve"> دولت آبادی، هدایه </w:t>
      </w:r>
      <w:proofErr w:type="spellStart"/>
      <w:r>
        <w:rPr>
          <w:rFonts w:hint="cs"/>
          <w:rtl/>
          <w:lang w:bidi="fa-IR"/>
        </w:rPr>
        <w:t>السعدا</w:t>
      </w:r>
      <w:proofErr w:type="spellEnd"/>
      <w:r>
        <w:rPr>
          <w:rFonts w:hint="cs"/>
          <w:rtl/>
          <w:lang w:bidi="fa-IR"/>
        </w:rPr>
        <w:t xml:space="preserve">، از شمس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سمرقندی</w:t>
      </w:r>
      <w:proofErr w:type="spellEnd"/>
      <w:r>
        <w:rPr>
          <w:rFonts w:hint="cs"/>
          <w:rtl/>
          <w:lang w:bidi="fa-IR"/>
        </w:rPr>
        <w:t xml:space="preserve"> نقل کرده است. </w:t>
      </w:r>
    </w:p>
  </w:footnote>
  <w:footnote w:id="2">
    <w:p w:rsidR="003D1CEC" w:rsidRDefault="003D1CEC" w:rsidP="003D1CE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مناقب</w:t>
      </w:r>
      <w:proofErr w:type="spellEnd"/>
      <w:r>
        <w:rPr>
          <w:rFonts w:hint="cs"/>
          <w:rtl/>
          <w:lang w:bidi="fa-IR"/>
        </w:rPr>
        <w:t xml:space="preserve"> آل ابی طالب، ابن شهر آشوب، ج3، ص 264</w:t>
      </w:r>
    </w:p>
  </w:footnote>
  <w:footnote w:id="3">
    <w:p w:rsidR="00A00F20" w:rsidRDefault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نفحات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الازهار</w:t>
      </w:r>
      <w:proofErr w:type="spellEnd"/>
      <w:r>
        <w:rPr>
          <w:rFonts w:hint="cs"/>
          <w:rtl/>
          <w:lang w:bidi="fa-IR"/>
        </w:rPr>
        <w:t xml:space="preserve">، ج 19، ص 77 به نقل از کتاب زین </w:t>
      </w:r>
      <w:proofErr w:type="spellStart"/>
      <w:r>
        <w:rPr>
          <w:rFonts w:hint="cs"/>
          <w:rtl/>
          <w:lang w:bidi="fa-IR"/>
        </w:rPr>
        <w:t>الفتی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بتفسیر</w:t>
      </w:r>
      <w:proofErr w:type="spellEnd"/>
      <w:r>
        <w:rPr>
          <w:rFonts w:hint="cs"/>
          <w:rtl/>
          <w:lang w:bidi="fa-IR"/>
        </w:rPr>
        <w:t xml:space="preserve"> سوره هل اتی، </w:t>
      </w:r>
    </w:p>
  </w:footnote>
  <w:footnote w:id="4">
    <w:p w:rsidR="00A00F20" w:rsidRDefault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نفحات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الازهار</w:t>
      </w:r>
      <w:proofErr w:type="spellEnd"/>
      <w:r>
        <w:rPr>
          <w:rFonts w:hint="cs"/>
          <w:rtl/>
          <w:lang w:bidi="fa-IR"/>
        </w:rPr>
        <w:t>، ج19، ص 82، نسخه خطی</w:t>
      </w:r>
    </w:p>
  </w:footnote>
  <w:footnote w:id="5">
    <w:p w:rsidR="00A00F20" w:rsidRDefault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کفایه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الطاب</w:t>
      </w:r>
      <w:proofErr w:type="spellEnd"/>
      <w:r>
        <w:rPr>
          <w:rFonts w:hint="cs"/>
          <w:rtl/>
          <w:lang w:bidi="fa-IR"/>
        </w:rPr>
        <w:t xml:space="preserve">، گنجی </w:t>
      </w:r>
      <w:proofErr w:type="spellStart"/>
      <w:r>
        <w:rPr>
          <w:rFonts w:hint="cs"/>
          <w:rtl/>
          <w:lang w:bidi="fa-IR"/>
        </w:rPr>
        <w:t>شافعی</w:t>
      </w:r>
      <w:proofErr w:type="spellEnd"/>
      <w:r>
        <w:rPr>
          <w:rFonts w:hint="cs"/>
          <w:rtl/>
          <w:lang w:bidi="fa-IR"/>
        </w:rPr>
        <w:t>، ص 121</w:t>
      </w:r>
    </w:p>
  </w:footnote>
  <w:footnote w:id="6">
    <w:p w:rsidR="00A00F20" w:rsidRDefault="00A00F20" w:rsidP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خطیب </w:t>
      </w:r>
      <w:proofErr w:type="spellStart"/>
      <w:r>
        <w:rPr>
          <w:rFonts w:hint="cs"/>
          <w:rtl/>
          <w:lang w:bidi="fa-IR"/>
        </w:rPr>
        <w:t>خوارزمی</w:t>
      </w:r>
      <w:proofErr w:type="spellEnd"/>
      <w:r>
        <w:rPr>
          <w:rFonts w:hint="cs"/>
          <w:rtl/>
          <w:lang w:bidi="fa-IR"/>
        </w:rPr>
        <w:t xml:space="preserve"> در کتاب </w:t>
      </w:r>
      <w:proofErr w:type="spellStart"/>
      <w:r>
        <w:rPr>
          <w:rFonts w:hint="cs"/>
          <w:rtl/>
          <w:lang w:bidi="fa-IR"/>
        </w:rPr>
        <w:t>المناقب</w:t>
      </w:r>
      <w:proofErr w:type="spellEnd"/>
      <w:r>
        <w:rPr>
          <w:rFonts w:hint="cs"/>
          <w:rtl/>
          <w:lang w:bidi="fa-IR"/>
        </w:rPr>
        <w:t>، ص 83، ح 70</w:t>
      </w:r>
    </w:p>
  </w:footnote>
  <w:footnote w:id="7">
    <w:p w:rsidR="00A00F20" w:rsidRDefault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المناقب</w:t>
      </w:r>
      <w:proofErr w:type="spellEnd"/>
      <w:r>
        <w:rPr>
          <w:rFonts w:hint="cs"/>
          <w:rtl/>
          <w:lang w:bidi="fa-IR"/>
        </w:rPr>
        <w:t xml:space="preserve">، خطیب </w:t>
      </w:r>
      <w:proofErr w:type="spellStart"/>
      <w:r>
        <w:rPr>
          <w:rFonts w:hint="cs"/>
          <w:rtl/>
          <w:lang w:bidi="fa-IR"/>
        </w:rPr>
        <w:t>خوارزمی</w:t>
      </w:r>
      <w:proofErr w:type="spellEnd"/>
      <w:r>
        <w:rPr>
          <w:rFonts w:hint="cs"/>
          <w:rtl/>
          <w:lang w:bidi="fa-IR"/>
        </w:rPr>
        <w:t>، ص 89،  ح 79</w:t>
      </w:r>
    </w:p>
  </w:footnote>
  <w:footnote w:id="8">
    <w:p w:rsidR="00A00F20" w:rsidRDefault="00A00F2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معارج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الاولی</w:t>
      </w:r>
      <w:proofErr w:type="spellEnd"/>
      <w:r>
        <w:rPr>
          <w:rFonts w:hint="cs"/>
          <w:rtl/>
          <w:lang w:bidi="fa-IR"/>
        </w:rPr>
        <w:t>،</w:t>
      </w:r>
    </w:p>
  </w:footnote>
  <w:footnote w:id="9">
    <w:p w:rsidR="00712642" w:rsidRDefault="0071264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هدایت </w:t>
      </w:r>
      <w:proofErr w:type="spellStart"/>
      <w:r>
        <w:rPr>
          <w:rFonts w:hint="cs"/>
          <w:rtl/>
          <w:lang w:bidi="fa-IR"/>
        </w:rPr>
        <w:t>السعدا</w:t>
      </w:r>
      <w:proofErr w:type="spellEnd"/>
      <w:r>
        <w:rPr>
          <w:rFonts w:hint="cs"/>
          <w:rtl/>
          <w:lang w:bidi="fa-IR"/>
        </w:rPr>
        <w:t xml:space="preserve"> ؛ </w:t>
      </w:r>
      <w:proofErr w:type="spellStart"/>
      <w:r>
        <w:rPr>
          <w:rFonts w:hint="cs"/>
          <w:rtl/>
          <w:lang w:bidi="fa-IR"/>
        </w:rPr>
        <w:t>المناقب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خوارزمی</w:t>
      </w:r>
      <w:proofErr w:type="spellEnd"/>
      <w:r>
        <w:rPr>
          <w:rFonts w:hint="cs"/>
          <w:rtl/>
          <w:lang w:bidi="fa-IR"/>
        </w:rPr>
        <w:t xml:space="preserve">، ص 83، ح 70 ؛ مطالب </w:t>
      </w:r>
      <w:proofErr w:type="spellStart"/>
      <w:r>
        <w:rPr>
          <w:rFonts w:hint="cs"/>
          <w:rtl/>
          <w:lang w:bidi="fa-IR"/>
        </w:rPr>
        <w:t>السئول</w:t>
      </w:r>
      <w:proofErr w:type="spellEnd"/>
      <w:r>
        <w:rPr>
          <w:rFonts w:hint="cs"/>
          <w:rtl/>
          <w:lang w:bidi="fa-IR"/>
        </w:rPr>
        <w:t xml:space="preserve">، ص 97؛ </w:t>
      </w:r>
      <w:proofErr w:type="spellStart"/>
      <w:r>
        <w:rPr>
          <w:rFonts w:hint="cs"/>
          <w:rtl/>
          <w:lang w:bidi="fa-IR"/>
        </w:rPr>
        <w:t>الفصول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المهمه</w:t>
      </w:r>
      <w:proofErr w:type="spellEnd"/>
      <w:r>
        <w:rPr>
          <w:rFonts w:hint="cs"/>
          <w:rtl/>
          <w:lang w:bidi="fa-IR"/>
        </w:rPr>
        <w:t>، ص 123</w:t>
      </w:r>
    </w:p>
  </w:footnote>
  <w:footnote w:id="10">
    <w:p w:rsidR="00712642" w:rsidRDefault="0071264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مناقب</w:t>
      </w:r>
      <w:proofErr w:type="spellEnd"/>
      <w:r>
        <w:rPr>
          <w:rFonts w:hint="cs"/>
          <w:rtl/>
          <w:lang w:bidi="fa-IR"/>
        </w:rPr>
        <w:t xml:space="preserve"> علی بن </w:t>
      </w:r>
      <w:proofErr w:type="spellStart"/>
      <w:r>
        <w:rPr>
          <w:rFonts w:hint="cs"/>
          <w:rtl/>
          <w:lang w:bidi="fa-IR"/>
        </w:rPr>
        <w:t>ابیطالب</w:t>
      </w:r>
      <w:proofErr w:type="spellEnd"/>
      <w:r>
        <w:rPr>
          <w:rFonts w:hint="cs"/>
          <w:rtl/>
          <w:lang w:bidi="fa-IR"/>
        </w:rPr>
        <w:t>(ع)، ص 212</w:t>
      </w:r>
    </w:p>
  </w:footnote>
  <w:footnote w:id="11">
    <w:p w:rsidR="00712642" w:rsidRDefault="0071264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شواهد </w:t>
      </w:r>
      <w:proofErr w:type="spellStart"/>
      <w:r>
        <w:rPr>
          <w:rFonts w:hint="cs"/>
          <w:rtl/>
          <w:lang w:bidi="fa-IR"/>
        </w:rPr>
        <w:t>التنزیل</w:t>
      </w:r>
      <w:proofErr w:type="spellEnd"/>
      <w:r>
        <w:rPr>
          <w:rFonts w:hint="cs"/>
          <w:rtl/>
          <w:lang w:bidi="fa-IR"/>
        </w:rPr>
        <w:t xml:space="preserve">، حاکم </w:t>
      </w:r>
      <w:proofErr w:type="spellStart"/>
      <w:r>
        <w:rPr>
          <w:rFonts w:hint="cs"/>
          <w:rtl/>
          <w:lang w:bidi="fa-IR"/>
        </w:rPr>
        <w:t>حسکانی</w:t>
      </w:r>
      <w:proofErr w:type="spellEnd"/>
      <w:r>
        <w:rPr>
          <w:rFonts w:hint="cs"/>
          <w:rtl/>
          <w:lang w:bidi="fa-IR"/>
        </w:rPr>
        <w:t>، ج1، ص 78- 80 و 106</w:t>
      </w:r>
    </w:p>
  </w:footnote>
  <w:footnote w:id="12">
    <w:p w:rsidR="00F003CF" w:rsidRDefault="00F003C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نفحات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الازهار</w:t>
      </w:r>
      <w:proofErr w:type="spellEnd"/>
      <w:r>
        <w:rPr>
          <w:rFonts w:hint="cs"/>
          <w:rtl/>
          <w:lang w:bidi="fa-IR"/>
        </w:rPr>
        <w:t xml:space="preserve">، ج19، ص 138- 142 ؛ </w:t>
      </w:r>
      <w:proofErr w:type="spellStart"/>
      <w:r>
        <w:rPr>
          <w:rFonts w:hint="cs"/>
          <w:rtl/>
          <w:lang w:bidi="fa-IR"/>
        </w:rPr>
        <w:t>الغدیر</w:t>
      </w:r>
      <w:proofErr w:type="spellEnd"/>
      <w:r>
        <w:rPr>
          <w:rFonts w:hint="cs"/>
          <w:rtl/>
          <w:lang w:bidi="fa-IR"/>
        </w:rPr>
        <w:t>، علامه امینی، ج3، ص 486- 489</w:t>
      </w:r>
    </w:p>
  </w:footnote>
  <w:footnote w:id="13">
    <w:p w:rsidR="00F003CF" w:rsidRDefault="00F003C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فیض </w:t>
      </w:r>
      <w:proofErr w:type="spellStart"/>
      <w:r>
        <w:rPr>
          <w:rFonts w:hint="cs"/>
          <w:rtl/>
          <w:lang w:bidi="fa-IR"/>
        </w:rPr>
        <w:t>القدیر</w:t>
      </w:r>
      <w:proofErr w:type="spellEnd"/>
      <w:r>
        <w:rPr>
          <w:rFonts w:hint="cs"/>
          <w:rtl/>
          <w:lang w:bidi="fa-IR"/>
        </w:rPr>
        <w:t>، ج 1، ص 27</w:t>
      </w:r>
    </w:p>
  </w:footnote>
  <w:footnote w:id="14">
    <w:p w:rsidR="002F2E2B" w:rsidRDefault="002F2E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الریاض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النضره</w:t>
      </w:r>
      <w:proofErr w:type="spellEnd"/>
      <w:r>
        <w:rPr>
          <w:rFonts w:hint="cs"/>
          <w:rtl/>
          <w:lang w:bidi="fa-IR"/>
        </w:rPr>
        <w:t xml:space="preserve">، ج3، ص 168، ش 1567 ؛ </w:t>
      </w:r>
      <w:proofErr w:type="spellStart"/>
      <w:r>
        <w:rPr>
          <w:rFonts w:hint="cs"/>
          <w:rtl/>
          <w:lang w:bidi="fa-IR"/>
        </w:rPr>
        <w:t>ذخائر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العقبی</w:t>
      </w:r>
      <w:proofErr w:type="spellEnd"/>
      <w:r>
        <w:rPr>
          <w:rFonts w:hint="cs"/>
          <w:rtl/>
          <w:lang w:bidi="fa-IR"/>
        </w:rPr>
        <w:t>، ج1، ص 152</w:t>
      </w:r>
    </w:p>
  </w:footnote>
  <w:footnote w:id="15">
    <w:p w:rsidR="002F2E2B" w:rsidRDefault="002F2E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وسیله </w:t>
      </w:r>
      <w:proofErr w:type="spellStart"/>
      <w:r>
        <w:rPr>
          <w:rFonts w:hint="cs"/>
          <w:rtl/>
          <w:lang w:bidi="fa-IR"/>
        </w:rPr>
        <w:t>المتعبدین</w:t>
      </w:r>
      <w:proofErr w:type="spellEnd"/>
      <w:r>
        <w:rPr>
          <w:rFonts w:hint="cs"/>
          <w:rtl/>
          <w:lang w:bidi="fa-IR"/>
        </w:rPr>
        <w:t>، ج5، ص 168</w:t>
      </w:r>
    </w:p>
  </w:footnote>
  <w:footnote w:id="16">
    <w:p w:rsidR="002F2E2B" w:rsidRDefault="002F2E2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>، ج9، ص 136</w:t>
      </w:r>
    </w:p>
  </w:footnote>
  <w:footnote w:id="17">
    <w:p w:rsidR="005364C4" w:rsidRDefault="005364C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</w:t>
      </w:r>
      <w:proofErr w:type="spellStart"/>
      <w:r>
        <w:rPr>
          <w:rFonts w:hint="cs"/>
          <w:rtl/>
          <w:lang w:bidi="fa-IR"/>
        </w:rPr>
        <w:t>الکبیر</w:t>
      </w:r>
      <w:proofErr w:type="spellEnd"/>
      <w:r>
        <w:rPr>
          <w:rFonts w:hint="cs"/>
          <w:rtl/>
          <w:lang w:bidi="fa-IR"/>
        </w:rPr>
        <w:t>، ج8، ص 81</w:t>
      </w:r>
    </w:p>
  </w:footnote>
  <w:footnote w:id="18">
    <w:p w:rsidR="005364C4" w:rsidRDefault="005364C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مطالب </w:t>
      </w:r>
      <w:proofErr w:type="spellStart"/>
      <w:r>
        <w:rPr>
          <w:rFonts w:hint="cs"/>
          <w:rtl/>
          <w:lang w:bidi="fa-IR"/>
        </w:rPr>
        <w:t>السئول</w:t>
      </w:r>
      <w:proofErr w:type="spellEnd"/>
      <w:r>
        <w:rPr>
          <w:rFonts w:hint="cs"/>
          <w:rtl/>
          <w:lang w:bidi="fa-IR"/>
        </w:rPr>
        <w:t>، ج97- 98</w:t>
      </w:r>
    </w:p>
  </w:footnote>
  <w:footnote w:id="19">
    <w:p w:rsidR="005364C4" w:rsidRDefault="005364C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نقل این مطلب از کتاب </w:t>
      </w:r>
      <w:proofErr w:type="spellStart"/>
      <w:r>
        <w:rPr>
          <w:rFonts w:hint="cs"/>
          <w:rtl/>
          <w:lang w:bidi="fa-IR"/>
        </w:rPr>
        <w:t>ینابیع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الموده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قندوزی</w:t>
      </w:r>
      <w:proofErr w:type="spellEnd"/>
      <w:r>
        <w:rPr>
          <w:rFonts w:hint="cs"/>
          <w:rtl/>
          <w:lang w:bidi="fa-IR"/>
        </w:rPr>
        <w:t>، ج2، ص 300</w:t>
      </w:r>
    </w:p>
  </w:footnote>
  <w:footnote w:id="20">
    <w:p w:rsidR="005364C4" w:rsidRDefault="005364C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الموقف</w:t>
      </w:r>
      <w:proofErr w:type="spellEnd"/>
      <w:r>
        <w:rPr>
          <w:rFonts w:hint="cs"/>
          <w:rtl/>
          <w:lang w:bidi="fa-IR"/>
        </w:rPr>
        <w:t>، ج8، ص 369</w:t>
      </w:r>
    </w:p>
  </w:footnote>
  <w:footnote w:id="21">
    <w:p w:rsidR="005364C4" w:rsidRDefault="005364C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شرح </w:t>
      </w:r>
      <w:proofErr w:type="spellStart"/>
      <w:r>
        <w:rPr>
          <w:rFonts w:hint="cs"/>
          <w:rtl/>
          <w:lang w:bidi="fa-IR"/>
        </w:rPr>
        <w:t>المقاصد</w:t>
      </w:r>
      <w:proofErr w:type="spellEnd"/>
      <w:r>
        <w:rPr>
          <w:rFonts w:hint="cs"/>
          <w:rtl/>
          <w:lang w:bidi="fa-IR"/>
        </w:rPr>
        <w:t>، ج5، ص 2</w:t>
      </w:r>
      <w:r w:rsidR="00354AFE">
        <w:rPr>
          <w:rFonts w:hint="cs"/>
          <w:rtl/>
          <w:lang w:bidi="fa-IR"/>
        </w:rPr>
        <w:t>96</w:t>
      </w:r>
    </w:p>
  </w:footnote>
  <w:footnote w:id="22">
    <w:p w:rsidR="00354AFE" w:rsidRDefault="00354A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ابکار </w:t>
      </w:r>
      <w:proofErr w:type="spellStart"/>
      <w:r>
        <w:rPr>
          <w:rFonts w:hint="cs"/>
          <w:rtl/>
          <w:lang w:bidi="fa-IR"/>
        </w:rPr>
        <w:t>الافکار</w:t>
      </w:r>
      <w:proofErr w:type="spellEnd"/>
      <w:r>
        <w:rPr>
          <w:rFonts w:hint="cs"/>
          <w:rtl/>
          <w:lang w:bidi="fa-IR"/>
        </w:rPr>
        <w:t>، ج3، ص 442</w:t>
      </w:r>
    </w:p>
  </w:footnote>
  <w:footnote w:id="23">
    <w:p w:rsidR="00354AFE" w:rsidRDefault="00354A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فرائد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السمطین</w:t>
      </w:r>
      <w:proofErr w:type="spellEnd"/>
      <w:r>
        <w:rPr>
          <w:rFonts w:hint="cs"/>
          <w:rtl/>
          <w:lang w:bidi="fa-IR"/>
        </w:rPr>
        <w:t>، ج1، ص 170</w:t>
      </w:r>
    </w:p>
  </w:footnote>
  <w:footnote w:id="24">
    <w:p w:rsidR="00354AFE" w:rsidRDefault="00354AF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الفصول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المهمه</w:t>
      </w:r>
      <w:proofErr w:type="spellEnd"/>
      <w:r>
        <w:rPr>
          <w:rFonts w:hint="cs"/>
          <w:rtl/>
          <w:lang w:bidi="fa-IR"/>
        </w:rPr>
        <w:t>، ص 123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354AFE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354AFE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54AFE">
      <w:rPr>
        <w:rFonts w:ascii="Tahoma" w:hAnsi="Tahoma" w:cs="Traditional Arabic" w:hint="cs"/>
        <w:sz w:val="28"/>
        <w:szCs w:val="28"/>
        <w:rtl/>
        <w:lang w:bidi="fa-IR"/>
      </w:rPr>
      <w:t>20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150734">
      <w:rPr>
        <w:rFonts w:ascii="Tahoma" w:hAnsi="Tahoma" w:cs="Traditional Arabic" w:hint="cs"/>
        <w:sz w:val="28"/>
        <w:szCs w:val="28"/>
        <w:rtl/>
        <w:lang w:bidi="fa-IR"/>
      </w:rPr>
      <w:t>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734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164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2E2B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313F"/>
    <w:rsid w:val="00346C60"/>
    <w:rsid w:val="003470DA"/>
    <w:rsid w:val="00350250"/>
    <w:rsid w:val="00351AC8"/>
    <w:rsid w:val="003542CA"/>
    <w:rsid w:val="00354AFE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1CEC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83F5B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4C4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82F9D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4D69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2642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0E77"/>
    <w:rsid w:val="008734DA"/>
    <w:rsid w:val="008739C0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4730E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0F20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03CF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3A4FA5-721F-4D6B-A94F-EAAC8158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4</cp:revision>
  <dcterms:created xsi:type="dcterms:W3CDTF">2021-03-10T18:18:00Z</dcterms:created>
  <dcterms:modified xsi:type="dcterms:W3CDTF">2021-03-11T04:25:00Z</dcterms:modified>
</cp:coreProperties>
</file>