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9D05B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1B4A2A" w:rsidRDefault="001B4A2A" w:rsidP="009D05B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بررسی روایت 16 و 17 از مراجعه 48</w:t>
      </w:r>
    </w:p>
    <w:p w:rsidR="001C6AAC" w:rsidRPr="005F2074" w:rsidRDefault="008C48D4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مفاد </w:t>
      </w:r>
      <w:r w:rsidR="001C6AAC">
        <w:rPr>
          <w:rFonts w:cs="B Mitra" w:hint="cs"/>
          <w:color w:val="FF0000"/>
          <w:sz w:val="28"/>
          <w:szCs w:val="28"/>
          <w:rtl/>
          <w:lang w:bidi="fa-IR"/>
        </w:rPr>
        <w:t>حدیث 16 از مراجعه 48</w:t>
      </w:r>
      <w:bookmarkStart w:id="0" w:name="_GoBack"/>
      <w:bookmarkEnd w:id="0"/>
    </w:p>
    <w:p w:rsidR="001C6AAC" w:rsidRPr="005F2074" w:rsidRDefault="001C6AAC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روایت شانزدهم از مراجعه 48 از جهت سند مورد بررسی قرار گرفت. در این روایت آمده است که پیامبر خدا (ص) فرمود: «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أطاعني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،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و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عصاني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عصى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،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و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أطاعني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،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و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من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عصى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r w:rsidRPr="009760B6">
        <w:rPr>
          <w:rFonts w:cs="B Mitra" w:hint="cs"/>
          <w:sz w:val="28"/>
          <w:szCs w:val="28"/>
          <w:rtl/>
          <w:lang w:bidi="fa-IR"/>
        </w:rPr>
        <w:t>فقد</w:t>
      </w:r>
      <w:r w:rsidRPr="009760B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760B6">
        <w:rPr>
          <w:rFonts w:cs="B Mitra" w:hint="cs"/>
          <w:sz w:val="28"/>
          <w:szCs w:val="28"/>
          <w:rtl/>
          <w:lang w:bidi="fa-IR"/>
        </w:rPr>
        <w:t>عصاني</w:t>
      </w:r>
      <w:proofErr w:type="spellEnd"/>
      <w:r w:rsidRPr="009760B6">
        <w:rPr>
          <w:rFonts w:cs="B Mitra" w:hint="cs"/>
          <w:sz w:val="28"/>
          <w:szCs w:val="28"/>
          <w:rtl/>
          <w:lang w:bidi="fa-IR"/>
        </w:rPr>
        <w:t>‏</w:t>
      </w:r>
      <w:r>
        <w:rPr>
          <w:rFonts w:cs="B Mitra" w:hint="cs"/>
          <w:sz w:val="28"/>
          <w:szCs w:val="28"/>
          <w:rtl/>
          <w:lang w:bidi="fa-IR"/>
        </w:rPr>
        <w:t xml:space="preserve">»: هر کس مرا اطاعت کند خدا را اطاعت کرده و هر کس مرا نافرمانی کند خدا را نافرمانی کرده است. و هر کس علی (ع) را اطاعت کند مرا اطاعت کرده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هرکس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 (ع) را نافرمانی کند مرا نافرمانی کرده است. </w:t>
      </w:r>
    </w:p>
    <w:p w:rsidR="0088274E" w:rsidRDefault="00B32F72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دلالت این روایت از نظر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مفاد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روشن است</w:t>
      </w:r>
      <w:r w:rsidR="0088274E">
        <w:rPr>
          <w:rFonts w:cs="B Mitra" w:hint="cs"/>
          <w:sz w:val="28"/>
          <w:szCs w:val="28"/>
          <w:rtl/>
          <w:lang w:bidi="fa-IR"/>
        </w:rPr>
        <w:t xml:space="preserve"> به این صورت که:</w:t>
      </w:r>
    </w:p>
    <w:p w:rsidR="00B32F72" w:rsidRDefault="0088274E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در این روایت </w:t>
      </w:r>
      <w:r w:rsidR="00B32F72">
        <w:rPr>
          <w:rFonts w:cs="B Mitra" w:hint="cs"/>
          <w:sz w:val="28"/>
          <w:szCs w:val="28"/>
          <w:rtl/>
          <w:lang w:bidi="fa-IR"/>
        </w:rPr>
        <w:t>فرمانبرداری از امیرالمومنین (ع) همانند فرمانبرداری از پیامبر (ص) به شمار آمده کما اینکه فرمانبرداری از پیامبر (ص)، فرمانبرداری از خداوند به شمار آمده است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B32F72">
        <w:rPr>
          <w:rFonts w:cs="B Mitra" w:hint="cs"/>
          <w:sz w:val="28"/>
          <w:szCs w:val="28"/>
          <w:rtl/>
          <w:lang w:bidi="fa-IR"/>
        </w:rPr>
        <w:t xml:space="preserve"> همچنین نافرمانی از امیرالمومنین (ع)، </w:t>
      </w:r>
      <w:proofErr w:type="spellStart"/>
      <w:r w:rsidR="00B32F72">
        <w:rPr>
          <w:rFonts w:cs="B Mitra" w:hint="cs"/>
          <w:sz w:val="28"/>
          <w:szCs w:val="28"/>
          <w:rtl/>
          <w:lang w:bidi="fa-IR"/>
        </w:rPr>
        <w:t>همسنگ</w:t>
      </w:r>
      <w:proofErr w:type="spellEnd"/>
      <w:r w:rsidR="00B32F72">
        <w:rPr>
          <w:rFonts w:cs="B Mitra" w:hint="cs"/>
          <w:sz w:val="28"/>
          <w:szCs w:val="28"/>
          <w:rtl/>
          <w:lang w:bidi="fa-IR"/>
        </w:rPr>
        <w:t xml:space="preserve"> نافرمانی پیامبر (ص) </w:t>
      </w:r>
      <w:r>
        <w:rPr>
          <w:rFonts w:cs="B Mitra" w:hint="cs"/>
          <w:sz w:val="28"/>
          <w:szCs w:val="28"/>
          <w:rtl/>
          <w:lang w:bidi="fa-IR"/>
        </w:rPr>
        <w:t xml:space="preserve">و خداوند </w:t>
      </w:r>
      <w:r w:rsidR="00B32F72">
        <w:rPr>
          <w:rFonts w:cs="B Mitra" w:hint="cs"/>
          <w:sz w:val="28"/>
          <w:szCs w:val="28"/>
          <w:rtl/>
          <w:lang w:bidi="fa-IR"/>
        </w:rPr>
        <w:t xml:space="preserve">به شمار آمده است. </w:t>
      </w:r>
    </w:p>
    <w:p w:rsidR="00B32F72" w:rsidRDefault="0088274E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r w:rsidR="00B32F72">
        <w:rPr>
          <w:rFonts w:cs="B Mitra" w:hint="cs"/>
          <w:sz w:val="28"/>
          <w:szCs w:val="28"/>
          <w:rtl/>
          <w:lang w:bidi="fa-IR"/>
        </w:rPr>
        <w:t xml:space="preserve">رهبری جامعه بشری از جانب خداوند به پیامبر اکرم (ص) سپرده شده است. این رهبری دو جنبه دارد: یکی مربوط به امور معنوی و دیگری مربوط به امور سیاسی و اجتماعی. آن حضرت از سویی در تبیین احکام دینی و راه و رسم بندگی رهبر و اسوه هستند و از طرف دیگر در مدیریت زندگی اجتماعی بشر نیز رهبر و زمامدار </w:t>
      </w:r>
      <w:r>
        <w:rPr>
          <w:rFonts w:cs="B Mitra" w:hint="cs"/>
          <w:sz w:val="28"/>
          <w:szCs w:val="28"/>
          <w:rtl/>
          <w:lang w:bidi="fa-IR"/>
        </w:rPr>
        <w:t xml:space="preserve">هستند. </w:t>
      </w:r>
      <w:r w:rsidR="00B32F72">
        <w:rPr>
          <w:rFonts w:cs="B Mitra" w:hint="cs"/>
          <w:sz w:val="28"/>
          <w:szCs w:val="28"/>
          <w:rtl/>
          <w:lang w:bidi="fa-IR"/>
        </w:rPr>
        <w:t>قرآن کریم می فرماید: «</w:t>
      </w:r>
      <w:proofErr w:type="spellStart"/>
      <w:r w:rsidR="00B32F72"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 w:rsidR="00B32F72">
        <w:rPr>
          <w:rFonts w:cs="B Mitra" w:hint="cs"/>
          <w:sz w:val="28"/>
          <w:szCs w:val="28"/>
          <w:rtl/>
          <w:lang w:bidi="fa-IR"/>
        </w:rPr>
        <w:t xml:space="preserve"> اولی </w:t>
      </w:r>
      <w:proofErr w:type="spellStart"/>
      <w:r w:rsidR="00B32F72">
        <w:rPr>
          <w:rFonts w:cs="B Mitra" w:hint="cs"/>
          <w:sz w:val="28"/>
          <w:szCs w:val="28"/>
          <w:rtl/>
          <w:lang w:bidi="fa-IR"/>
        </w:rPr>
        <w:t>بالمومنین</w:t>
      </w:r>
      <w:proofErr w:type="spellEnd"/>
      <w:r w:rsidR="00B32F7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="00B32F72">
        <w:rPr>
          <w:rFonts w:cs="B Mitra" w:hint="cs"/>
          <w:sz w:val="28"/>
          <w:szCs w:val="28"/>
          <w:rtl/>
          <w:lang w:bidi="fa-IR"/>
        </w:rPr>
        <w:t>انفسهم</w:t>
      </w:r>
      <w:proofErr w:type="spellEnd"/>
      <w:r w:rsidR="00B32F72">
        <w:rPr>
          <w:rFonts w:cs="B Mitra" w:hint="cs"/>
          <w:sz w:val="28"/>
          <w:szCs w:val="28"/>
          <w:rtl/>
          <w:lang w:bidi="fa-IR"/>
        </w:rPr>
        <w:t>».</w:t>
      </w:r>
    </w:p>
    <w:p w:rsidR="005D14B8" w:rsidRDefault="0088274E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B32F72">
        <w:rPr>
          <w:rFonts w:cs="B Mitra" w:hint="cs"/>
          <w:sz w:val="28"/>
          <w:szCs w:val="28"/>
          <w:rtl/>
          <w:lang w:bidi="fa-IR"/>
        </w:rPr>
        <w:t xml:space="preserve">در این روایت رهبری امیرالمومنین (ع) همانند رهبری پیامبر اکرم (ص) به شمار آمده </w:t>
      </w:r>
      <w:r>
        <w:rPr>
          <w:rFonts w:cs="B Mitra" w:hint="cs"/>
          <w:sz w:val="28"/>
          <w:szCs w:val="28"/>
          <w:rtl/>
          <w:lang w:bidi="fa-IR"/>
        </w:rPr>
        <w:t xml:space="preserve">است و این </w:t>
      </w:r>
      <w:r w:rsidR="00B32F72">
        <w:rPr>
          <w:rFonts w:cs="B Mitra" w:hint="cs"/>
          <w:sz w:val="28"/>
          <w:szCs w:val="28"/>
          <w:rtl/>
          <w:lang w:bidi="fa-IR"/>
        </w:rPr>
        <w:t xml:space="preserve">به این معنا است که پس از پیامبر اکرم (ص) </w:t>
      </w:r>
      <w:r w:rsidR="005D14B8">
        <w:rPr>
          <w:rFonts w:cs="B Mitra" w:hint="cs"/>
          <w:sz w:val="28"/>
          <w:szCs w:val="28"/>
          <w:rtl/>
          <w:lang w:bidi="fa-IR"/>
        </w:rPr>
        <w:t xml:space="preserve">هر دو جنبه رهبری را </w:t>
      </w:r>
      <w:r>
        <w:rPr>
          <w:rFonts w:cs="B Mitra" w:hint="cs"/>
          <w:sz w:val="28"/>
          <w:szCs w:val="28"/>
          <w:rtl/>
          <w:lang w:bidi="fa-IR"/>
        </w:rPr>
        <w:t xml:space="preserve">ایشان </w:t>
      </w:r>
      <w:r w:rsidR="005D14B8">
        <w:rPr>
          <w:rFonts w:cs="B Mitra" w:hint="cs"/>
          <w:sz w:val="28"/>
          <w:szCs w:val="28"/>
          <w:rtl/>
          <w:lang w:bidi="fa-IR"/>
        </w:rPr>
        <w:t xml:space="preserve">بر عهده دارند. </w:t>
      </w:r>
    </w:p>
    <w:p w:rsidR="008C48D4" w:rsidRDefault="005D14B8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گویا به جهت </w:t>
      </w:r>
      <w:r w:rsidR="0088274E">
        <w:rPr>
          <w:rFonts w:cs="B Mitra" w:hint="cs"/>
          <w:sz w:val="28"/>
          <w:szCs w:val="28"/>
          <w:rtl/>
          <w:lang w:bidi="fa-IR"/>
        </w:rPr>
        <w:t xml:space="preserve">روشنی </w:t>
      </w:r>
      <w:proofErr w:type="spellStart"/>
      <w:r w:rsidR="0088274E"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 w:rsidR="0088274E">
        <w:rPr>
          <w:rFonts w:cs="B Mitra" w:hint="cs"/>
          <w:sz w:val="28"/>
          <w:szCs w:val="28"/>
          <w:rtl/>
          <w:lang w:bidi="fa-IR"/>
        </w:rPr>
        <w:t xml:space="preserve"> روایت است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8274E">
        <w:rPr>
          <w:rFonts w:cs="B Mitra" w:hint="cs"/>
          <w:sz w:val="28"/>
          <w:szCs w:val="28"/>
          <w:rtl/>
          <w:lang w:bidi="fa-IR"/>
        </w:rPr>
        <w:t xml:space="preserve">آن </w:t>
      </w:r>
      <w:r>
        <w:rPr>
          <w:rFonts w:cs="B Mitra" w:hint="cs"/>
          <w:sz w:val="28"/>
          <w:szCs w:val="28"/>
          <w:rtl/>
          <w:lang w:bidi="fa-IR"/>
        </w:rPr>
        <w:t>خدشه ای نکرده است</w:t>
      </w:r>
      <w:r w:rsidR="008C48D4">
        <w:rPr>
          <w:rFonts w:cs="B Mitra" w:hint="cs"/>
          <w:sz w:val="28"/>
          <w:szCs w:val="28"/>
          <w:rtl/>
          <w:lang w:bidi="fa-IR"/>
        </w:rPr>
        <w:t>، زیرا اگر به ذهن او از جهت دلالت اشکالی وارد می آمد بیان می کرد</w:t>
      </w:r>
      <w:r w:rsidR="0088274E">
        <w:rPr>
          <w:rFonts w:cs="B Mitra" w:hint="cs"/>
          <w:sz w:val="28"/>
          <w:szCs w:val="28"/>
          <w:rtl/>
          <w:lang w:bidi="fa-IR"/>
        </w:rPr>
        <w:t>،</w:t>
      </w:r>
      <w:r w:rsidR="008C48D4">
        <w:rPr>
          <w:rFonts w:cs="B Mitra" w:hint="cs"/>
          <w:sz w:val="28"/>
          <w:szCs w:val="28"/>
          <w:rtl/>
          <w:lang w:bidi="fa-IR"/>
        </w:rPr>
        <w:t xml:space="preserve"> کما اینکه در موارد دیگر که هم بحث سندی و هم دلالی کرده است</w:t>
      </w:r>
      <w:r w:rsidR="0088274E">
        <w:rPr>
          <w:rFonts w:cs="B Mitra" w:hint="cs"/>
          <w:sz w:val="28"/>
          <w:szCs w:val="28"/>
          <w:rtl/>
          <w:lang w:bidi="fa-IR"/>
        </w:rPr>
        <w:t>،</w:t>
      </w:r>
      <w:r w:rsidR="008C48D4">
        <w:rPr>
          <w:rFonts w:cs="B Mitra" w:hint="cs"/>
          <w:sz w:val="28"/>
          <w:szCs w:val="28"/>
          <w:rtl/>
          <w:lang w:bidi="fa-IR"/>
        </w:rPr>
        <w:t xml:space="preserve"> بر هر دو جنبه اشکال کرده است.</w:t>
      </w:r>
    </w:p>
    <w:p w:rsidR="008C48D4" w:rsidRDefault="008C48D4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8C48D4" w:rsidRDefault="008C48D4" w:rsidP="009D05B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C48D4">
        <w:rPr>
          <w:rFonts w:cs="B Mitra" w:hint="cs"/>
          <w:color w:val="FF0000"/>
          <w:sz w:val="28"/>
          <w:szCs w:val="28"/>
          <w:rtl/>
          <w:lang w:bidi="fa-IR"/>
        </w:rPr>
        <w:t xml:space="preserve">حدیث هفدهم از مراجعه 48  </w:t>
      </w:r>
      <w:r w:rsidR="005D14B8" w:rsidRPr="008C48D4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="00B32F72" w:rsidRPr="008C48D4">
        <w:rPr>
          <w:rFonts w:cs="B Mitra" w:hint="cs"/>
          <w:color w:val="FF0000"/>
          <w:sz w:val="28"/>
          <w:szCs w:val="28"/>
          <w:rtl/>
          <w:lang w:bidi="fa-IR"/>
        </w:rPr>
        <w:t xml:space="preserve">  </w:t>
      </w:r>
    </w:p>
    <w:p w:rsidR="008C48D4" w:rsidRPr="008C48D4" w:rsidRDefault="008C48D4" w:rsidP="0002726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در این روایت آمده است که پیامبر اکرم (ص) فرمود: </w:t>
      </w:r>
      <w:r w:rsidRPr="008C48D4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Pr="008C48D4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C48D4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r w:rsidRPr="008C48D4">
        <w:rPr>
          <w:rFonts w:cs="B Mitra" w:hint="cs"/>
          <w:sz w:val="28"/>
          <w:szCs w:val="28"/>
          <w:rtl/>
          <w:lang w:bidi="fa-IR"/>
        </w:rPr>
        <w:t>من</w:t>
      </w:r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C48D4">
        <w:rPr>
          <w:rFonts w:cs="B Mitra" w:hint="cs"/>
          <w:sz w:val="28"/>
          <w:szCs w:val="28"/>
          <w:rtl/>
          <w:lang w:bidi="fa-IR"/>
        </w:rPr>
        <w:t>فارقني</w:t>
      </w:r>
      <w:proofErr w:type="spellEnd"/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r w:rsidRPr="008C48D4">
        <w:rPr>
          <w:rFonts w:cs="B Mitra" w:hint="cs"/>
          <w:sz w:val="28"/>
          <w:szCs w:val="28"/>
          <w:rtl/>
          <w:lang w:bidi="fa-IR"/>
        </w:rPr>
        <w:t>فقد</w:t>
      </w:r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r w:rsidRPr="008C48D4">
        <w:rPr>
          <w:rFonts w:cs="B Mitra" w:hint="cs"/>
          <w:sz w:val="28"/>
          <w:szCs w:val="28"/>
          <w:rtl/>
          <w:lang w:bidi="fa-IR"/>
        </w:rPr>
        <w:t>فارق</w:t>
      </w:r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C48D4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8C48D4">
        <w:rPr>
          <w:rFonts w:cs="B Mitra" w:hint="cs"/>
          <w:sz w:val="28"/>
          <w:szCs w:val="28"/>
          <w:rtl/>
          <w:lang w:bidi="fa-IR"/>
        </w:rPr>
        <w:t>،</w:t>
      </w:r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r w:rsidRPr="008C48D4">
        <w:rPr>
          <w:rFonts w:cs="B Mitra" w:hint="cs"/>
          <w:sz w:val="28"/>
          <w:szCs w:val="28"/>
          <w:rtl/>
          <w:lang w:bidi="fa-IR"/>
        </w:rPr>
        <w:t>و</w:t>
      </w:r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r w:rsidRPr="008C48D4">
        <w:rPr>
          <w:rFonts w:cs="B Mitra" w:hint="cs"/>
          <w:sz w:val="28"/>
          <w:szCs w:val="28"/>
          <w:rtl/>
          <w:lang w:bidi="fa-IR"/>
        </w:rPr>
        <w:t>من</w:t>
      </w:r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C48D4">
        <w:rPr>
          <w:rFonts w:cs="B Mitra" w:hint="cs"/>
          <w:sz w:val="28"/>
          <w:szCs w:val="28"/>
          <w:rtl/>
          <w:lang w:bidi="fa-IR"/>
        </w:rPr>
        <w:t>فارقك</w:t>
      </w:r>
      <w:proofErr w:type="spellEnd"/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r w:rsidRPr="008C48D4">
        <w:rPr>
          <w:rFonts w:cs="B Mitra" w:hint="cs"/>
          <w:sz w:val="28"/>
          <w:szCs w:val="28"/>
          <w:rtl/>
          <w:lang w:bidi="fa-IR"/>
        </w:rPr>
        <w:t>فقد</w:t>
      </w:r>
      <w:r w:rsidRPr="008C48D4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8C48D4">
        <w:rPr>
          <w:rFonts w:cs="B Mitra" w:hint="cs"/>
          <w:sz w:val="28"/>
          <w:szCs w:val="28"/>
          <w:rtl/>
          <w:lang w:bidi="fa-IR"/>
        </w:rPr>
        <w:t>فارقني</w:t>
      </w:r>
      <w:proofErr w:type="spellEnd"/>
      <w:r w:rsidRPr="008C48D4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: یا علی، هر کس از من جدا شود از خداوند جدا شده و هر کس از تو جدا شود از من جدا شده است. </w:t>
      </w:r>
      <w:r w:rsidR="009D05B5">
        <w:rPr>
          <w:rFonts w:cs="B Mitra" w:hint="cs"/>
          <w:sz w:val="28"/>
          <w:szCs w:val="28"/>
          <w:rtl/>
          <w:lang w:bidi="fa-IR"/>
        </w:rPr>
        <w:t xml:space="preserve">این روایت را </w:t>
      </w:r>
      <w:r>
        <w:rPr>
          <w:rFonts w:cs="B Mitra" w:hint="cs"/>
          <w:sz w:val="28"/>
          <w:szCs w:val="28"/>
          <w:rtl/>
          <w:lang w:bidi="fa-IR"/>
        </w:rPr>
        <w:t>حاکم نیشابوری در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نقل کرده و آن را صحیح دانسته و گفته است اما بخاری و مسلم آن را نقل نکرده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5F2074" w:rsidRPr="00CE500D" w:rsidRDefault="008C48D4" w:rsidP="009D05B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CE500D">
        <w:rPr>
          <w:rFonts w:cs="B Mitra" w:hint="cs"/>
          <w:color w:val="FF0000"/>
          <w:sz w:val="28"/>
          <w:szCs w:val="28"/>
          <w:rtl/>
          <w:lang w:bidi="fa-IR"/>
        </w:rPr>
        <w:t>بررسی سند روایت</w:t>
      </w:r>
      <w:r w:rsidR="00CE500D">
        <w:rPr>
          <w:rFonts w:cs="B Mitra" w:hint="cs"/>
          <w:color w:val="FF0000"/>
          <w:sz w:val="28"/>
          <w:szCs w:val="28"/>
          <w:rtl/>
          <w:lang w:bidi="fa-IR"/>
        </w:rPr>
        <w:t xml:space="preserve"> و اشکالات وارد شده بر آن</w:t>
      </w:r>
    </w:p>
    <w:p w:rsidR="008C48D4" w:rsidRDefault="008C48D4" w:rsidP="008F1F9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را حاکم از ابی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جح</w:t>
      </w:r>
      <w:r>
        <w:rPr>
          <w:rFonts w:cs="B Mitra" w:hint="cs"/>
          <w:sz w:val="28"/>
          <w:szCs w:val="28"/>
          <w:rtl/>
          <w:lang w:bidi="fa-IR"/>
        </w:rPr>
        <w:t>اف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داود بن 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عوف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معاویه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ثعلبه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ابوذر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صحابی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پیامبر (ص) نقل کرده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بدون اینکه در سند این روایت بحثی کند آن را منکر دانسته است. </w:t>
      </w:r>
      <w:r w:rsidR="008F1F9A">
        <w:rPr>
          <w:rFonts w:cs="B Mitra" w:hint="cs"/>
          <w:sz w:val="28"/>
          <w:szCs w:val="28"/>
          <w:rtl/>
          <w:lang w:bidi="fa-IR"/>
        </w:rPr>
        <w:t xml:space="preserve">وی </w:t>
      </w:r>
      <w:r>
        <w:rPr>
          <w:rFonts w:cs="B Mitra" w:hint="cs"/>
          <w:sz w:val="28"/>
          <w:szCs w:val="28"/>
          <w:rtl/>
          <w:lang w:bidi="fa-IR"/>
        </w:rPr>
        <w:t xml:space="preserve">در 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این روایت را منکر شمرده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سخن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تایید کرده و وجه منکر بوده آن را این دانسته که ابی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جح</w:t>
      </w:r>
      <w:r>
        <w:rPr>
          <w:rFonts w:cs="B Mitra" w:hint="cs"/>
          <w:sz w:val="28"/>
          <w:szCs w:val="28"/>
          <w:rtl/>
          <w:lang w:bidi="fa-IR"/>
        </w:rPr>
        <w:t>اف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راوی روایات منکر است و در نقل روایات دچار خطا می شده است. علاوه بر اینکه او شیعی است و در روایاتی که در باب فضایل</w:t>
      </w:r>
      <w:r w:rsidR="00CE500D">
        <w:rPr>
          <w:rFonts w:cs="B Mitra" w:hint="cs"/>
          <w:sz w:val="28"/>
          <w:szCs w:val="28"/>
          <w:rtl/>
          <w:lang w:bidi="fa-IR"/>
        </w:rPr>
        <w:t xml:space="preserve"> </w:t>
      </w:r>
      <w:r w:rsidR="008F1F9A">
        <w:rPr>
          <w:rFonts w:cs="B Mitra" w:hint="cs"/>
          <w:sz w:val="28"/>
          <w:szCs w:val="28"/>
          <w:rtl/>
          <w:lang w:bidi="fa-IR"/>
        </w:rPr>
        <w:t xml:space="preserve">آمده </w:t>
      </w:r>
      <w:r w:rsidR="00CE500D">
        <w:rPr>
          <w:rFonts w:cs="B Mitra" w:hint="cs"/>
          <w:sz w:val="28"/>
          <w:szCs w:val="28"/>
          <w:rtl/>
          <w:lang w:bidi="fa-IR"/>
        </w:rPr>
        <w:t xml:space="preserve">است، روایت وی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حجیت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ندارد. </w:t>
      </w:r>
      <w:r w:rsidR="008F1F9A">
        <w:rPr>
          <w:rFonts w:cs="B Mitra" w:hint="cs"/>
          <w:sz w:val="28"/>
          <w:szCs w:val="28"/>
          <w:rtl/>
          <w:lang w:bidi="fa-IR"/>
        </w:rPr>
        <w:t xml:space="preserve">او سپس </w:t>
      </w:r>
      <w:r w:rsidR="00CE500D">
        <w:rPr>
          <w:rFonts w:cs="B Mitra" w:hint="cs"/>
          <w:sz w:val="28"/>
          <w:szCs w:val="28"/>
          <w:rtl/>
          <w:lang w:bidi="fa-IR"/>
        </w:rPr>
        <w:t xml:space="preserve">به سخن ابن حجر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استناد کرده که گفته است : «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شیعی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ربما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أخطا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>».</w:t>
      </w:r>
      <w:r w:rsidR="00CE500D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CE500D">
        <w:rPr>
          <w:rFonts w:cs="B Mitra" w:hint="cs"/>
          <w:sz w:val="28"/>
          <w:szCs w:val="28"/>
          <w:rtl/>
          <w:lang w:bidi="fa-IR"/>
        </w:rPr>
        <w:t xml:space="preserve"> وی </w:t>
      </w:r>
      <w:r w:rsidR="008F1F9A">
        <w:rPr>
          <w:rFonts w:cs="B Mitra" w:hint="cs"/>
          <w:sz w:val="28"/>
          <w:szCs w:val="28"/>
          <w:rtl/>
          <w:lang w:bidi="fa-IR"/>
        </w:rPr>
        <w:t xml:space="preserve">همچنین </w:t>
      </w:r>
      <w:r w:rsidR="00CE500D">
        <w:rPr>
          <w:rFonts w:cs="B Mitra" w:hint="cs"/>
          <w:sz w:val="28"/>
          <w:szCs w:val="28"/>
          <w:rtl/>
          <w:lang w:bidi="fa-IR"/>
        </w:rPr>
        <w:t xml:space="preserve">سخن ابن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را </w:t>
      </w:r>
      <w:r w:rsidR="008F1F9A">
        <w:rPr>
          <w:rFonts w:cs="B Mitra" w:hint="cs"/>
          <w:sz w:val="28"/>
          <w:szCs w:val="28"/>
          <w:rtl/>
          <w:lang w:bidi="fa-IR"/>
        </w:rPr>
        <w:t xml:space="preserve">درباره وی نقل کرده که درباره ابی </w:t>
      </w:r>
      <w:proofErr w:type="spellStart"/>
      <w:r w:rsidR="008F1F9A">
        <w:rPr>
          <w:rFonts w:cs="B Mitra" w:hint="cs"/>
          <w:sz w:val="28"/>
          <w:szCs w:val="28"/>
          <w:rtl/>
          <w:lang w:bidi="fa-IR"/>
        </w:rPr>
        <w:t>جحاف</w:t>
      </w:r>
      <w:proofErr w:type="spellEnd"/>
      <w:r w:rsidR="008F1F9A"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CE500D">
        <w:rPr>
          <w:rFonts w:cs="B Mitra" w:hint="cs"/>
          <w:sz w:val="28"/>
          <w:szCs w:val="28"/>
          <w:rtl/>
          <w:lang w:bidi="fa-IR"/>
        </w:rPr>
        <w:t xml:space="preserve">: «لیس هو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عندی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ممن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یحتج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به شیعی عامه ما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یرویه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 xml:space="preserve"> فی فضائل اهل </w:t>
      </w:r>
      <w:proofErr w:type="spellStart"/>
      <w:r w:rsidR="00CE500D">
        <w:rPr>
          <w:rFonts w:cs="B Mitra" w:hint="cs"/>
          <w:sz w:val="28"/>
          <w:szCs w:val="28"/>
          <w:rtl/>
          <w:lang w:bidi="fa-IR"/>
        </w:rPr>
        <w:t>البیت</w:t>
      </w:r>
      <w:proofErr w:type="spellEnd"/>
      <w:r w:rsidR="00CE500D">
        <w:rPr>
          <w:rFonts w:cs="B Mitra" w:hint="cs"/>
          <w:sz w:val="28"/>
          <w:szCs w:val="28"/>
          <w:rtl/>
          <w:lang w:bidi="fa-IR"/>
        </w:rPr>
        <w:t>».</w:t>
      </w:r>
      <w:r w:rsidR="00CE500D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8C48D4" w:rsidRPr="00CE500D" w:rsidRDefault="00CE500D" w:rsidP="009D05B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CE500D">
        <w:rPr>
          <w:rFonts w:cs="B Mitra" w:hint="cs"/>
          <w:color w:val="FF0000"/>
          <w:sz w:val="28"/>
          <w:szCs w:val="28"/>
          <w:rtl/>
          <w:lang w:bidi="fa-IR"/>
        </w:rPr>
        <w:t>ارزیابی</w:t>
      </w:r>
    </w:p>
    <w:p w:rsidR="005F2074" w:rsidRDefault="00CE500D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جحاف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یحیی بن معین وی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گفته است اشکالی بر وی وارد نیست.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وی را صالح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است. بعد سخن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نقل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5F2074" w:rsidRDefault="00CE500D" w:rsidP="0022255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تهذیب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التهذیب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جحاف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است: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سفیان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و بزرگ می شمرده است. احمد و ابن معین او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را صالح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 بر وی اشکالی وارد نیست.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222558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او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غالیان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شیعه است و عموم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روایاتش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اهل بیت است و از نظر من قوی نیست.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الثقات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را ذکر کرده و گفته است مرتکب خطا می شده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عقیلی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او را از غلات شیعه به شمار آورده است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ازدی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وی را ضعیف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توقیق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است.</w:t>
      </w:r>
      <w:r w:rsidRPr="00CE500D">
        <w:rPr>
          <w:rStyle w:val="FootnoteReference"/>
          <w:rFonts w:cs="B Mitra"/>
          <w:sz w:val="28"/>
          <w:szCs w:val="28"/>
          <w:rtl/>
          <w:lang w:bidi="fa-IR"/>
        </w:rPr>
        <w:t xml:space="preserve">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 ابن حجر </w:t>
      </w:r>
      <w:r w:rsidR="000D2094">
        <w:rPr>
          <w:rFonts w:cs="B Mitra" w:hint="cs"/>
          <w:sz w:val="28"/>
          <w:szCs w:val="28"/>
          <w:rtl/>
          <w:lang w:bidi="fa-IR"/>
        </w:rPr>
        <w:t xml:space="preserve">در کتاب دیگرش </w:t>
      </w:r>
      <w:r>
        <w:rPr>
          <w:rFonts w:cs="B Mitra" w:hint="cs"/>
          <w:sz w:val="28"/>
          <w:szCs w:val="28"/>
          <w:rtl/>
          <w:lang w:bidi="fa-IR"/>
        </w:rPr>
        <w:t>درباره وی گفته است</w:t>
      </w:r>
      <w:r w:rsidR="000D209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شیعی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ربما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اخطا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="000D2094"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222558" w:rsidRDefault="000D2094" w:rsidP="0022255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از آنچه بیان شد معلوم </w:t>
      </w:r>
      <w:r w:rsidR="00222558">
        <w:rPr>
          <w:rFonts w:cs="B Mitra" w:hint="cs"/>
          <w:sz w:val="28"/>
          <w:szCs w:val="28"/>
          <w:rtl/>
          <w:lang w:bidi="fa-IR"/>
        </w:rPr>
        <w:t xml:space="preserve">می شود که </w:t>
      </w:r>
      <w:r>
        <w:rPr>
          <w:rFonts w:cs="B Mitra" w:hint="cs"/>
          <w:sz w:val="28"/>
          <w:szCs w:val="28"/>
          <w:rtl/>
          <w:lang w:bidi="fa-IR"/>
        </w:rPr>
        <w:t xml:space="preserve">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جحاف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های قویی دارد و افراد برجسته ای همچون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یحیی بن معین،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سفیان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حبان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وی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تنها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ازدی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وی را تضعیف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تعبیر شیعی بودن یا از غلات شیعه بودن نیز به خودی خود در باب روایات قدح روایت به شمار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رود. </w:t>
      </w:r>
      <w:r w:rsidR="00222558">
        <w:rPr>
          <w:rFonts w:cs="B Mitra" w:hint="cs"/>
          <w:sz w:val="28"/>
          <w:szCs w:val="28"/>
          <w:rtl/>
          <w:lang w:bidi="fa-IR"/>
        </w:rPr>
        <w:t xml:space="preserve">نکته دیگر اینکه </w:t>
      </w:r>
      <w:r>
        <w:rPr>
          <w:rFonts w:cs="B Mitra" w:hint="cs"/>
          <w:sz w:val="28"/>
          <w:szCs w:val="28"/>
          <w:rtl/>
          <w:lang w:bidi="fa-IR"/>
        </w:rPr>
        <w:t xml:space="preserve">ابن حجر </w:t>
      </w:r>
      <w:r w:rsidR="00222558">
        <w:rPr>
          <w:rFonts w:cs="B Mitra" w:hint="cs"/>
          <w:sz w:val="28"/>
          <w:szCs w:val="28"/>
          <w:rtl/>
          <w:lang w:bidi="fa-IR"/>
        </w:rPr>
        <w:t xml:space="preserve">این تعبیر را </w:t>
      </w:r>
      <w:r>
        <w:rPr>
          <w:rFonts w:cs="B Mitra" w:hint="cs"/>
          <w:sz w:val="28"/>
          <w:szCs w:val="28"/>
          <w:rtl/>
          <w:lang w:bidi="fa-IR"/>
        </w:rPr>
        <w:t xml:space="preserve">که گفته است وی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شیعی است اما گاه خطا می کرده</w:t>
      </w:r>
      <w:r w:rsidR="00222558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در مورد کسانی به کار می برد که روایت آنها را می پذیرد و آنها را موثق می داند. </w:t>
      </w:r>
      <w:r w:rsidR="00222558">
        <w:rPr>
          <w:rFonts w:cs="B Mitra" w:hint="cs"/>
          <w:sz w:val="28"/>
          <w:szCs w:val="28"/>
          <w:rtl/>
          <w:lang w:bidi="fa-IR"/>
        </w:rPr>
        <w:t xml:space="preserve">علاوه بر اینکه وی در اینجا از </w:t>
      </w:r>
      <w:r>
        <w:rPr>
          <w:rFonts w:cs="B Mitra" w:hint="cs"/>
          <w:sz w:val="28"/>
          <w:szCs w:val="28"/>
          <w:rtl/>
          <w:lang w:bidi="fa-IR"/>
        </w:rPr>
        <w:t xml:space="preserve">تعبیر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ربما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222558">
        <w:rPr>
          <w:rFonts w:cs="B Mitra" w:hint="cs"/>
          <w:sz w:val="28"/>
          <w:szCs w:val="28"/>
          <w:rtl/>
          <w:lang w:bidi="fa-IR"/>
        </w:rPr>
        <w:t xml:space="preserve">استفاده کرده است در حالی که وی </w:t>
      </w:r>
      <w:r>
        <w:rPr>
          <w:rFonts w:cs="B Mitra" w:hint="cs"/>
          <w:sz w:val="28"/>
          <w:szCs w:val="28"/>
          <w:rtl/>
          <w:lang w:bidi="fa-IR"/>
        </w:rPr>
        <w:t xml:space="preserve">کسانی را معتبر می دانسته </w:t>
      </w:r>
      <w:r w:rsidR="00222558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>خطا می کردند.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الطبقه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الخامسه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من قصر عن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الرابع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قلیلا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سیئی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الحفظ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یهن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له اوهام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یخطا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</w:t>
      </w:r>
      <w:r w:rsidR="00222558">
        <w:rPr>
          <w:rFonts w:cs="B Mitra" w:hint="cs"/>
          <w:sz w:val="28"/>
          <w:szCs w:val="28"/>
          <w:rtl/>
          <w:lang w:bidi="fa-IR"/>
        </w:rPr>
        <w:t xml:space="preserve">منکر شمردن این روایت از سوی </w:t>
      </w:r>
      <w:proofErr w:type="spellStart"/>
      <w:r w:rsidR="00222558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222558">
        <w:rPr>
          <w:rFonts w:cs="B Mitra" w:hint="cs"/>
          <w:sz w:val="28"/>
          <w:szCs w:val="28"/>
          <w:rtl/>
          <w:lang w:bidi="fa-IR"/>
        </w:rPr>
        <w:t xml:space="preserve"> نیز هیچ </w:t>
      </w:r>
      <w:proofErr w:type="spellStart"/>
      <w:r w:rsidR="00222558">
        <w:rPr>
          <w:rFonts w:cs="B Mitra" w:hint="cs"/>
          <w:sz w:val="28"/>
          <w:szCs w:val="28"/>
          <w:rtl/>
          <w:lang w:bidi="fa-IR"/>
        </w:rPr>
        <w:t>وجهی</w:t>
      </w:r>
      <w:proofErr w:type="spellEnd"/>
      <w:r w:rsidR="00222558">
        <w:rPr>
          <w:rFonts w:cs="B Mitra" w:hint="cs"/>
          <w:sz w:val="28"/>
          <w:szCs w:val="28"/>
          <w:rtl/>
          <w:lang w:bidi="fa-IR"/>
        </w:rPr>
        <w:t xml:space="preserve"> ندارد، زیرا متن آن منکر نیست و مضمون آن در روایات دیگری که خود </w:t>
      </w:r>
      <w:proofErr w:type="spellStart"/>
      <w:r w:rsidR="00222558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222558">
        <w:rPr>
          <w:rFonts w:cs="B Mitra" w:hint="cs"/>
          <w:sz w:val="28"/>
          <w:szCs w:val="28"/>
          <w:rtl/>
          <w:lang w:bidi="fa-IR"/>
        </w:rPr>
        <w:t xml:space="preserve"> صحیح دانسته آمده است. از جهت راوی نیز همان طور که گفته شد </w:t>
      </w:r>
      <w:proofErr w:type="spellStart"/>
      <w:r w:rsidR="00222558">
        <w:rPr>
          <w:rFonts w:cs="B Mitra" w:hint="cs"/>
          <w:sz w:val="28"/>
          <w:szCs w:val="28"/>
          <w:rtl/>
          <w:lang w:bidi="fa-IR"/>
        </w:rPr>
        <w:t>نکارتی</w:t>
      </w:r>
      <w:proofErr w:type="spellEnd"/>
      <w:r w:rsidR="00222558">
        <w:rPr>
          <w:rFonts w:cs="B Mitra" w:hint="cs"/>
          <w:sz w:val="28"/>
          <w:szCs w:val="28"/>
          <w:rtl/>
          <w:lang w:bidi="fa-IR"/>
        </w:rPr>
        <w:t xml:space="preserve"> ندارد. </w:t>
      </w:r>
    </w:p>
    <w:p w:rsidR="0088274E" w:rsidRDefault="00222558" w:rsidP="0022255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</w:t>
      </w:r>
      <w:r w:rsidR="000D2094">
        <w:rPr>
          <w:rFonts w:cs="B Mitra" w:hint="cs"/>
          <w:sz w:val="28"/>
          <w:szCs w:val="28"/>
          <w:rtl/>
          <w:lang w:bidi="fa-IR"/>
        </w:rPr>
        <w:t xml:space="preserve">روایت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جحاف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D2094">
        <w:rPr>
          <w:rFonts w:cs="B Mitra" w:hint="cs"/>
          <w:sz w:val="28"/>
          <w:szCs w:val="28"/>
          <w:rtl/>
          <w:lang w:bidi="fa-IR"/>
        </w:rPr>
        <w:t>اعتبار دارد</w:t>
      </w:r>
      <w:r>
        <w:rPr>
          <w:rFonts w:cs="B Mitra" w:hint="cs"/>
          <w:sz w:val="28"/>
          <w:szCs w:val="28"/>
          <w:rtl/>
          <w:lang w:bidi="fa-IR"/>
        </w:rPr>
        <w:t xml:space="preserve">. بله </w:t>
      </w:r>
      <w:r w:rsidR="000D2094">
        <w:rPr>
          <w:rFonts w:cs="B Mitra" w:hint="cs"/>
          <w:sz w:val="28"/>
          <w:szCs w:val="28"/>
          <w:rtl/>
          <w:lang w:bidi="fa-IR"/>
        </w:rPr>
        <w:t xml:space="preserve">در جایی که </w:t>
      </w:r>
      <w:r>
        <w:rPr>
          <w:rFonts w:cs="B Mitra" w:hint="cs"/>
          <w:sz w:val="28"/>
          <w:szCs w:val="28"/>
          <w:rtl/>
          <w:lang w:bidi="fa-IR"/>
        </w:rPr>
        <w:t xml:space="preserve">روایت او </w:t>
      </w:r>
      <w:proofErr w:type="spellStart"/>
      <w:r w:rsidR="000D2094"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 w:rsidR="000D2094">
        <w:rPr>
          <w:rFonts w:cs="B Mitra" w:hint="cs"/>
          <w:sz w:val="28"/>
          <w:szCs w:val="28"/>
          <w:rtl/>
          <w:lang w:bidi="fa-IR"/>
        </w:rPr>
        <w:t xml:space="preserve"> داشته باشد و آن </w:t>
      </w:r>
      <w:proofErr w:type="spellStart"/>
      <w:r w:rsidR="000D2094"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 w:rsidR="000D2094">
        <w:rPr>
          <w:rFonts w:cs="B Mitra" w:hint="cs"/>
          <w:sz w:val="28"/>
          <w:szCs w:val="28"/>
          <w:rtl/>
          <w:lang w:bidi="fa-IR"/>
        </w:rPr>
        <w:t xml:space="preserve"> اعلا باشد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0D2094">
        <w:rPr>
          <w:rFonts w:cs="B Mitra" w:hint="cs"/>
          <w:sz w:val="28"/>
          <w:szCs w:val="28"/>
          <w:rtl/>
          <w:lang w:bidi="fa-IR"/>
        </w:rPr>
        <w:t xml:space="preserve"> تنها در این صورت است که روایت </w:t>
      </w: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0D2094">
        <w:rPr>
          <w:rFonts w:cs="B Mitra" w:hint="cs"/>
          <w:sz w:val="28"/>
          <w:szCs w:val="28"/>
          <w:rtl/>
          <w:lang w:bidi="fa-IR"/>
        </w:rPr>
        <w:t xml:space="preserve">توان مقاومت در برابر آن را ندارد. این در حالی است که نه تنها این روایت </w:t>
      </w:r>
      <w:proofErr w:type="spellStart"/>
      <w:r w:rsidR="000D2094"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 w:rsidR="000D2094">
        <w:rPr>
          <w:rFonts w:cs="B Mitra" w:hint="cs"/>
          <w:sz w:val="28"/>
          <w:szCs w:val="28"/>
          <w:rtl/>
          <w:lang w:bidi="fa-IR"/>
        </w:rPr>
        <w:t xml:space="preserve"> ندارد بلکه مفاد و مضمون آن مورد تایید روایات دیگر است. </w:t>
      </w:r>
    </w:p>
    <w:p w:rsidR="00222558" w:rsidRDefault="00222558" w:rsidP="009D05B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88274E" w:rsidRPr="0088274E" w:rsidRDefault="0088274E" w:rsidP="009D05B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88274E">
        <w:rPr>
          <w:rFonts w:cs="B Mitra" w:hint="cs"/>
          <w:color w:val="FF0000"/>
          <w:sz w:val="28"/>
          <w:szCs w:val="28"/>
          <w:rtl/>
          <w:lang w:bidi="fa-IR"/>
        </w:rPr>
        <w:t>دلالت روایت هفدهم</w:t>
      </w:r>
    </w:p>
    <w:p w:rsidR="00CE500D" w:rsidRDefault="0088274E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دلالت این روایت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نیز روشن است</w:t>
      </w:r>
      <w:r w:rsidR="00E443D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مقصود از جدا شدن از علی (ع)، مخالفت با ایشان است و مخالف با ایشان مخالف با پیامبر اکرم (ص) و خدای متعال است. این مخالف نیز در همه زمینه ها می شود چه در زمینه ابلاغ احکام دین و چه دستوراتی که در امور سیاسی و اجتماعی صادر می کند. وقتی کسی چنین جایگاهی داشته باشد به معنای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رهبری ایشان است. </w:t>
      </w:r>
    </w:p>
    <w:p w:rsidR="0088274E" w:rsidRPr="005F2074" w:rsidRDefault="0088274E" w:rsidP="009D05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انشاء الله در جلسه آینده به بررسی حدیث بعد پرداخته می شود. </w:t>
      </w:r>
    </w:p>
    <w:p w:rsidR="005F2074" w:rsidRPr="00981DD2" w:rsidRDefault="005F2074" w:rsidP="009D05B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9D05B5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52E" w:rsidRDefault="00F4452E" w:rsidP="00BC6EBB">
      <w:pPr>
        <w:spacing w:after="0" w:line="240" w:lineRule="auto"/>
      </w:pPr>
      <w:r>
        <w:separator/>
      </w:r>
    </w:p>
  </w:endnote>
  <w:endnote w:type="continuationSeparator" w:id="0">
    <w:p w:rsidR="00F4452E" w:rsidRDefault="00F4452E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52E" w:rsidRDefault="00F4452E" w:rsidP="00BC6EBB">
      <w:pPr>
        <w:spacing w:after="0" w:line="240" w:lineRule="auto"/>
      </w:pPr>
      <w:r>
        <w:separator/>
      </w:r>
    </w:p>
  </w:footnote>
  <w:footnote w:type="continuationSeparator" w:id="0">
    <w:p w:rsidR="00F4452E" w:rsidRDefault="00F4452E" w:rsidP="00BC6EBB">
      <w:pPr>
        <w:spacing w:after="0" w:line="240" w:lineRule="auto"/>
      </w:pPr>
      <w:r>
        <w:continuationSeparator/>
      </w:r>
    </w:p>
  </w:footnote>
  <w:footnote w:id="1">
    <w:p w:rsidR="008C48D4" w:rsidRDefault="008C48D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مستدرک</w:t>
      </w:r>
      <w:proofErr w:type="spellEnd"/>
      <w:r>
        <w:rPr>
          <w:rFonts w:hint="cs"/>
          <w:rtl/>
          <w:lang w:bidi="fa-IR"/>
        </w:rPr>
        <w:t>، حاکم نیشابوری، ج3، ص 133، ح4624</w:t>
      </w:r>
    </w:p>
  </w:footnote>
  <w:footnote w:id="2">
    <w:p w:rsidR="008C48D4" w:rsidRDefault="008C48D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ج1، ص 18</w:t>
      </w:r>
    </w:p>
  </w:footnote>
  <w:footnote w:id="3">
    <w:p w:rsidR="00CE500D" w:rsidRDefault="00CE500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>، ص 164، ش 1868</w:t>
      </w:r>
    </w:p>
  </w:footnote>
  <w:footnote w:id="4">
    <w:p w:rsidR="00CE500D" w:rsidRDefault="00CE500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</w:t>
      </w:r>
      <w:proofErr w:type="spellEnd"/>
      <w:r>
        <w:rPr>
          <w:rFonts w:hint="cs"/>
          <w:rtl/>
          <w:lang w:bidi="fa-IR"/>
        </w:rPr>
        <w:t xml:space="preserve"> مریم </w:t>
      </w:r>
      <w:proofErr w:type="spellStart"/>
      <w:r>
        <w:rPr>
          <w:rFonts w:hint="cs"/>
          <w:rtl/>
          <w:lang w:bidi="fa-IR"/>
        </w:rPr>
        <w:t>اعظمی</w:t>
      </w:r>
      <w:proofErr w:type="spellEnd"/>
      <w:r>
        <w:rPr>
          <w:rFonts w:hint="cs"/>
          <w:rtl/>
          <w:lang w:bidi="fa-IR"/>
        </w:rPr>
        <w:t>، ج1، ص 475</w:t>
      </w:r>
    </w:p>
  </w:footnote>
  <w:footnote w:id="5">
    <w:p w:rsidR="00CE500D" w:rsidRDefault="00CE500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ابوعبدالله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ج1، ص 18</w:t>
      </w:r>
    </w:p>
  </w:footnote>
  <w:footnote w:id="6">
    <w:p w:rsidR="00CE500D" w:rsidRDefault="00CE500D" w:rsidP="00CE500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>، ج3، ص 18</w:t>
      </w:r>
    </w:p>
  </w:footnote>
  <w:footnote w:id="7">
    <w:p w:rsidR="00CE500D" w:rsidRDefault="00CE500D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حجر، </w:t>
      </w:r>
      <w:r w:rsidR="000D2094">
        <w:rPr>
          <w:rFonts w:hint="cs"/>
          <w:rtl/>
          <w:lang w:bidi="fa-IR"/>
        </w:rPr>
        <w:t>ج1، ص 164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940332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A358E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40205A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940332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27268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094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A2A"/>
    <w:rsid w:val="001B4D35"/>
    <w:rsid w:val="001B5BA1"/>
    <w:rsid w:val="001C1185"/>
    <w:rsid w:val="001C1950"/>
    <w:rsid w:val="001C2FAF"/>
    <w:rsid w:val="001C3086"/>
    <w:rsid w:val="001C6744"/>
    <w:rsid w:val="001C6AAC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2558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B8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13DA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274E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48D4"/>
    <w:rsid w:val="008C7950"/>
    <w:rsid w:val="008D19FA"/>
    <w:rsid w:val="008D2CD2"/>
    <w:rsid w:val="008D7456"/>
    <w:rsid w:val="008E1683"/>
    <w:rsid w:val="008E1D9D"/>
    <w:rsid w:val="008E20E3"/>
    <w:rsid w:val="008E66BC"/>
    <w:rsid w:val="008F1F9A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332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05B5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2F72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358E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E500D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984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3D0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452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7D9D08-4D88-4232-BB1A-C0E6633F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2020-12-09T18:09:00Z</dcterms:created>
  <dcterms:modified xsi:type="dcterms:W3CDTF">2020-12-09T19:39:00Z</dcterms:modified>
</cp:coreProperties>
</file>