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4F6224DD"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بعد از مقدمه‌ای که جلسۀ قبل اشاره کردیم، عرض می‌کنیم که در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ممکن است در کلمۀ نهی یکی از این سه احتمال مطرح شود:</w:t>
      </w:r>
    </w:p>
    <w:p w14:paraId="032D0084"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احتمال اول:</w:t>
      </w:r>
      <w:r w:rsidRPr="00B87955">
        <w:rPr>
          <w:rFonts w:ascii="IRBadr" w:eastAsia="Calibri" w:hAnsi="IRBadr" w:cs="B Mitra" w:hint="cs"/>
          <w:sz w:val="24"/>
          <w:szCs w:val="24"/>
          <w:rtl/>
        </w:rPr>
        <w:t xml:space="preserve"> احتمالی است که </w:t>
      </w:r>
      <w:r w:rsidRPr="00B87955">
        <w:rPr>
          <w:rFonts w:ascii="Calibri" w:eastAsia="Calibri" w:hAnsi="Calibri" w:cs="B Mitra" w:hint="cs"/>
          <w:b/>
          <w:bCs/>
          <w:color w:val="C00000"/>
          <w:sz w:val="24"/>
          <w:szCs w:val="24"/>
          <w:rtl/>
        </w:rPr>
        <w:t>محقق نائینی</w:t>
      </w:r>
      <w:r w:rsidRPr="00B87955">
        <w:rPr>
          <w:rFonts w:ascii="IRBadr" w:eastAsia="Calibri" w:hAnsi="IRBadr" w:cs="B Mitra" w:hint="cs"/>
          <w:sz w:val="24"/>
          <w:szCs w:val="24"/>
          <w:rtl/>
        </w:rPr>
        <w:t xml:space="preserve"> در </w:t>
      </w:r>
      <w:r w:rsidRPr="00B87955">
        <w:rPr>
          <w:rFonts w:ascii="Calibri" w:eastAsia="Calibri" w:hAnsi="Calibri" w:cs="B Mitra" w:hint="cs"/>
          <w:b/>
          <w:bCs/>
          <w:color w:val="BF8F00"/>
          <w:sz w:val="24"/>
          <w:szCs w:val="24"/>
          <w:rtl/>
        </w:rPr>
        <w:t>تقریرات مکاسب</w:t>
      </w:r>
      <w:r w:rsidRPr="00B87955">
        <w:rPr>
          <w:rFonts w:ascii="IRBadr" w:eastAsia="Calibri" w:hAnsi="IRBadr" w:cs="B Mitra" w:hint="cs"/>
          <w:sz w:val="24"/>
          <w:szCs w:val="24"/>
          <w:rtl/>
        </w:rPr>
        <w:t xml:space="preserve"> ج 2 ص 469 به عنوان احتمال مطرح کرده‌اند هر چند بعد قبول نمی‌کنند و آن احتمال این است که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نهی نظامی و حکومتی باشد، به این معنا که در موارد خاصی، چون بیع غرری موجب تنازع و مشاجره می‌شده است، پیامبر صلی الله علیه و آله و سلم از بیع غرری نهی کرده‌اند لذا این تکلیف، تکلیف مولوی نیست بلکه یک قضاوت در مورد خاص است، نه حرمت تکلیفی از او استفاده می‌شود و نه بطلان وضعی معاملات غرری، حکمی در مورد خاص است.</w:t>
      </w:r>
      <w:r w:rsidRPr="00B87955">
        <w:rPr>
          <w:rFonts w:ascii="IRBadr" w:eastAsia="Calibri" w:hAnsi="IRBadr" w:cs="B Mitra"/>
          <w:sz w:val="24"/>
          <w:szCs w:val="24"/>
          <w:vertAlign w:val="superscript"/>
          <w:rtl/>
        </w:rPr>
        <w:footnoteReference w:id="2"/>
      </w:r>
    </w:p>
    <w:p w14:paraId="70796D57"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به عبارت دیگر چنانکه در مقدمه در جلسۀ قبل اشاره کردیم و از کلام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هم در رسالۀ لاضرر استفاده کردیم اگر نهی، حکومتی باشد یا در مقام قضاوت باشد،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هم می‌فرمودند اختصاص به مورد خاص خودش دارد و دیگر رابطۀ او با ادلۀ اولی سنجیده نمی‌شود مگر در همان مورد خاص، لذا مقید و مخصص «</w:t>
      </w:r>
      <w:r w:rsidRPr="00B87955">
        <w:rPr>
          <w:rFonts w:ascii="Calibri" w:eastAsia="Calibri" w:hAnsi="Calibri" w:cs="B Nazanin"/>
          <w:bCs/>
          <w:color w:val="00B050"/>
          <w:sz w:val="24"/>
          <w:szCs w:val="24"/>
          <w:rtl/>
        </w:rPr>
        <w:t xml:space="preserve"> أَحَلَّ اللَّهُ الْبَيْعَ</w:t>
      </w:r>
      <w:r w:rsidRPr="00B87955">
        <w:rPr>
          <w:rFonts w:ascii="IRBadr" w:eastAsia="Calibri" w:hAnsi="IRBadr" w:cs="B Mitra" w:hint="cs"/>
          <w:sz w:val="24"/>
          <w:szCs w:val="24"/>
          <w:rtl/>
        </w:rPr>
        <w:t>»</w:t>
      </w:r>
      <w:r w:rsidRPr="00B87955">
        <w:rPr>
          <w:rFonts w:ascii="IRBadr" w:eastAsia="Calibri" w:hAnsi="IRBadr" w:cs="B Mitra"/>
          <w:sz w:val="24"/>
          <w:szCs w:val="24"/>
          <w:vertAlign w:val="superscript"/>
          <w:rtl/>
        </w:rPr>
        <w:footnoteReference w:id="3"/>
      </w:r>
      <w:r w:rsidRPr="00B87955">
        <w:rPr>
          <w:rFonts w:ascii="IRBadr" w:eastAsia="Calibri" w:hAnsi="IRBadr" w:cs="B Mitra" w:hint="cs"/>
          <w:sz w:val="24"/>
          <w:szCs w:val="24"/>
          <w:rtl/>
        </w:rPr>
        <w:t xml:space="preserve"> و «</w:t>
      </w:r>
      <w:r w:rsidRPr="00B87955">
        <w:rPr>
          <w:rFonts w:ascii="Calibri" w:eastAsia="Calibri" w:hAnsi="Calibri" w:cs="Arial"/>
          <w:rtl/>
          <w:lang w:bidi="ar-SA"/>
        </w:rPr>
        <w:t xml:space="preserve"> </w:t>
      </w:r>
      <w:r w:rsidRPr="00B87955">
        <w:rPr>
          <w:rFonts w:ascii="Calibri" w:eastAsia="Calibri" w:hAnsi="Calibri" w:cs="B Nazanin"/>
          <w:bCs/>
          <w:color w:val="00B050"/>
          <w:sz w:val="24"/>
          <w:szCs w:val="24"/>
          <w:rtl/>
        </w:rPr>
        <w:t>أَوْفُوا بِالْعُقُودِ</w:t>
      </w:r>
      <w:r w:rsidRPr="00B87955">
        <w:rPr>
          <w:rFonts w:ascii="IRBadr" w:eastAsia="Calibri" w:hAnsi="IRBadr" w:cs="B Mitra" w:hint="cs"/>
          <w:sz w:val="24"/>
          <w:szCs w:val="24"/>
          <w:rtl/>
        </w:rPr>
        <w:t>»</w:t>
      </w:r>
      <w:r w:rsidRPr="00B87955">
        <w:rPr>
          <w:rFonts w:ascii="IRBadr" w:eastAsia="Calibri" w:hAnsi="IRBadr" w:cs="B Mitra"/>
          <w:sz w:val="24"/>
          <w:szCs w:val="24"/>
          <w:vertAlign w:val="superscript"/>
          <w:rtl/>
        </w:rPr>
        <w:footnoteReference w:id="4"/>
      </w:r>
      <w:r w:rsidRPr="00B87955">
        <w:rPr>
          <w:rFonts w:ascii="IRBadr" w:eastAsia="Calibri" w:hAnsi="IRBadr" w:cs="B Mitra" w:hint="cs"/>
          <w:sz w:val="24"/>
          <w:szCs w:val="24"/>
          <w:rtl/>
        </w:rPr>
        <w:t xml:space="preserve"> قرار نمی‌گیرد.</w:t>
      </w:r>
    </w:p>
    <w:p w14:paraId="7D6494F2"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Calibri" w:eastAsia="Calibri" w:hAnsi="Calibri" w:cs="B Mitra" w:hint="cs"/>
          <w:b/>
          <w:bCs/>
          <w:color w:val="C00000"/>
          <w:sz w:val="24"/>
          <w:szCs w:val="24"/>
          <w:rtl/>
        </w:rPr>
        <w:t>محقق نائینی</w:t>
      </w:r>
      <w:r w:rsidRPr="00B87955">
        <w:rPr>
          <w:rFonts w:ascii="IRBadr" w:eastAsia="Calibri" w:hAnsi="IRBadr" w:cs="B Mitra" w:hint="cs"/>
          <w:sz w:val="24"/>
          <w:szCs w:val="24"/>
          <w:rtl/>
        </w:rPr>
        <w:t xml:space="preserve"> هر چند این احتمال را ذکر می‌کنند ولی قبول نمی‌کنند و حق هم با ایشان است که ظاهر اوامر و نواهی شارع مولویت است، یا تکلیفا و یا وضعا، اینکه اختصاص بدهیم به مورد خاص و بگوییم قضیۀ فی واقعۀ هست، این قابل قبول نیست و قرینه‌ای بر آن نداریم.</w:t>
      </w:r>
      <w:r w:rsidRPr="00B87955">
        <w:rPr>
          <w:rFonts w:ascii="IRBadr" w:eastAsia="Calibri" w:hAnsi="IRBadr" w:cs="B Mitra"/>
          <w:sz w:val="24"/>
          <w:szCs w:val="24"/>
          <w:vertAlign w:val="superscript"/>
          <w:rtl/>
        </w:rPr>
        <w:footnoteReference w:id="5"/>
      </w:r>
    </w:p>
    <w:p w14:paraId="16B2FFE1"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بله اینجا به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با توجه به مبانی اصولیشان یک اشکال مهم وارد است که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باید از این اشکال جواب بدهند.</w:t>
      </w:r>
    </w:p>
    <w:p w14:paraId="6C0F06DE"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خلاصۀ اشکال این است که از طرفی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در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xml:space="preserve">» تصریح می‌کنند اگر غرر به معنای خطر باشد، نهی دال بر فساد است و نهی مولوی است و اگر به معنای خدیعه باشد حرمت تکلیفی را می‌رساند و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w:t>
      </w:r>
      <w:r w:rsidRPr="00B87955">
        <w:rPr>
          <w:rFonts w:ascii="Calibri" w:eastAsia="Calibri" w:hAnsi="Calibri" w:cs="B Nazanin" w:hint="cs"/>
          <w:bCs/>
          <w:color w:val="00B050"/>
          <w:sz w:val="24"/>
          <w:szCs w:val="24"/>
          <w:rtl/>
        </w:rPr>
        <w:t xml:space="preserve"> نهی النبی عن بیع الغرر</w:t>
      </w:r>
      <w:r w:rsidRPr="00B87955">
        <w:rPr>
          <w:rFonts w:ascii="IRBadr" w:eastAsia="Calibri" w:hAnsi="IRBadr" w:cs="B Mitra" w:hint="cs"/>
          <w:sz w:val="24"/>
          <w:szCs w:val="24"/>
          <w:rtl/>
        </w:rPr>
        <w:t xml:space="preserve">» را در فقه حاکم بر ادلۀ اولی می‌دانند، مرتب ادلۀ اولی را با این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تقیید می‌زنند.</w:t>
      </w:r>
    </w:p>
    <w:p w14:paraId="17877254"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از طرف دیگر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در رسالۀ لاضرر که قسمتی از آن را در جلسۀ قبل اشاره کردیم، تصریح می‌کنند که اگر لسان روایات با کلمۀ «</w:t>
      </w:r>
      <w:r w:rsidRPr="00B87955">
        <w:rPr>
          <w:rFonts w:ascii="Calibri" w:eastAsia="Calibri" w:hAnsi="Calibri" w:cs="B Mitra" w:hint="cs"/>
          <w:bCs/>
          <w:color w:val="C00000"/>
          <w:sz w:val="24"/>
          <w:szCs w:val="24"/>
          <w:rtl/>
        </w:rPr>
        <w:t>قال</w:t>
      </w:r>
      <w:r w:rsidRPr="00B87955">
        <w:rPr>
          <w:rFonts w:ascii="IRBadr" w:eastAsia="Calibri" w:hAnsi="IRBadr" w:cs="B Mitra" w:hint="cs"/>
          <w:sz w:val="24"/>
          <w:szCs w:val="24"/>
          <w:rtl/>
        </w:rPr>
        <w:t>» بود «</w:t>
      </w:r>
      <w:r w:rsidRPr="00B87955">
        <w:rPr>
          <w:rFonts w:ascii="Calibri" w:eastAsia="Calibri" w:hAnsi="Calibri" w:cs="B Nazanin" w:hint="cs"/>
          <w:bCs/>
          <w:color w:val="00B050"/>
          <w:sz w:val="24"/>
          <w:szCs w:val="24"/>
          <w:rtl/>
        </w:rPr>
        <w:t>قال رسول الله صلی الله علیه و آله و سلم</w:t>
      </w:r>
      <w:r w:rsidRPr="00B87955">
        <w:rPr>
          <w:rFonts w:ascii="IRBadr" w:eastAsia="Calibri" w:hAnsi="IRBadr" w:cs="B Mitra" w:hint="cs"/>
          <w:sz w:val="24"/>
          <w:szCs w:val="24"/>
          <w:rtl/>
        </w:rPr>
        <w:t xml:space="preserve">» بود اینجا حمل می‌شود که حکم اولی است لذا مقید و مخصص ادلۀ اولی و حاکم و وارد بر آنها قرار می‌گیرد ولی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فرمودند اگر لسان دلیل «</w:t>
      </w:r>
      <w:r w:rsidRPr="00B87955">
        <w:rPr>
          <w:rFonts w:ascii="Calibri" w:eastAsia="Calibri" w:hAnsi="Calibri" w:cs="B Mitra" w:hint="cs"/>
          <w:bCs/>
          <w:color w:val="C00000"/>
          <w:sz w:val="24"/>
          <w:szCs w:val="24"/>
          <w:rtl/>
        </w:rPr>
        <w:t>قضی</w:t>
      </w:r>
      <w:r w:rsidRPr="00B87955">
        <w:rPr>
          <w:rFonts w:ascii="IRBadr" w:eastAsia="Calibri" w:hAnsi="IRBadr" w:cs="B Mitra" w:hint="cs"/>
          <w:sz w:val="24"/>
          <w:szCs w:val="24"/>
          <w:rtl/>
        </w:rPr>
        <w:t>» و «</w:t>
      </w:r>
      <w:r w:rsidRPr="00B87955">
        <w:rPr>
          <w:rFonts w:ascii="Calibri" w:eastAsia="Calibri" w:hAnsi="Calibri" w:cs="B Mitra" w:hint="cs"/>
          <w:bCs/>
          <w:color w:val="C00000"/>
          <w:sz w:val="24"/>
          <w:szCs w:val="24"/>
          <w:rtl/>
        </w:rPr>
        <w:t>حکم</w:t>
      </w:r>
      <w:r w:rsidRPr="00B87955">
        <w:rPr>
          <w:rFonts w:ascii="IRBadr" w:eastAsia="Calibri" w:hAnsi="IRBadr" w:cs="B Mitra" w:hint="cs"/>
          <w:sz w:val="24"/>
          <w:szCs w:val="24"/>
          <w:rtl/>
        </w:rPr>
        <w:t>» و «</w:t>
      </w:r>
      <w:r w:rsidRPr="00B87955">
        <w:rPr>
          <w:rFonts w:ascii="Calibri" w:eastAsia="Calibri" w:hAnsi="Calibri" w:cs="B Mitra" w:hint="cs"/>
          <w:bCs/>
          <w:color w:val="C00000"/>
          <w:sz w:val="24"/>
          <w:szCs w:val="24"/>
          <w:rtl/>
        </w:rPr>
        <w:t>امر</w:t>
      </w:r>
      <w:r w:rsidRPr="00B87955">
        <w:rPr>
          <w:rFonts w:ascii="IRBadr" w:eastAsia="Calibri" w:hAnsi="IRBadr" w:cs="B Mitra" w:hint="cs"/>
          <w:sz w:val="24"/>
          <w:szCs w:val="24"/>
          <w:rtl/>
        </w:rPr>
        <w:t>» بود، بعد می‌فرمایند «</w:t>
      </w:r>
      <w:r w:rsidRPr="00B87955">
        <w:rPr>
          <w:rFonts w:ascii="Calibri" w:eastAsia="Calibri" w:hAnsi="Calibri" w:cs="B Mitra" w:hint="cs"/>
          <w:bCs/>
          <w:color w:val="C00000"/>
          <w:sz w:val="24"/>
          <w:szCs w:val="24"/>
          <w:rtl/>
        </w:rPr>
        <w:t>و امثال ذلک</w:t>
      </w:r>
      <w:r w:rsidRPr="00B87955">
        <w:rPr>
          <w:rFonts w:ascii="IRBadr" w:eastAsia="Calibri" w:hAnsi="IRBadr" w:cs="B Mitra" w:hint="cs"/>
          <w:sz w:val="24"/>
          <w:szCs w:val="24"/>
          <w:rtl/>
        </w:rPr>
        <w:t>» مثل «</w:t>
      </w:r>
      <w:r w:rsidRPr="00B87955">
        <w:rPr>
          <w:rFonts w:ascii="Calibri" w:eastAsia="Calibri" w:hAnsi="Calibri" w:cs="B Mitra" w:hint="cs"/>
          <w:bCs/>
          <w:color w:val="C00000"/>
          <w:sz w:val="24"/>
          <w:szCs w:val="24"/>
          <w:rtl/>
        </w:rPr>
        <w:t>امر</w:t>
      </w:r>
      <w:r w:rsidRPr="00B87955">
        <w:rPr>
          <w:rFonts w:ascii="IRBadr" w:eastAsia="Calibri" w:hAnsi="IRBadr" w:cs="B Mitra" w:hint="cs"/>
          <w:sz w:val="24"/>
          <w:szCs w:val="24"/>
          <w:rtl/>
        </w:rPr>
        <w:t>» یعنی «</w:t>
      </w:r>
      <w:r w:rsidRPr="00B87955">
        <w:rPr>
          <w:rFonts w:ascii="Calibri" w:eastAsia="Calibri" w:hAnsi="Calibri" w:cs="B Mitra" w:hint="cs"/>
          <w:bCs/>
          <w:color w:val="C00000"/>
          <w:sz w:val="24"/>
          <w:szCs w:val="24"/>
          <w:rtl/>
        </w:rPr>
        <w:t>نهی</w:t>
      </w:r>
      <w:r w:rsidRPr="00B87955">
        <w:rPr>
          <w:rFonts w:ascii="IRBadr" w:eastAsia="Calibri" w:hAnsi="IRBadr" w:cs="B Mitra" w:hint="cs"/>
          <w:sz w:val="24"/>
          <w:szCs w:val="24"/>
          <w:rtl/>
        </w:rPr>
        <w:t xml:space="preserve">»،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می‌فرمایند اینگونه عبارات در روایات دلالت می‌کند که یا حکم، حکم سلطنتی است و به تعبیر </w:t>
      </w:r>
      <w:r w:rsidRPr="00B87955">
        <w:rPr>
          <w:rFonts w:ascii="Calibri" w:eastAsia="Calibri" w:hAnsi="Calibri" w:cs="B Mitra" w:hint="cs"/>
          <w:b/>
          <w:bCs/>
          <w:color w:val="C00000"/>
          <w:sz w:val="24"/>
          <w:szCs w:val="24"/>
          <w:rtl/>
        </w:rPr>
        <w:t>محقق نائینی</w:t>
      </w:r>
      <w:r w:rsidRPr="00B87955">
        <w:rPr>
          <w:rFonts w:ascii="IRBadr" w:eastAsia="Calibri" w:hAnsi="IRBadr" w:cs="B Mitra" w:hint="cs"/>
          <w:sz w:val="24"/>
          <w:szCs w:val="24"/>
          <w:rtl/>
        </w:rPr>
        <w:t xml:space="preserve"> حکومتی است و یا حکم، قضاوت است و اختصاص به مورد خاص دارد و نسبتش با ادلۀ اولی سنجیده نمی‌شود.</w:t>
      </w:r>
    </w:p>
    <w:p w14:paraId="4239C7C6"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عرض ما به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این است که وقتی مبنای شما چنین است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مثل «</w:t>
      </w:r>
      <w:r w:rsidRPr="00B87955">
        <w:rPr>
          <w:rFonts w:ascii="Calibri" w:eastAsia="Calibri" w:hAnsi="Calibri" w:cs="B Mitra" w:hint="cs"/>
          <w:bCs/>
          <w:color w:val="C00000"/>
          <w:sz w:val="24"/>
          <w:szCs w:val="24"/>
          <w:rtl/>
        </w:rPr>
        <w:t>امر النبی بکذا</w:t>
      </w:r>
      <w:r w:rsidRPr="00B87955">
        <w:rPr>
          <w:rFonts w:ascii="IRBadr" w:eastAsia="Calibri" w:hAnsi="IRBadr" w:cs="B Mitra" w:hint="cs"/>
          <w:sz w:val="24"/>
          <w:szCs w:val="24"/>
          <w:rtl/>
        </w:rPr>
        <w:t>» ظهور دارد در حکم حکومتی و لذا نباید با ادلۀ اولی سنجیده شود، چگونه در حدیث لاضرر می‌گویید چون «</w:t>
      </w:r>
      <w:r w:rsidRPr="00B87955">
        <w:rPr>
          <w:rFonts w:ascii="Calibri" w:eastAsia="Calibri" w:hAnsi="Calibri" w:cs="B Mitra" w:hint="cs"/>
          <w:bCs/>
          <w:color w:val="C00000"/>
          <w:sz w:val="24"/>
          <w:szCs w:val="24"/>
          <w:rtl/>
        </w:rPr>
        <w:t>قضی و حکم</w:t>
      </w:r>
      <w:r w:rsidRPr="00B87955">
        <w:rPr>
          <w:rFonts w:ascii="IRBadr" w:eastAsia="Calibri" w:hAnsi="IRBadr" w:cs="B Mitra" w:hint="cs"/>
          <w:sz w:val="24"/>
          <w:szCs w:val="24"/>
          <w:rtl/>
        </w:rPr>
        <w:t xml:space="preserve">» دارد، حکم حکومتی </w:t>
      </w:r>
      <w:r w:rsidRPr="00B87955">
        <w:rPr>
          <w:rFonts w:ascii="IRBadr" w:eastAsia="Calibri" w:hAnsi="IRBadr" w:cs="B Mitra" w:hint="cs"/>
          <w:sz w:val="24"/>
          <w:szCs w:val="24"/>
          <w:rtl/>
        </w:rPr>
        <w:lastRenderedPageBreak/>
        <w:t>می‌شود و فقط با «</w:t>
      </w:r>
      <w:r w:rsidRPr="00B87955">
        <w:rPr>
          <w:rFonts w:ascii="Calibri" w:eastAsia="Calibri" w:hAnsi="Calibri" w:cs="B Nazanin" w:hint="cs"/>
          <w:bCs/>
          <w:color w:val="00B050"/>
          <w:sz w:val="24"/>
          <w:szCs w:val="24"/>
          <w:rtl/>
        </w:rPr>
        <w:t>الناس مسلطون علی اموالهم</w:t>
      </w:r>
      <w:r w:rsidRPr="00B87955">
        <w:rPr>
          <w:rFonts w:ascii="IRBadr" w:eastAsia="Calibri" w:hAnsi="IRBadr" w:cs="B Mitra" w:hint="cs"/>
          <w:sz w:val="24"/>
          <w:szCs w:val="24"/>
          <w:rtl/>
        </w:rPr>
        <w:t>» سنجیده می‌شود نه با سائر ادله؟ اینجا هم نباید نسبت این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xml:space="preserve">» را با احکام اولی بسنجید. </w:t>
      </w:r>
    </w:p>
    <w:p w14:paraId="3DB1C6CE"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لذا این اشکال با توجه به مبنای </w:t>
      </w:r>
      <w:r w:rsidRPr="00B87955">
        <w:rPr>
          <w:rFonts w:ascii="Calibri" w:eastAsia="Calibri" w:hAnsi="Calibri" w:cs="B Mitra" w:hint="cs"/>
          <w:b/>
          <w:bCs/>
          <w:color w:val="C00000"/>
          <w:sz w:val="24"/>
          <w:szCs w:val="24"/>
          <w:rtl/>
        </w:rPr>
        <w:t xml:space="preserve">امام خمینی </w:t>
      </w:r>
      <w:r w:rsidRPr="00B87955">
        <w:rPr>
          <w:rFonts w:ascii="IRBadr" w:eastAsia="Calibri" w:hAnsi="IRBadr" w:cs="B Mitra" w:hint="cs"/>
          <w:sz w:val="24"/>
          <w:szCs w:val="24"/>
          <w:rtl/>
        </w:rPr>
        <w:t xml:space="preserve">به نظرشان در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وارد است.</w:t>
      </w:r>
    </w:p>
    <w:p w14:paraId="68249870"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عرض ما این است که ما چون این مبنای </w:t>
      </w:r>
      <w:r w:rsidRPr="00B87955">
        <w:rPr>
          <w:rFonts w:ascii="Calibri" w:eastAsia="Calibri" w:hAnsi="Calibri" w:cs="B Mitra" w:hint="cs"/>
          <w:b/>
          <w:bCs/>
          <w:color w:val="C00000"/>
          <w:sz w:val="24"/>
          <w:szCs w:val="24"/>
          <w:rtl/>
        </w:rPr>
        <w:t>امام خمینی</w:t>
      </w:r>
      <w:r w:rsidRPr="00B87955">
        <w:rPr>
          <w:rFonts w:ascii="IRBadr" w:eastAsia="Calibri" w:hAnsi="IRBadr" w:cs="B Mitra" w:hint="cs"/>
          <w:sz w:val="24"/>
          <w:szCs w:val="24"/>
          <w:rtl/>
        </w:rPr>
        <w:t xml:space="preserve"> را قبول نداریم لذا ظاهر همۀ دستورات صادر شده از رسول الله صلی الله علیه و آله و سلم چه با لفظ «</w:t>
      </w:r>
      <w:r w:rsidRPr="00B87955">
        <w:rPr>
          <w:rFonts w:ascii="Calibri" w:eastAsia="Calibri" w:hAnsi="Calibri" w:cs="B Mitra" w:hint="cs"/>
          <w:bCs/>
          <w:color w:val="C00000"/>
          <w:sz w:val="24"/>
          <w:szCs w:val="24"/>
          <w:rtl/>
        </w:rPr>
        <w:t>قال</w:t>
      </w:r>
      <w:r w:rsidRPr="00B87955">
        <w:rPr>
          <w:rFonts w:ascii="IRBadr" w:eastAsia="Calibri" w:hAnsi="IRBadr" w:cs="B Mitra" w:hint="cs"/>
          <w:sz w:val="24"/>
          <w:szCs w:val="24"/>
          <w:rtl/>
        </w:rPr>
        <w:t xml:space="preserve">»، چه با لفظ « </w:t>
      </w:r>
      <w:r w:rsidRPr="00B87955">
        <w:rPr>
          <w:rFonts w:ascii="Calibri" w:eastAsia="Calibri" w:hAnsi="Calibri" w:cs="B Mitra" w:hint="cs"/>
          <w:bCs/>
          <w:color w:val="C00000"/>
          <w:sz w:val="24"/>
          <w:szCs w:val="24"/>
          <w:rtl/>
        </w:rPr>
        <w:t>قضی</w:t>
      </w:r>
      <w:r w:rsidRPr="00B87955">
        <w:rPr>
          <w:rFonts w:ascii="IRBadr" w:eastAsia="Calibri" w:hAnsi="IRBadr" w:cs="B Mitra" w:hint="cs"/>
          <w:sz w:val="24"/>
          <w:szCs w:val="24"/>
          <w:rtl/>
        </w:rPr>
        <w:t>»، چه با لفظ «</w:t>
      </w:r>
      <w:r w:rsidRPr="00B87955">
        <w:rPr>
          <w:rFonts w:ascii="Calibri" w:eastAsia="Calibri" w:hAnsi="Calibri" w:cs="B Mitra" w:hint="cs"/>
          <w:bCs/>
          <w:color w:val="C00000"/>
          <w:sz w:val="24"/>
          <w:szCs w:val="24"/>
          <w:rtl/>
        </w:rPr>
        <w:t>حکم</w:t>
      </w:r>
      <w:r w:rsidRPr="00B87955">
        <w:rPr>
          <w:rFonts w:ascii="IRBadr" w:eastAsia="Calibri" w:hAnsi="IRBadr" w:cs="B Mitra" w:hint="cs"/>
          <w:sz w:val="24"/>
          <w:szCs w:val="24"/>
          <w:rtl/>
        </w:rPr>
        <w:t>»، چه با لفظ «</w:t>
      </w:r>
      <w:r w:rsidRPr="00B87955">
        <w:rPr>
          <w:rFonts w:ascii="Calibri" w:eastAsia="Calibri" w:hAnsi="Calibri" w:cs="B Mitra" w:hint="cs"/>
          <w:bCs/>
          <w:color w:val="C00000"/>
          <w:sz w:val="24"/>
          <w:szCs w:val="24"/>
          <w:rtl/>
        </w:rPr>
        <w:t>امر</w:t>
      </w:r>
      <w:r w:rsidRPr="00B87955">
        <w:rPr>
          <w:rFonts w:ascii="IRBadr" w:eastAsia="Calibri" w:hAnsi="IRBadr" w:cs="B Mitra" w:hint="cs"/>
          <w:sz w:val="24"/>
          <w:szCs w:val="24"/>
          <w:rtl/>
        </w:rPr>
        <w:t>» و چه با لفظ «</w:t>
      </w:r>
      <w:r w:rsidRPr="00B87955">
        <w:rPr>
          <w:rFonts w:ascii="Calibri" w:eastAsia="Calibri" w:hAnsi="Calibri" w:cs="B Mitra" w:hint="cs"/>
          <w:bCs/>
          <w:color w:val="C00000"/>
          <w:sz w:val="24"/>
          <w:szCs w:val="24"/>
          <w:rtl/>
        </w:rPr>
        <w:t>نهی</w:t>
      </w:r>
      <w:r w:rsidRPr="00B87955">
        <w:rPr>
          <w:rFonts w:ascii="IRBadr" w:eastAsia="Calibri" w:hAnsi="IRBadr" w:cs="B Mitra" w:hint="cs"/>
          <w:sz w:val="24"/>
          <w:szCs w:val="24"/>
          <w:rtl/>
        </w:rPr>
        <w:t>» ظهور دارد در بیان احکام اولی مگر مورد خاصی که قرینه داشته باشیم که پیامبر اکرم صلی الله علیه و آله و سلم این مطلب را به عنوان قضیۀ شخصی فرموده‌اند در واقعۀ خاصی، با هر لفظی باشد چه لفظ «</w:t>
      </w:r>
      <w:r w:rsidRPr="00B87955">
        <w:rPr>
          <w:rFonts w:ascii="Calibri" w:eastAsia="Calibri" w:hAnsi="Calibri" w:cs="B Mitra" w:hint="cs"/>
          <w:bCs/>
          <w:color w:val="C00000"/>
          <w:sz w:val="24"/>
          <w:szCs w:val="24"/>
          <w:rtl/>
        </w:rPr>
        <w:t>قضی</w:t>
      </w:r>
      <w:r w:rsidRPr="00B87955">
        <w:rPr>
          <w:rFonts w:ascii="IRBadr" w:eastAsia="Calibri" w:hAnsi="IRBadr" w:cs="B Mitra" w:hint="cs"/>
          <w:sz w:val="24"/>
          <w:szCs w:val="24"/>
          <w:rtl/>
        </w:rPr>
        <w:t>»، چه لفظ «</w:t>
      </w:r>
      <w:r w:rsidRPr="00B87955">
        <w:rPr>
          <w:rFonts w:ascii="Calibri" w:eastAsia="Calibri" w:hAnsi="Calibri" w:cs="B Mitra" w:hint="cs"/>
          <w:bCs/>
          <w:color w:val="C00000"/>
          <w:sz w:val="24"/>
          <w:szCs w:val="24"/>
          <w:rtl/>
        </w:rPr>
        <w:t>حکم</w:t>
      </w:r>
      <w:r w:rsidRPr="00B87955">
        <w:rPr>
          <w:rFonts w:ascii="IRBadr" w:eastAsia="Calibri" w:hAnsi="IRBadr" w:cs="B Mitra" w:hint="cs"/>
          <w:sz w:val="24"/>
          <w:szCs w:val="24"/>
          <w:rtl/>
        </w:rPr>
        <w:t xml:space="preserve">»، چه لفظ « </w:t>
      </w:r>
      <w:r w:rsidRPr="00B87955">
        <w:rPr>
          <w:rFonts w:ascii="Calibri" w:eastAsia="Calibri" w:hAnsi="Calibri" w:cs="B Mitra" w:hint="cs"/>
          <w:bCs/>
          <w:color w:val="C00000"/>
          <w:sz w:val="24"/>
          <w:szCs w:val="24"/>
          <w:rtl/>
        </w:rPr>
        <w:t>نهی</w:t>
      </w:r>
      <w:r w:rsidRPr="00B87955">
        <w:rPr>
          <w:rFonts w:ascii="IRBadr" w:eastAsia="Calibri" w:hAnsi="IRBadr" w:cs="B Mitra" w:hint="cs"/>
          <w:sz w:val="24"/>
          <w:szCs w:val="24"/>
          <w:rtl/>
        </w:rPr>
        <w:t>» و امثال آن باشد.</w:t>
      </w:r>
    </w:p>
    <w:p w14:paraId="5EF8E517"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 xml:space="preserve">در جمع‌بندی عرض ما این است در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دو احتمال وجود دارد:</w:t>
      </w:r>
    </w:p>
    <w:p w14:paraId="0D798C7C"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احتمال اول:</w:t>
      </w:r>
      <w:r w:rsidRPr="00B87955">
        <w:rPr>
          <w:rFonts w:ascii="IRBadr" w:eastAsia="Calibri" w:hAnsi="IRBadr" w:cs="B Mitra" w:hint="cs"/>
          <w:sz w:val="24"/>
          <w:szCs w:val="24"/>
          <w:rtl/>
        </w:rPr>
        <w:t xml:space="preserve"> غرر به معنای خدیعه و خدعه باشد، اگر چنین باشد نهی تکلیفی است بدون شبهه، یعنی بیع با خدعه حرام است. وجه آن این است که در جای خودش ثابت شده است که بیع با خدعه باطل نیست و فوقش خیار تدلیس می‌آورد ولی این احتمال هم مفروض نیست به خاطر اینکه ما در مباحث قبل توضیح دادیم غرر به معنای خدیعه نیست هر چند ثلاثی مجرد آن «</w:t>
      </w:r>
      <w:r w:rsidRPr="00B87955">
        <w:rPr>
          <w:rFonts w:ascii="Calibri" w:eastAsia="Calibri" w:hAnsi="Calibri" w:cs="B Mitra" w:hint="cs"/>
          <w:bCs/>
          <w:color w:val="C00000"/>
          <w:sz w:val="24"/>
          <w:szCs w:val="24"/>
          <w:rtl/>
        </w:rPr>
        <w:t>غرّ</w:t>
      </w:r>
      <w:r w:rsidRPr="00B87955">
        <w:rPr>
          <w:rFonts w:ascii="IRBadr" w:eastAsia="Calibri" w:hAnsi="IRBadr" w:cs="B Mitra" w:hint="cs"/>
          <w:sz w:val="24"/>
          <w:szCs w:val="24"/>
          <w:rtl/>
        </w:rPr>
        <w:t>» به معنای خدیعه و خدعه آمده است ولی باب مفاعله اسم مصدر او یا کلمۀ غرر در لغات نزدیک به عصر نص به معنای خدعه نیامده است پس این احتمال منتفی است.</w:t>
      </w:r>
    </w:p>
    <w:p w14:paraId="0B0F1E75"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احتمال دوم:</w:t>
      </w:r>
      <w:r w:rsidRPr="00B87955">
        <w:rPr>
          <w:rFonts w:ascii="IRBadr" w:eastAsia="Calibri" w:hAnsi="IRBadr" w:cs="B Mitra" w:hint="cs"/>
          <w:sz w:val="24"/>
          <w:szCs w:val="24"/>
          <w:rtl/>
        </w:rPr>
        <w:t xml:space="preserve"> لذا احتمال دوم باقی می‌ماند که غرر به معنای خطر باشد که با توضیحات کافی ما این مطلب را اثبات کردیم. اگر غرر به معنای خطر باشد فی نفسه در نهی دو احتمال است. ممکن است کسی بگوید نهی تکلیفی است، یعنی پیامبر اکرم صلی الله علیه و آله و سلم فرموده بیع غرری حرام و گناه است و ممکن است گفته شود نهی وضعی است یعنی بیع غرری باطل است. کسانیکه مبنایشان این است که تعلق نهی به معاملات ظهور در فساد دارد، اینجا راحت هستند و می‌گویند نهی ظهور در فساد دارد ولی ما که این قاعدۀ کلی را قبول نکردیم باید سراغ قرائن برویم و به نظر ما از تجمیع قرائن استفاده می‌کنیم که نهی در اینجا نهی تکلیفی نیست و نهی وضعی است، نهی به معنای فساد است.</w:t>
      </w:r>
    </w:p>
    <w:p w14:paraId="5E1024D3"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 xml:space="preserve">قرینۀ اول: </w:t>
      </w:r>
      <w:r w:rsidRPr="00B87955">
        <w:rPr>
          <w:rFonts w:ascii="IRBadr" w:eastAsia="Calibri" w:hAnsi="IRBadr" w:cs="B Mitra" w:hint="cs"/>
          <w:sz w:val="24"/>
          <w:szCs w:val="24"/>
          <w:rtl/>
        </w:rPr>
        <w:t>ما از خارج می‌دانیم که بیع غرری که انسان مال خودش را در معرض آسیب قرار بدهد، این حرمت ذاتی ندارد و یک گناه حساب نمی‌شود، شاهدش هم روایاتی است که گناهان را بر می‌شمارند روایات انبوهی داریم مبغوضهای ذاتی را حساب می‌کند، در هیچ یک از آنها گفته نشده است یکی از گناهان بیع غرری است، به خلاف بیع ربوی، شما در بیع ربوی و اکل ربا، ببینید روایات مختلفی داریم که مضمونش این است که بر اکل ربا وعدۀ عذاب داده شده است اما وقتی گناهان را می‌شمارند به هیچ وجه نداریم بیع غرری جزء گناهان است اگر کسی انجام داد باید توبه کند.</w:t>
      </w:r>
    </w:p>
    <w:p w14:paraId="2C61A6F1"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 xml:space="preserve">قرینۀ دوم: </w:t>
      </w:r>
      <w:r w:rsidRPr="00B87955">
        <w:rPr>
          <w:rFonts w:ascii="IRBadr" w:eastAsia="Calibri" w:hAnsi="IRBadr" w:cs="B Mitra" w:hint="cs"/>
          <w:sz w:val="24"/>
          <w:szCs w:val="24"/>
          <w:rtl/>
        </w:rPr>
        <w:t xml:space="preserve">این نهی در روایات «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در سیاق مناهی و نواهی از پیامبر اکرم صلی الله علیه و آله و سلم آمده است که هیچ کدام حرمت تکلیفی ندارد «</w:t>
      </w:r>
      <w:r w:rsidRPr="00B87955">
        <w:rPr>
          <w:rFonts w:ascii="Calibri" w:eastAsia="Calibri" w:hAnsi="Calibri" w:cs="Arial"/>
          <w:rtl/>
          <w:lang w:bidi="ar-SA"/>
        </w:rPr>
        <w:t xml:space="preserve"> </w:t>
      </w:r>
      <w:r w:rsidRPr="00B87955">
        <w:rPr>
          <w:rFonts w:ascii="Calibri" w:eastAsia="Calibri" w:hAnsi="Calibri" w:cs="B Nazanin"/>
          <w:bCs/>
          <w:color w:val="00B050"/>
          <w:sz w:val="24"/>
          <w:szCs w:val="24"/>
          <w:rtl/>
        </w:rPr>
        <w:t>أَنَّهُ نَهَى عَنِ الْمُنَابَذَةِ وَ الْمُلَامَسَةِ وَ بَيْعِ الْحَصَاةِ</w:t>
      </w:r>
      <w:r w:rsidRPr="00B87955">
        <w:rPr>
          <w:rFonts w:ascii="IRBadr" w:eastAsia="Calibri" w:hAnsi="IRBadr" w:cs="B Mitra" w:hint="cs"/>
          <w:sz w:val="24"/>
          <w:szCs w:val="24"/>
          <w:rtl/>
        </w:rPr>
        <w:t>..»</w:t>
      </w:r>
      <w:r w:rsidRPr="00B87955">
        <w:rPr>
          <w:rFonts w:ascii="IRBadr" w:eastAsia="Calibri" w:hAnsi="IRBadr" w:cs="B Mitra"/>
          <w:sz w:val="24"/>
          <w:szCs w:val="24"/>
          <w:vertAlign w:val="superscript"/>
          <w:rtl/>
        </w:rPr>
        <w:footnoteReference w:id="6"/>
      </w:r>
      <w:r w:rsidRPr="00B87955">
        <w:rPr>
          <w:rFonts w:ascii="IRBadr" w:eastAsia="Calibri" w:hAnsi="IRBadr" w:cs="B Mitra" w:hint="cs"/>
          <w:sz w:val="24"/>
          <w:szCs w:val="24"/>
          <w:rtl/>
        </w:rPr>
        <w:t xml:space="preserve"> لذا قرینۀ سیاق هر چند اضعف القرائن است ولی منکر قرینیت آن نیستیم.</w:t>
      </w:r>
    </w:p>
    <w:p w14:paraId="394E41CB"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قرینۀ سوم:</w:t>
      </w:r>
      <w:r w:rsidRPr="00B87955">
        <w:rPr>
          <w:rFonts w:ascii="IRBadr" w:eastAsia="Calibri" w:hAnsi="IRBadr" w:cs="B Mitra" w:hint="cs"/>
          <w:sz w:val="24"/>
          <w:szCs w:val="24"/>
          <w:rtl/>
        </w:rPr>
        <w:t xml:space="preserve"> اینکه قاطبۀ علمای شیعه و اهل سنت از صدر اول تا الان تصریح می‌کنند نهی در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نهی وضعی است نه تکلیفی.</w:t>
      </w:r>
    </w:p>
    <w:p w14:paraId="0A3EE536"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sz w:val="24"/>
          <w:szCs w:val="24"/>
          <w:rtl/>
        </w:rPr>
        <w:t>لذا با این قرائن انسان اطمینان پیدا می‌کند که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نهی، وضعی است یعنی پیامبر اکرم صلی الله علیه و آله و سلم می‌خواهند بفرمایند بیع غرری باطل است.</w:t>
      </w:r>
    </w:p>
    <w:p w14:paraId="29EC01A4"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ان قلت:</w:t>
      </w:r>
      <w:r w:rsidRPr="00B87955">
        <w:rPr>
          <w:rFonts w:ascii="IRBadr" w:eastAsia="Calibri" w:hAnsi="IRBadr" w:cs="B Mitra" w:hint="cs"/>
          <w:sz w:val="24"/>
          <w:szCs w:val="24"/>
          <w:rtl/>
        </w:rPr>
        <w:t xml:space="preserve"> آیا نمی‌شود مثل بیع مضطر که نهی از بیع مضطر را حمل بر کراهت و مبغوضیت خفیف می‌کردیم اینجا هم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را حمل کنیم بر مبغوضیت خفیف و بگوییم مکروه است؟</w:t>
      </w:r>
    </w:p>
    <w:p w14:paraId="5E07ACD2"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lastRenderedPageBreak/>
        <w:t>پاسخ:</w:t>
      </w:r>
      <w:r w:rsidRPr="00B87955">
        <w:rPr>
          <w:rFonts w:ascii="IRBadr" w:eastAsia="Calibri" w:hAnsi="IRBadr" w:cs="B Mitra" w:hint="cs"/>
          <w:sz w:val="24"/>
          <w:szCs w:val="24"/>
          <w:rtl/>
        </w:rPr>
        <w:t xml:space="preserve"> در نهی از بیع مضطر جمع بین ادله آن را اقتضاء می‌کند و به عبارت دیگر ما قرینه داشتیم. از طرفی دلیل داشتیم بیع مضطر جایز است و از طرف دیگر دلیل داشتیم بیع مضطر که جواز حکمی دارد ،صحت وضعی هم دارد، جمع بین اینها اقتضاء می‌کرد که نهی از بیع مضطر را حمل بر کراهت کنیم آنجا قرینه داشتیم اینجا نه تنها قرینه بر جواز وضعی نداریم بلکه قرینه بر عکس است، لذا حمل نهی بر کراهت هم نخواهد شد.</w:t>
      </w:r>
    </w:p>
    <w:p w14:paraId="677DCFA0" w14:textId="77777777" w:rsidR="00B87955" w:rsidRPr="00B87955" w:rsidRDefault="00B87955" w:rsidP="00B87955">
      <w:pPr>
        <w:spacing w:after="0" w:line="276" w:lineRule="auto"/>
        <w:ind w:firstLine="170"/>
        <w:jc w:val="both"/>
        <w:rPr>
          <w:rFonts w:ascii="IRBadr" w:eastAsia="Calibri" w:hAnsi="IRBadr" w:cs="B Mitra"/>
          <w:sz w:val="24"/>
          <w:szCs w:val="24"/>
          <w:rtl/>
        </w:rPr>
      </w:pPr>
      <w:r w:rsidRPr="00B87955">
        <w:rPr>
          <w:rFonts w:ascii="IRBadr" w:eastAsia="Calibri" w:hAnsi="IRBadr" w:cs="B Mitra" w:hint="cs"/>
          <w:b/>
          <w:bCs/>
          <w:sz w:val="24"/>
          <w:szCs w:val="24"/>
          <w:rtl/>
        </w:rPr>
        <w:t>نتیجه:</w:t>
      </w:r>
      <w:r w:rsidRPr="00B87955">
        <w:rPr>
          <w:rFonts w:ascii="IRBadr" w:eastAsia="Calibri" w:hAnsi="IRBadr" w:cs="B Mitra" w:hint="cs"/>
          <w:sz w:val="24"/>
          <w:szCs w:val="24"/>
          <w:rtl/>
        </w:rPr>
        <w:t xml:space="preserve"> تا اینجا به نظر ما خلاصۀ جلسات قبل می‌شود دو جمله، غرر به معنای خطر است و نهی، نهی وضعی است، مفاد «</w:t>
      </w:r>
      <w:r w:rsidRPr="00B87955">
        <w:rPr>
          <w:rFonts w:ascii="Calibri" w:eastAsia="Calibri" w:hAnsi="Calibri" w:cs="B Nazanin" w:hint="cs"/>
          <w:bCs/>
          <w:color w:val="00B050"/>
          <w:sz w:val="24"/>
          <w:szCs w:val="24"/>
          <w:rtl/>
        </w:rPr>
        <w:t>نهی النبی عن بیع الغرر</w:t>
      </w:r>
      <w:r w:rsidRPr="00B87955">
        <w:rPr>
          <w:rFonts w:ascii="IRBadr" w:eastAsia="Calibri" w:hAnsi="IRBadr" w:cs="B Mitra" w:hint="cs"/>
          <w:sz w:val="24"/>
          <w:szCs w:val="24"/>
          <w:rtl/>
        </w:rPr>
        <w:t>» یعنی بیع غرری و بیع خطری باطل است. چند نکتۀ کوتاه دیگر هست که خواهد آمد.</w:t>
      </w:r>
      <w:r w:rsidRPr="00B87955">
        <w:rPr>
          <w:rFonts w:ascii="IRBadr" w:eastAsia="Calibri" w:hAnsi="IRBadr" w:cs="B Mitra"/>
          <w:sz w:val="24"/>
          <w:szCs w:val="24"/>
          <w:vertAlign w:val="superscript"/>
          <w:rtl/>
        </w:rPr>
        <w:footnoteReference w:id="7"/>
      </w:r>
    </w:p>
    <w:p w14:paraId="324BAE21" w14:textId="6B21FA62" w:rsidR="003530AA" w:rsidRPr="00801CA1" w:rsidRDefault="003530AA" w:rsidP="00B87955">
      <w:pPr>
        <w:spacing w:line="276" w:lineRule="auto"/>
        <w:ind w:firstLine="170"/>
        <w:jc w:val="both"/>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5F2AC5" w14:textId="77777777" w:rsidR="00F065BF" w:rsidRDefault="00F065BF" w:rsidP="003530AA">
      <w:pPr>
        <w:spacing w:after="0" w:line="240" w:lineRule="auto"/>
      </w:pPr>
      <w:r>
        <w:separator/>
      </w:r>
    </w:p>
  </w:endnote>
  <w:endnote w:type="continuationSeparator" w:id="0">
    <w:p w14:paraId="2CED949F" w14:textId="77777777" w:rsidR="00F065BF" w:rsidRDefault="00F065BF"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panose1 w:val="02000503000000020004"/>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0A34F6" w14:textId="77777777" w:rsidR="00F065BF" w:rsidRDefault="00F065BF" w:rsidP="003530AA">
      <w:pPr>
        <w:spacing w:after="0" w:line="240" w:lineRule="auto"/>
      </w:pPr>
      <w:r>
        <w:separator/>
      </w:r>
    </w:p>
  </w:footnote>
  <w:footnote w:type="continuationSeparator" w:id="0">
    <w:p w14:paraId="55005118" w14:textId="77777777" w:rsidR="00F065BF" w:rsidRDefault="00F065BF" w:rsidP="003530AA">
      <w:pPr>
        <w:spacing w:after="0" w:line="240" w:lineRule="auto"/>
      </w:pPr>
      <w:r>
        <w:continuationSeparator/>
      </w:r>
    </w:p>
  </w:footnote>
  <w:footnote w:id="1">
    <w:p w14:paraId="1C6AA7A6" w14:textId="44BD2F9F"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726F3A">
        <w:rPr>
          <w:rFonts w:cs="Arial" w:hint="cs"/>
          <w:rtl/>
        </w:rPr>
        <w:t xml:space="preserve"> </w:t>
      </w:r>
      <w:r w:rsidR="00B87955">
        <w:rPr>
          <w:rFonts w:cs="Arial" w:hint="cs"/>
          <w:rtl/>
        </w:rPr>
        <w:t>یاز</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30</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B87955">
        <w:rPr>
          <w:rFonts w:hint="cs"/>
          <w:rtl/>
        </w:rPr>
        <w:t>24</w:t>
      </w:r>
      <w:r w:rsidR="001E6CCE">
        <w:rPr>
          <w:rFonts w:hint="cs"/>
          <w:rtl/>
        </w:rPr>
        <w:t>/</w:t>
      </w:r>
      <w:r w:rsidR="001C1B8C">
        <w:rPr>
          <w:rFonts w:hint="cs"/>
          <w:rtl/>
        </w:rPr>
        <w:t>0</w:t>
      </w:r>
      <w:r w:rsidR="00747136">
        <w:rPr>
          <w:rFonts w:hint="cs"/>
          <w:rtl/>
        </w:rPr>
        <w:t>9</w:t>
      </w:r>
      <w:r w:rsidR="001E6CCE">
        <w:rPr>
          <w:rFonts w:hint="cs"/>
          <w:rtl/>
        </w:rPr>
        <w:t>/</w:t>
      </w:r>
      <w:r w:rsidR="001C1B8C">
        <w:rPr>
          <w:rFonts w:hint="cs"/>
          <w:rtl/>
        </w:rPr>
        <w:t>1400</w:t>
      </w:r>
    </w:p>
  </w:footnote>
  <w:footnote w:id="2">
    <w:p w14:paraId="60931712" w14:textId="77777777" w:rsidR="00B87955" w:rsidRDefault="00B87955" w:rsidP="00B87955">
      <w:pPr>
        <w:pStyle w:val="FootnoteText"/>
        <w:rPr>
          <w:rtl/>
        </w:rPr>
      </w:pPr>
      <w:r>
        <w:rPr>
          <w:rStyle w:val="FootnoteReference"/>
        </w:rPr>
        <w:footnoteRef/>
      </w:r>
      <w:r>
        <w:rPr>
          <w:rtl/>
        </w:rPr>
        <w:t xml:space="preserve"> </w:t>
      </w:r>
      <w:r>
        <w:rPr>
          <w:rFonts w:hint="cs"/>
          <w:rtl/>
        </w:rPr>
        <w:t xml:space="preserve">- </w:t>
      </w:r>
      <w:r>
        <w:rPr>
          <w:rFonts w:cs="Arial"/>
          <w:rtl/>
        </w:rPr>
        <w:t>المكاسب و البيع (للميرزا النائيني)؛ ج‌2، ص: 469</w:t>
      </w:r>
      <w:r>
        <w:rPr>
          <w:rFonts w:hint="cs"/>
          <w:rtl/>
        </w:rPr>
        <w:t>:«</w:t>
      </w:r>
      <w:r>
        <w:rPr>
          <w:rFonts w:cs="Arial"/>
          <w:rtl/>
        </w:rPr>
        <w:t>و اما النهي عنه الذي هو منقول عن النبي صلّى اللّٰه عليه و آله و سلم فليس في طريقنا و طريق العامة محكيا عنه بلفظ الصادر عنه صلّى اللّٰه عليه و آله و سلم بل المنقول هو حكاية نهيه بأنه صلّى اللّٰه عليه و آله و سلم نهى عن بيع الغرر و فيه احتمالات (الأول) ان يكون نهيه صلّى اللّٰه عليه و آله و سلم عن بيع الغرر نظاميا لما يترتب عليه من التشاجر و التنازع فلا يكون نهيا غيريا و لا تحريميا مولويا و على هذا فلا يدل على الفساد بوجه من الوجوه</w:t>
      </w:r>
      <w:r>
        <w:rPr>
          <w:rFonts w:hint="cs"/>
          <w:rtl/>
        </w:rPr>
        <w:t>..».</w:t>
      </w:r>
    </w:p>
  </w:footnote>
  <w:footnote w:id="3">
    <w:p w14:paraId="05E9079A" w14:textId="77777777" w:rsidR="00B87955" w:rsidRDefault="00B87955" w:rsidP="00B87955">
      <w:pPr>
        <w:pStyle w:val="FootnoteText"/>
      </w:pPr>
      <w:r>
        <w:rPr>
          <w:rStyle w:val="FootnoteReference"/>
        </w:rPr>
        <w:footnoteRef/>
      </w:r>
      <w:r>
        <w:rPr>
          <w:rtl/>
        </w:rPr>
        <w:t xml:space="preserve"> </w:t>
      </w:r>
      <w:r>
        <w:rPr>
          <w:rFonts w:hint="cs"/>
          <w:rtl/>
        </w:rPr>
        <w:t>- سورۀ بقره، آیۀ 275.</w:t>
      </w:r>
    </w:p>
  </w:footnote>
  <w:footnote w:id="4">
    <w:p w14:paraId="57D54E4D" w14:textId="77777777" w:rsidR="00B87955" w:rsidRDefault="00B87955" w:rsidP="00B87955">
      <w:pPr>
        <w:pStyle w:val="FootnoteText"/>
      </w:pPr>
      <w:r>
        <w:rPr>
          <w:rStyle w:val="FootnoteReference"/>
        </w:rPr>
        <w:footnoteRef/>
      </w:r>
      <w:r>
        <w:rPr>
          <w:rtl/>
        </w:rPr>
        <w:t xml:space="preserve"> </w:t>
      </w:r>
      <w:r>
        <w:rPr>
          <w:rFonts w:hint="cs"/>
          <w:rtl/>
        </w:rPr>
        <w:t>- سورۀ مائده، آیۀ 1.</w:t>
      </w:r>
    </w:p>
  </w:footnote>
  <w:footnote w:id="5">
    <w:p w14:paraId="2D29B205" w14:textId="77777777" w:rsidR="00B87955" w:rsidRDefault="00B87955" w:rsidP="00B87955">
      <w:pPr>
        <w:pStyle w:val="FootnoteText"/>
        <w:rPr>
          <w:rtl/>
        </w:rPr>
      </w:pPr>
      <w:r>
        <w:rPr>
          <w:rStyle w:val="FootnoteReference"/>
        </w:rPr>
        <w:footnoteRef/>
      </w:r>
      <w:r>
        <w:rPr>
          <w:rtl/>
        </w:rPr>
        <w:t xml:space="preserve"> </w:t>
      </w:r>
      <w:r>
        <w:rPr>
          <w:rFonts w:hint="cs"/>
          <w:rtl/>
        </w:rPr>
        <w:t xml:space="preserve">- </w:t>
      </w:r>
      <w:r>
        <w:rPr>
          <w:rFonts w:cs="Arial"/>
          <w:rtl/>
        </w:rPr>
        <w:t>المكاسب و البيع (للميرزا النائيني)؛ ج‌2، ص: 470</w:t>
      </w:r>
      <w:r>
        <w:rPr>
          <w:rFonts w:hint="cs"/>
          <w:rtl/>
        </w:rPr>
        <w:t>:«</w:t>
      </w:r>
      <w:r>
        <w:rPr>
          <w:rFonts w:cs="Arial"/>
          <w:rtl/>
        </w:rPr>
        <w:t xml:space="preserve">اللهم إلا ان يكون لأجل الدلالة السياقية بمعنى كون مساق الكلام كنظائره من أقضيته صلّى اللّٰه عليه و آله و سلم المنقولة عداد هذه القضية </w:t>
      </w:r>
      <w:r w:rsidRPr="00176677">
        <w:rPr>
          <w:rFonts w:cs="Arial"/>
          <w:u w:val="single"/>
          <w:rtl/>
        </w:rPr>
        <w:t>بعيدا عن كونه نهيا نظاميا</w:t>
      </w:r>
      <w:r>
        <w:rPr>
          <w:rFonts w:cs="Arial"/>
          <w:rtl/>
        </w:rPr>
        <w:t xml:space="preserve"> و (- ح-) يتردد بين الاحتمالين الأخيرين و مع بعد التحريم المولوي حيث يبعد كون البيع الغرري محرما ذاتيا يتعين حمله على الإرشاد إلى الفساد و هذا الحمل بعد تسالم الأصحاب على دلالته على الفساد ليس بكل البعيد و ليس هذا من جهة صيرورة اللفظ بقرينة فهمهم ظاهرا في الإرشاد بالدلالة اللفظية حتى يمنع عن ذلك بل لمكان ان فهمهم دليل على وجود الدلالة السياقية على ذلك و يكون ذهابهم قرينة على كون مساق الخبر هو ذلك كما يؤيده كونه في عداد بقية قضاياه صلّى اللّٰه عليه و آله و سلم المحكية في رواية عبادة بن صامت و بالجملة فدلالة الخبر بهذا التقريب واضحة لا ينبغي الخدشة فيها كما لا يخفى</w:t>
      </w:r>
      <w:r>
        <w:rPr>
          <w:rFonts w:cs="Arial" w:hint="cs"/>
          <w:rtl/>
        </w:rPr>
        <w:t>»</w:t>
      </w:r>
      <w:r>
        <w:rPr>
          <w:rFonts w:cs="Arial"/>
          <w:rtl/>
        </w:rPr>
        <w:t>.</w:t>
      </w:r>
    </w:p>
  </w:footnote>
  <w:footnote w:id="6">
    <w:p w14:paraId="339F3FAF" w14:textId="77777777" w:rsidR="00B87955" w:rsidRDefault="00B87955" w:rsidP="00B87955">
      <w:pPr>
        <w:pStyle w:val="FootnoteText"/>
      </w:pPr>
      <w:r>
        <w:rPr>
          <w:rStyle w:val="FootnoteReference"/>
        </w:rPr>
        <w:footnoteRef/>
      </w:r>
      <w:r>
        <w:rPr>
          <w:rtl/>
        </w:rPr>
        <w:t xml:space="preserve"> </w:t>
      </w:r>
      <w:r>
        <w:rPr>
          <w:rFonts w:hint="cs"/>
          <w:rtl/>
        </w:rPr>
        <w:t xml:space="preserve">- </w:t>
      </w:r>
      <w:r>
        <w:rPr>
          <w:rFonts w:cs="Arial"/>
          <w:rtl/>
        </w:rPr>
        <w:t>وسائل الشيعة، ج‌17، ص: 358</w:t>
      </w:r>
      <w:r>
        <w:rPr>
          <w:rFonts w:hint="cs"/>
          <w:rtl/>
        </w:rPr>
        <w:t>: «</w:t>
      </w:r>
      <w:r>
        <w:t>22747</w:t>
      </w:r>
      <w:r>
        <w:rPr>
          <w:rFonts w:cs="Arial"/>
          <w:rtl/>
        </w:rPr>
        <w:t>- 13- «1» وَ فِي مَعَانِي الْأَخْبَارِ عَنْ مُحَمَّدِ بْنِ هَارُونَ الزَّنْجَانِيِّ عَنْ عَلِيِّ بْنِ عَبْدِ الْعَزِيزِ عَنِ الْقَاسِمِ بْنِ سَلَّامٍ بِإِسْنَادٍ مُتَّصِلٍ إِلَى النَّبِيِّ ص أَنَّهُ نَهَى عَنِ الْمُنَابَذَةِ وَ الْمُلَامَسَةِ وَ بَيْعِ الْحَصَاةِ</w:t>
      </w:r>
      <w:r>
        <w:rPr>
          <w:rFonts w:hint="cs"/>
          <w:rtl/>
        </w:rPr>
        <w:t>..».</w:t>
      </w:r>
    </w:p>
  </w:footnote>
  <w:footnote w:id="7">
    <w:p w14:paraId="7F5AFC8E" w14:textId="77777777" w:rsidR="00B87955" w:rsidRDefault="00B87955" w:rsidP="00B87955">
      <w:pPr>
        <w:pStyle w:val="FootnoteText"/>
        <w:rPr>
          <w:rtl/>
        </w:rPr>
      </w:pPr>
      <w:r>
        <w:rPr>
          <w:rStyle w:val="FootnoteReference"/>
        </w:rPr>
        <w:footnoteRef/>
      </w:r>
      <w:r>
        <w:rPr>
          <w:rtl/>
        </w:rPr>
        <w:t xml:space="preserve"> </w:t>
      </w:r>
      <w:r>
        <w:rPr>
          <w:rFonts w:hint="cs"/>
          <w:rtl/>
        </w:rPr>
        <w:t>- از مجموع کلام استاد حفظه الله استفاده می‌شود که آن دو احتمال دیگر در مورد نهی در «نهی النبی عن بیع الغرر» که در کلام استاد صریحا ذکر نشده، همان احتمال نهی تکلیفی و نهی وضعی است که در جمع بندی روایت دو احتمال در معنای غرر مطرح کردند که استاد احتمال سوم یعنی نهی وضعی را با قرائنی استفاده کردند.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C4EBB"/>
    <w:rsid w:val="002E57EF"/>
    <w:rsid w:val="002F134B"/>
    <w:rsid w:val="0032624C"/>
    <w:rsid w:val="00334686"/>
    <w:rsid w:val="003530AA"/>
    <w:rsid w:val="0036543D"/>
    <w:rsid w:val="003677D6"/>
    <w:rsid w:val="003C6686"/>
    <w:rsid w:val="003C7B9B"/>
    <w:rsid w:val="00414C22"/>
    <w:rsid w:val="00421B41"/>
    <w:rsid w:val="004376B2"/>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F3A"/>
    <w:rsid w:val="00744886"/>
    <w:rsid w:val="00747136"/>
    <w:rsid w:val="00765455"/>
    <w:rsid w:val="007708E5"/>
    <w:rsid w:val="00791006"/>
    <w:rsid w:val="00794E4E"/>
    <w:rsid w:val="00795D6E"/>
    <w:rsid w:val="007E6072"/>
    <w:rsid w:val="00801CA1"/>
    <w:rsid w:val="008072B6"/>
    <w:rsid w:val="0081663E"/>
    <w:rsid w:val="00822465"/>
    <w:rsid w:val="00837E67"/>
    <w:rsid w:val="008442EF"/>
    <w:rsid w:val="00845692"/>
    <w:rsid w:val="00865D91"/>
    <w:rsid w:val="0087100B"/>
    <w:rsid w:val="0087392A"/>
    <w:rsid w:val="00875864"/>
    <w:rsid w:val="00875E2B"/>
    <w:rsid w:val="00880A02"/>
    <w:rsid w:val="00893287"/>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C14F61"/>
    <w:rsid w:val="00C2778E"/>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065BF"/>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samavat</cp:lastModifiedBy>
  <cp:revision>2</cp:revision>
  <dcterms:created xsi:type="dcterms:W3CDTF">2021-12-16T03:32:00Z</dcterms:created>
  <dcterms:modified xsi:type="dcterms:W3CDTF">2021-12-16T03:32:00Z</dcterms:modified>
</cp:coreProperties>
</file>