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F52C9" w14:textId="77777777" w:rsidR="006A47CE" w:rsidRPr="006A47CE" w:rsidRDefault="006A47CE" w:rsidP="006A47CE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bookmarkStart w:id="0" w:name="_GoBack"/>
      <w:r w:rsidRPr="006A47CE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6A47C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اصالت اللزوم در معاملات</w:t>
      </w:r>
    </w:p>
    <w:p w14:paraId="3EBD8B4A" w14:textId="4D31C511" w:rsidR="00EE3721" w:rsidRPr="006A47CE" w:rsidRDefault="006A47CE" w:rsidP="00ED0D9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6A47C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</w:t>
      </w:r>
      <w:r w:rsidR="00EE5A09" w:rsidRPr="006A47C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دامه شبهات </w:t>
      </w:r>
    </w:p>
    <w:p w14:paraId="6B228222" w14:textId="6D105C4F" w:rsidR="00EE5A09" w:rsidRPr="006A47CE" w:rsidRDefault="00EE5A09" w:rsidP="00ED0D9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6A47C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شبهه پنجم</w:t>
      </w:r>
    </w:p>
    <w:p w14:paraId="27B23BB6" w14:textId="4DCBC875" w:rsidR="00EE5A09" w:rsidRPr="006A47CE" w:rsidRDefault="00F06E5F" w:rsidP="002833BD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شبهه </w:t>
      </w:r>
      <w:r w:rsidR="00621A9E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ای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دیگ</w:t>
      </w:r>
      <w:r w:rsidR="00621A9E" w:rsidRPr="006A47CE">
        <w:rPr>
          <w:rFonts w:ascii="Traditional Arabic" w:hAnsi="Traditional Arabic" w:cs="Traditional Arabic" w:hint="cs"/>
          <w:sz w:val="26"/>
          <w:szCs w:val="26"/>
          <w:rtl/>
        </w:rPr>
        <w:t>ر در آیه شریفه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اوفوا بالعقود .</w:t>
      </w:r>
      <w:r w:rsidR="00621A9E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بنا بر بیان آیه، وجوب وفا متفرع بر وجود عقد است. حال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اگر کسی شک کرد که عقد لازم است یا جائز در واقع در اصل وجود عقد شک کرده</w:t>
      </w:r>
      <w:r w:rsidR="00621A9E" w:rsidRPr="006A47CE">
        <w:rPr>
          <w:rFonts w:ascii="Traditional Arabic" w:hAnsi="Traditional Arabic" w:cs="Traditional Arabic" w:hint="cs"/>
          <w:sz w:val="26"/>
          <w:szCs w:val="26"/>
          <w:rtl/>
        </w:rPr>
        <w:t>؛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زیرا اگر عقد جائز باشد دیگر وجود </w:t>
      </w:r>
      <w:r w:rsidR="00621A9E" w:rsidRPr="006A47CE">
        <w:rPr>
          <w:rFonts w:ascii="Traditional Arabic" w:hAnsi="Traditional Arabic" w:cs="Traditional Arabic" w:hint="cs"/>
          <w:sz w:val="26"/>
          <w:szCs w:val="26"/>
          <w:rtl/>
        </w:rPr>
        <w:t>نخواهد داشت. در نتیجه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621A9E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اوفوا بالعقود دیگر موضوع ندارد و بر همین اساس می توان گفت: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لزوم و جواز را از این آیه نمی</w:t>
      </w:r>
      <w:r w:rsidR="00621A9E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توان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فهمید و</w:t>
      </w:r>
      <w:r w:rsidR="00621A9E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لازم است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از 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>طریق دلیلی دیگر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بدانیم که عقود لازم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و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یا جایز 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>اند و در صورت لزوم،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وفای به آنها واجب 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>خواهد بود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74D0A0F0" w14:textId="77777777" w:rsidR="002833BD" w:rsidRPr="006A47CE" w:rsidRDefault="00F06E5F" w:rsidP="00ED0D96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47CE">
        <w:rPr>
          <w:rFonts w:ascii="Traditional Arabic" w:hAnsi="Traditional Arabic" w:cs="Traditional Arabic" w:hint="cs"/>
          <w:sz w:val="26"/>
          <w:szCs w:val="26"/>
          <w:rtl/>
        </w:rPr>
        <w:t>حضرت امام (ره) می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فرای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این اشکال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>ی سخیف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است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زیرا منظور آیه شریفه از عقد همین عقد موجود است و منظور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 از وجوب وفا بقاء این عقد است. لذا عقود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با گفتن فَسَختُ از بین نمی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رو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>ند.</w:t>
      </w:r>
    </w:p>
    <w:p w14:paraId="44936FA6" w14:textId="77777777" w:rsidR="002833BD" w:rsidRPr="006A47CE" w:rsidRDefault="00F06E5F" w:rsidP="002833BD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به عبارت دیگر منظور، بقاء و عدم بقاء 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شرعی و نه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تکوینی 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>مد نظر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است. وقتی شرعی </w:t>
      </w:r>
      <w:r w:rsidR="00F25836" w:rsidRPr="006A47CE">
        <w:rPr>
          <w:rFonts w:ascii="Traditional Arabic" w:hAnsi="Traditional Arabic" w:cs="Traditional Arabic" w:hint="cs"/>
          <w:sz w:val="26"/>
          <w:szCs w:val="26"/>
          <w:rtl/>
        </w:rPr>
        <w:t>شد دیگر با گفتن اوفوا از جانب شارع عقد لازم می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شود.</w:t>
      </w:r>
    </w:p>
    <w:p w14:paraId="2D64A040" w14:textId="4B67142A" w:rsidR="00F25836" w:rsidRPr="006A47CE" w:rsidRDefault="002833BD" w:rsidP="002833BD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47CE">
        <w:rPr>
          <w:rFonts w:ascii="Traditional Arabic" w:hAnsi="Traditional Arabic" w:cs="Traditional Arabic" w:hint="cs"/>
          <w:sz w:val="26"/>
          <w:szCs w:val="26"/>
          <w:rtl/>
        </w:rPr>
        <w:t>خلاصه اینکه در محل بحث،</w:t>
      </w:r>
      <w:r w:rsidR="00F25836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مساله بقاء و عدم بقاء عقلی و تکوینی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نبوده و مراد بقاء شرعی است.</w:t>
      </w:r>
      <w:r w:rsidR="00F25836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شارع هم می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F25836" w:rsidRPr="006A47CE">
        <w:rPr>
          <w:rFonts w:ascii="Traditional Arabic" w:hAnsi="Traditional Arabic" w:cs="Traditional Arabic" w:hint="cs"/>
          <w:sz w:val="26"/>
          <w:szCs w:val="26"/>
          <w:rtl/>
        </w:rPr>
        <w:t>گوید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: </w:t>
      </w:r>
      <w:r w:rsidR="00F25836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وفای به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همین عقود</w:t>
      </w:r>
      <w:r w:rsidR="00F25836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واجب است. معنای لزوم همین است. </w:t>
      </w:r>
    </w:p>
    <w:p w14:paraId="64F70D31" w14:textId="23B4ACF6" w:rsidR="00F06E5F" w:rsidRPr="006A47CE" w:rsidRDefault="00F25836" w:rsidP="00ED0D9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6A47C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شبهه ششم</w:t>
      </w:r>
      <w:r w:rsidR="00F06E5F" w:rsidRPr="006A47C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</w:p>
    <w:p w14:paraId="655C2EA2" w14:textId="05A51220" w:rsidR="00F25836" w:rsidRPr="006A47CE" w:rsidRDefault="00F25836" w:rsidP="00B80C65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47CE">
        <w:rPr>
          <w:rFonts w:ascii="Traditional Arabic" w:hAnsi="Traditional Arabic" w:cs="Traditional Arabic" w:hint="cs"/>
          <w:sz w:val="26"/>
          <w:szCs w:val="26"/>
          <w:rtl/>
        </w:rPr>
        <w:t>گفته اند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اگر اوفوا بالعقود دلالت بر لزوم 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>داشته باشد،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تخصیص اکثر لازم می آید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چرا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که اولا عقود جائزه بسیارند و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در نتیجه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همه 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آنها باید از تحت عموم عام خارج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شوند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و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ثانیا خیاراتی که</w:t>
      </w:r>
      <w:r w:rsidR="002833B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در بیع داریم با لزوم منافات دارند. علاوه بر این موارد،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م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ع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اطات با لزوم منافات دارد. البته این مورد 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یعنی بیع معاطات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در زمان ما و به فتوای معاصرین یعنی از زمان مرحوم بروجردی و سید حکیم به بعد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بیعی لازم دانسته شده</w:t>
      </w:r>
      <w:r w:rsidR="0084658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و جائز نمی باشد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84658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اما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علما</w:t>
      </w:r>
      <w:r w:rsidR="0084658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در زمان شیخ طوسی تا قبل از مرحوم بروجردی 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به شرط عدم تصرف </w:t>
      </w:r>
      <w:r w:rsidR="0084658D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قائل به جواز 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معاطات </w:t>
      </w:r>
      <w:r w:rsidR="0084658D" w:rsidRPr="006A47CE">
        <w:rPr>
          <w:rFonts w:ascii="Traditional Arabic" w:hAnsi="Traditional Arabic" w:cs="Traditional Arabic" w:hint="cs"/>
          <w:sz w:val="26"/>
          <w:szCs w:val="26"/>
          <w:rtl/>
        </w:rPr>
        <w:t>بود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ه ا</w:t>
      </w:r>
      <w:r w:rsidR="0084658D" w:rsidRPr="006A47CE">
        <w:rPr>
          <w:rFonts w:ascii="Traditional Arabic" w:hAnsi="Traditional Arabic" w:cs="Traditional Arabic" w:hint="cs"/>
          <w:sz w:val="26"/>
          <w:szCs w:val="26"/>
          <w:rtl/>
        </w:rPr>
        <w:t>ند. اینها تخصیص عموم اوفوا بالعقود ه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ستند و تخصیص اکثر هم مستهجن است.</w:t>
      </w:r>
    </w:p>
    <w:p w14:paraId="7DD7303F" w14:textId="706F39BF" w:rsidR="0084658D" w:rsidRPr="006A47CE" w:rsidRDefault="0084658D" w:rsidP="002A44B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47CE">
        <w:rPr>
          <w:rFonts w:ascii="Traditional Arabic" w:hAnsi="Traditional Arabic" w:cs="Traditional Arabic" w:hint="cs"/>
          <w:sz w:val="26"/>
          <w:szCs w:val="26"/>
          <w:rtl/>
        </w:rPr>
        <w:t>جواب این است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: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بسیاری از چیزهایی که شما فکر می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کنید تخصیصا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از تحت لزوم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خارج 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شده اند،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خروجشان 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تخصصی است و نه تخصیصی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. مثل عقود جائزه که عقود اذنیه هستند و حقیقتا عقد نیستند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یعنی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در آن ها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عهد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ِ به معنای میثاق وجود نداشته، بلکه صرف الاذن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هستند. برخی دیگر از عقود جائزه تعلیقیه هستند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مثل جعاله</w:t>
      </w:r>
      <w:r w:rsidR="00B20D04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و وصیت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در جعاله 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گفته می شود: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اگر فلان کار را کردی ثمن را به تو می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دهم. این ایقاع است و پیمان طرفینی نیست 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تا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عقد </w:t>
      </w:r>
      <w:r w:rsidR="00B80C65" w:rsidRPr="006A47CE">
        <w:rPr>
          <w:rFonts w:ascii="Traditional Arabic" w:hAnsi="Traditional Arabic" w:cs="Traditional Arabic" w:hint="cs"/>
          <w:sz w:val="26"/>
          <w:szCs w:val="26"/>
          <w:rtl/>
        </w:rPr>
        <w:t>شود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. و برخی دیگر از این عقود جائزه </w:t>
      </w:r>
      <w:r w:rsidR="00B20D04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مثل هبه 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نیز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تملیک </w:t>
      </w:r>
      <w:r w:rsidR="00B20D04" w:rsidRPr="006A47CE">
        <w:rPr>
          <w:rFonts w:ascii="Traditional Arabic" w:hAnsi="Traditional Arabic" w:cs="Traditional Arabic" w:hint="cs"/>
          <w:sz w:val="26"/>
          <w:szCs w:val="26"/>
          <w:rtl/>
        </w:rPr>
        <w:t>یک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طرفیند، نه</w:t>
      </w:r>
      <w:r w:rsidR="00B20D04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عهد طرفینی. اینها تخصصا خارج هستند. </w:t>
      </w:r>
    </w:p>
    <w:p w14:paraId="045882F7" w14:textId="07DDCD6C" w:rsidR="00B20D04" w:rsidRPr="006A47CE" w:rsidRDefault="00B20D04" w:rsidP="002A44B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در باب 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معاطات نیز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مختار بین معاصرین 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>لزوم است،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لذا 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در این مورد نیز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تخصیصی وجود ندارد. </w:t>
      </w:r>
    </w:p>
    <w:p w14:paraId="0E282A59" w14:textId="77777777" w:rsidR="002A44BF" w:rsidRPr="006A47CE" w:rsidRDefault="00B20D04" w:rsidP="002A44B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47CE">
        <w:rPr>
          <w:rFonts w:ascii="Traditional Arabic" w:hAnsi="Traditional Arabic" w:cs="Traditional Arabic" w:hint="cs"/>
          <w:sz w:val="26"/>
          <w:szCs w:val="26"/>
          <w:rtl/>
        </w:rPr>
        <w:t>فقط تخصیص در خیارات باقی می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ماند که در باره آن نیز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می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>گوییم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اولا تخصیص اکثر نیست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>. زیرا بسیاری از خیارات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تخصیص ازمانی هستند. مثل خیار مجلس که اصل لزوم عقد را نفی 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>نکرده و تنها</w:t>
      </w:r>
      <w:r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در زمان مجلس است. </w:t>
      </w:r>
      <w:r w:rsidR="00DA1CF7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روایت 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>می گوید</w:t>
      </w:r>
      <w:r w:rsidR="00DA1CF7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: </w:t>
      </w:r>
      <w:r w:rsidR="00ED0D96" w:rsidRPr="006A47C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البیعان بالخیار مالم یفترقا </w:t>
      </w:r>
      <w:r w:rsidR="00ED0D96" w:rsidRPr="006A47CE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lastRenderedPageBreak/>
        <w:t>فاذا افترقا وجب البیع</w:t>
      </w:r>
      <w:r w:rsidR="00ED0D96" w:rsidRPr="006A47CE">
        <w:rPr>
          <w:rFonts w:ascii="Traditional Arabic" w:hAnsi="Traditional Arabic" w:cs="Traditional Arabic"/>
          <w:sz w:val="16"/>
          <w:szCs w:val="16"/>
        </w:rPr>
        <w:footnoteReference w:id="1"/>
      </w:r>
      <w:r w:rsidR="00ED0D96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یعنی بعد از اینکه مجلس تمام شد عقد لازم می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شود </w:t>
      </w:r>
      <w:r w:rsidR="00ED0D96" w:rsidRPr="006A47CE">
        <w:rPr>
          <w:rFonts w:ascii="Traditional Arabic" w:hAnsi="Traditional Arabic" w:cs="Traditional Arabic" w:hint="cs"/>
          <w:sz w:val="26"/>
          <w:szCs w:val="26"/>
          <w:rtl/>
        </w:rPr>
        <w:t>یا خیار حیوان که در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 زمان سه روز تخصیص ازمانی خورده یا خیار تأخیر</w:t>
      </w:r>
      <w:r w:rsidR="00ED0D96" w:rsidRPr="006A47CE">
        <w:rPr>
          <w:rFonts w:ascii="Traditional Arabic" w:hAnsi="Traditional Arabic" w:cs="Traditional Arabic" w:hint="cs"/>
          <w:sz w:val="26"/>
          <w:szCs w:val="26"/>
          <w:rtl/>
        </w:rPr>
        <w:t xml:space="preserve">. در این موارد تخصیص افرادی </w:t>
      </w:r>
      <w:r w:rsidR="002A44BF" w:rsidRPr="006A47CE">
        <w:rPr>
          <w:rFonts w:ascii="Traditional Arabic" w:hAnsi="Traditional Arabic" w:cs="Traditional Arabic" w:hint="cs"/>
          <w:sz w:val="26"/>
          <w:szCs w:val="26"/>
          <w:rtl/>
        </w:rPr>
        <w:t>نیست بلکه تخصیص ازمانیست.</w:t>
      </w:r>
    </w:p>
    <w:p w14:paraId="7F094F60" w14:textId="27A9325B" w:rsidR="00ED0D96" w:rsidRPr="006A47CE" w:rsidRDefault="002A44BF" w:rsidP="002A44B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6A47CE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</w:p>
    <w:p w14:paraId="4977EA15" w14:textId="77777777" w:rsidR="00ED0D96" w:rsidRPr="006A47CE" w:rsidRDefault="00ED0D96" w:rsidP="00ED0D96">
      <w:pPr>
        <w:rPr>
          <w:rFonts w:ascii="Traditional Arabic" w:hAnsi="Traditional Arabic" w:cs="Traditional Arabic"/>
          <w:rtl/>
        </w:rPr>
      </w:pPr>
    </w:p>
    <w:p w14:paraId="1D100600" w14:textId="77777777" w:rsidR="00ED0D96" w:rsidRPr="006A47CE" w:rsidRDefault="00ED0D96" w:rsidP="00ED0D96">
      <w:pPr>
        <w:rPr>
          <w:rFonts w:ascii="Traditional Arabic" w:hAnsi="Traditional Arabic" w:cs="Traditional Arabic"/>
          <w:rtl/>
        </w:rPr>
      </w:pPr>
    </w:p>
    <w:p w14:paraId="55A1CCE1" w14:textId="0DC48CD9" w:rsidR="00ED0D96" w:rsidRPr="006A47CE" w:rsidRDefault="00ED0D96" w:rsidP="00ED0D96">
      <w:pPr>
        <w:rPr>
          <w:rFonts w:ascii="Traditional Arabic" w:hAnsi="Traditional Arabic" w:cs="Traditional Arabic"/>
          <w:rtl/>
        </w:rPr>
      </w:pPr>
    </w:p>
    <w:p w14:paraId="485C1103" w14:textId="0FD6903A" w:rsidR="00DA1CF7" w:rsidRPr="006A47CE" w:rsidRDefault="00ED0D96" w:rsidP="00ED0D96">
      <w:pPr>
        <w:tabs>
          <w:tab w:val="left" w:pos="3513"/>
        </w:tabs>
        <w:rPr>
          <w:rFonts w:ascii="Traditional Arabic" w:hAnsi="Traditional Arabic" w:cs="Traditional Arabic"/>
          <w:rtl/>
        </w:rPr>
      </w:pPr>
      <w:r w:rsidRPr="006A47CE">
        <w:rPr>
          <w:rFonts w:ascii="Traditional Arabic" w:hAnsi="Traditional Arabic" w:cs="Traditional Arabic"/>
          <w:rtl/>
        </w:rPr>
        <w:tab/>
      </w:r>
      <w:bookmarkEnd w:id="0"/>
    </w:p>
    <w:sectPr w:rsidR="00DA1CF7" w:rsidRPr="006A47CE" w:rsidSect="00EE5A09">
      <w:headerReference w:type="default" r:id="rId8"/>
      <w:pgSz w:w="11906" w:h="16838"/>
      <w:pgMar w:top="1440" w:right="1440" w:bottom="1440" w:left="1440" w:header="708" w:footer="708" w:gutter="0"/>
      <w:pgNumType w:start="58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DA424" w14:textId="77777777" w:rsidR="00891284" w:rsidRDefault="00891284" w:rsidP="00CF2919">
      <w:pPr>
        <w:spacing w:after="0" w:line="240" w:lineRule="auto"/>
      </w:pPr>
      <w:r>
        <w:separator/>
      </w:r>
    </w:p>
  </w:endnote>
  <w:endnote w:type="continuationSeparator" w:id="0">
    <w:p w14:paraId="4829C1F9" w14:textId="77777777" w:rsidR="00891284" w:rsidRDefault="00891284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altName w:val="Segoe UI Semibold"/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altName w:val="Courier New"/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21BF0" w14:textId="77777777" w:rsidR="00891284" w:rsidRDefault="00891284" w:rsidP="00CF2919">
      <w:pPr>
        <w:spacing w:after="0" w:line="240" w:lineRule="auto"/>
      </w:pPr>
      <w:r>
        <w:separator/>
      </w:r>
    </w:p>
  </w:footnote>
  <w:footnote w:type="continuationSeparator" w:id="0">
    <w:p w14:paraId="28D246B2" w14:textId="77777777" w:rsidR="00891284" w:rsidRDefault="00891284" w:rsidP="00CF2919">
      <w:pPr>
        <w:spacing w:after="0" w:line="240" w:lineRule="auto"/>
      </w:pPr>
      <w:r>
        <w:continuationSeparator/>
      </w:r>
    </w:p>
  </w:footnote>
  <w:footnote w:id="1">
    <w:p w14:paraId="0F7EB364" w14:textId="68D51FDC" w:rsidR="00ED0D96" w:rsidRPr="00ED0D96" w:rsidRDefault="00ED0D96" w:rsidP="00ED0D96">
      <w:pPr>
        <w:spacing w:before="100" w:beforeAutospacing="1" w:after="100" w:afterAutospacing="1" w:line="240" w:lineRule="auto"/>
        <w:rPr>
          <w:rFonts w:ascii="Noor_Titr" w:eastAsia="Times New Roman" w:hAnsi="Noor_Titr" w:cs="Noor_Titr"/>
          <w:color w:val="000000"/>
          <w:sz w:val="2"/>
          <w:szCs w:val="2"/>
          <w:rtl/>
        </w:rPr>
      </w:pPr>
      <w:r w:rsidRPr="00ED0D96">
        <w:rPr>
          <w:rFonts w:ascii="Noor_Nazli" w:eastAsia="Times New Roman" w:hAnsi="Noor_Nazli" w:cs="Noor_Nazli"/>
          <w:color w:val="000000"/>
          <w:sz w:val="20"/>
          <w:szCs w:val="20"/>
        </w:rPr>
        <w:footnoteRef/>
      </w:r>
      <w:r w:rsidRPr="00ED0D96">
        <w:rPr>
          <w:rFonts w:ascii="Noor_Nazli" w:eastAsia="Times New Roman" w:hAnsi="Noor_Nazli" w:cs="Noor_Nazli"/>
          <w:color w:val="000000"/>
          <w:sz w:val="20"/>
          <w:szCs w:val="20"/>
          <w:rtl/>
        </w:rPr>
        <w:t xml:space="preserve"> </w:t>
      </w:r>
      <w:r w:rsidRPr="00ED0D96">
        <w:rPr>
          <w:rFonts w:ascii="Noor_Nazli" w:eastAsia="Times New Roman" w:hAnsi="Noor_Nazli" w:cs="Noor_Nazli" w:hint="cs"/>
          <w:color w:val="000000"/>
          <w:sz w:val="20"/>
          <w:szCs w:val="20"/>
          <w:rtl/>
        </w:rPr>
        <w:t xml:space="preserve">- </w:t>
      </w:r>
      <w:r w:rsidRPr="00DA1CF7">
        <w:rPr>
          <w:rFonts w:ascii="Noor_Nazli" w:eastAsia="Times New Roman" w:hAnsi="Noor_Nazli" w:cs="Noor_Nazli" w:hint="cs"/>
          <w:color w:val="000000"/>
          <w:sz w:val="20"/>
          <w:szCs w:val="20"/>
          <w:rtl/>
        </w:rPr>
        <w:t>وسائل الشيعة: باب ثبوت خيار المجلس للبائع و المشتري ما لم يتفرقا ؛ ج 18، ص : 5</w:t>
      </w:r>
    </w:p>
    <w:p w14:paraId="7C23A494" w14:textId="551B88CE" w:rsidR="00ED0D96" w:rsidRDefault="00ED0D96">
      <w:pPr>
        <w:pStyle w:val="FootnoteText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905B" w14:textId="039C4D05" w:rsidR="006A47CE" w:rsidRPr="00FE6904" w:rsidRDefault="006A47CE" w:rsidP="006A47CE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چهار</w:t>
    </w:r>
    <w:r w:rsidRPr="00FE6904"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04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09</w:t>
    </w:r>
    <w:r w:rsidRPr="00FE6904">
      <w:rPr>
        <w:rFonts w:ascii="Traditional Arabic" w:hAnsi="Traditional Arabic" w:cs="Traditional Arabic"/>
        <w:rtl/>
      </w:rPr>
      <w:t>/1394</w:t>
    </w:r>
  </w:p>
  <w:p w14:paraId="2006CD0E" w14:textId="3E17AE7C" w:rsidR="00296068" w:rsidRPr="006A47CE" w:rsidRDefault="00296068" w:rsidP="006A4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32B25"/>
    <w:rsid w:val="00134915"/>
    <w:rsid w:val="001513AC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51B07"/>
    <w:rsid w:val="00262F0A"/>
    <w:rsid w:val="00265A05"/>
    <w:rsid w:val="002664CB"/>
    <w:rsid w:val="00282CBE"/>
    <w:rsid w:val="002833BD"/>
    <w:rsid w:val="00290216"/>
    <w:rsid w:val="00291F21"/>
    <w:rsid w:val="00292C24"/>
    <w:rsid w:val="00296068"/>
    <w:rsid w:val="002A23F2"/>
    <w:rsid w:val="002A44BF"/>
    <w:rsid w:val="002A5178"/>
    <w:rsid w:val="002C2C16"/>
    <w:rsid w:val="002C3322"/>
    <w:rsid w:val="002D3AC1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5A96"/>
    <w:rsid w:val="00383298"/>
    <w:rsid w:val="00386EAE"/>
    <w:rsid w:val="00387E09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CFF"/>
    <w:rsid w:val="00557618"/>
    <w:rsid w:val="0056299A"/>
    <w:rsid w:val="00570F8F"/>
    <w:rsid w:val="00572048"/>
    <w:rsid w:val="0057212C"/>
    <w:rsid w:val="00590015"/>
    <w:rsid w:val="00592F6D"/>
    <w:rsid w:val="005A11B4"/>
    <w:rsid w:val="005B2376"/>
    <w:rsid w:val="005C4215"/>
    <w:rsid w:val="005D6C9C"/>
    <w:rsid w:val="005E4532"/>
    <w:rsid w:val="005F6700"/>
    <w:rsid w:val="00614558"/>
    <w:rsid w:val="00621A9E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7CE"/>
    <w:rsid w:val="006A491C"/>
    <w:rsid w:val="006B1D7E"/>
    <w:rsid w:val="006C5BCE"/>
    <w:rsid w:val="006E2731"/>
    <w:rsid w:val="006F3278"/>
    <w:rsid w:val="00700BCB"/>
    <w:rsid w:val="00703F24"/>
    <w:rsid w:val="0070470F"/>
    <w:rsid w:val="0070772D"/>
    <w:rsid w:val="00715D0A"/>
    <w:rsid w:val="0072435C"/>
    <w:rsid w:val="007273D5"/>
    <w:rsid w:val="007536C1"/>
    <w:rsid w:val="007624B6"/>
    <w:rsid w:val="00771885"/>
    <w:rsid w:val="007808E2"/>
    <w:rsid w:val="00781934"/>
    <w:rsid w:val="00782334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46AC"/>
    <w:rsid w:val="0088009C"/>
    <w:rsid w:val="00891284"/>
    <w:rsid w:val="008A2057"/>
    <w:rsid w:val="008A2B77"/>
    <w:rsid w:val="008A6F19"/>
    <w:rsid w:val="008A72D1"/>
    <w:rsid w:val="008B17BC"/>
    <w:rsid w:val="008B2DBD"/>
    <w:rsid w:val="008B3974"/>
    <w:rsid w:val="008B7922"/>
    <w:rsid w:val="008C1189"/>
    <w:rsid w:val="008C2CE1"/>
    <w:rsid w:val="008D253C"/>
    <w:rsid w:val="008D3C96"/>
    <w:rsid w:val="008D3DF7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29E"/>
    <w:rsid w:val="009475C4"/>
    <w:rsid w:val="00970A49"/>
    <w:rsid w:val="00970B67"/>
    <w:rsid w:val="00986E21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C65"/>
    <w:rsid w:val="00B80E36"/>
    <w:rsid w:val="00B818E5"/>
    <w:rsid w:val="00B94CB3"/>
    <w:rsid w:val="00BA135C"/>
    <w:rsid w:val="00BB4E7F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3296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1CF7"/>
    <w:rsid w:val="00DA2634"/>
    <w:rsid w:val="00DB1564"/>
    <w:rsid w:val="00DC7DB3"/>
    <w:rsid w:val="00DD3F6A"/>
    <w:rsid w:val="00DE39CC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7EA8"/>
    <w:rsid w:val="00E836A3"/>
    <w:rsid w:val="00E84FEE"/>
    <w:rsid w:val="00E8661A"/>
    <w:rsid w:val="00E92F98"/>
    <w:rsid w:val="00E94262"/>
    <w:rsid w:val="00EA0AF8"/>
    <w:rsid w:val="00EA2E13"/>
    <w:rsid w:val="00EB41A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117B"/>
    <w:rsid w:val="00F35D3F"/>
    <w:rsid w:val="00F42C47"/>
    <w:rsid w:val="00F551F7"/>
    <w:rsid w:val="00F60638"/>
    <w:rsid w:val="00F70F55"/>
    <w:rsid w:val="00F725A8"/>
    <w:rsid w:val="00F74174"/>
    <w:rsid w:val="00F7596F"/>
    <w:rsid w:val="00F81669"/>
    <w:rsid w:val="00F83D01"/>
    <w:rsid w:val="00FA4350"/>
    <w:rsid w:val="00FA5C2A"/>
    <w:rsid w:val="00FB79AC"/>
    <w:rsid w:val="00FC683A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9640-175B-47F4-A800-57D08EED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15</cp:revision>
  <dcterms:created xsi:type="dcterms:W3CDTF">2015-10-08T15:17:00Z</dcterms:created>
  <dcterms:modified xsi:type="dcterms:W3CDTF">2015-12-21T10:27:00Z</dcterms:modified>
</cp:coreProperties>
</file>