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A73123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A73123">
        <w:rPr>
          <w:rFonts w:ascii="Traditional Arabic" w:hAnsi="Traditional Arabic" w:cs="Traditional Arabic" w:hint="cs"/>
          <w:sz w:val="28"/>
          <w:szCs w:val="28"/>
          <w:rtl/>
        </w:rPr>
        <w:t xml:space="preserve">بررسی مراجعه 45 و 46 و 47 </w:t>
      </w:r>
      <w:r w:rsidR="00A9322B">
        <w:rPr>
          <w:rFonts w:ascii="Traditional Arabic" w:hAnsi="Traditional Arabic" w:cs="Traditional Arabic" w:hint="cs"/>
          <w:sz w:val="28"/>
          <w:szCs w:val="28"/>
          <w:rtl/>
        </w:rPr>
        <w:t>و 48</w:t>
      </w:r>
    </w:p>
    <w:p w:rsidR="007F5BF8" w:rsidRPr="007F5BF8" w:rsidRDefault="007F5BF8" w:rsidP="007F5BF8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7F5BF8">
        <w:rPr>
          <w:rFonts w:cs="B Mitra" w:hint="cs"/>
          <w:color w:val="FF0000"/>
          <w:sz w:val="28"/>
          <w:szCs w:val="28"/>
          <w:rtl/>
          <w:lang w:bidi="fa-IR"/>
        </w:rPr>
        <w:t>مراجعه 45</w:t>
      </w:r>
    </w:p>
    <w:p w:rsidR="00A73123" w:rsidRPr="00A73123" w:rsidRDefault="00A73123" w:rsidP="003A77D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A73123">
        <w:rPr>
          <w:rFonts w:cs="B Mitra" w:hint="cs"/>
          <w:sz w:val="28"/>
          <w:szCs w:val="28"/>
          <w:rtl/>
          <w:lang w:bidi="fa-IR"/>
        </w:rPr>
        <w:t xml:space="preserve">موضوع بحث 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به بررسی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مراجعه 45 کتاب المراجعات </w:t>
      </w:r>
      <w:r w:rsidR="007F5BF8">
        <w:rPr>
          <w:rFonts w:cs="B Mitra" w:hint="cs"/>
          <w:sz w:val="28"/>
          <w:szCs w:val="28"/>
          <w:rtl/>
          <w:lang w:bidi="fa-IR"/>
        </w:rPr>
        <w:t>رسید. در این نامه</w:t>
      </w:r>
      <w:r w:rsidR="003A77DC">
        <w:rPr>
          <w:rFonts w:cs="B Mitra" w:hint="cs"/>
          <w:sz w:val="28"/>
          <w:szCs w:val="28"/>
          <w:rtl/>
          <w:lang w:bidi="fa-IR"/>
        </w:rPr>
        <w:t>،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شیخ سلیم 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بشری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در پاسخ به علامه شرف الدین 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در مورد </w:t>
      </w:r>
      <w:r w:rsidRPr="00A73123">
        <w:rPr>
          <w:rFonts w:cs="B Mitra" w:hint="cs"/>
          <w:sz w:val="28"/>
          <w:szCs w:val="28"/>
          <w:rtl/>
          <w:lang w:bidi="fa-IR"/>
        </w:rPr>
        <w:t>مباحث گذشته چنین می نویسد: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 «</w:t>
      </w:r>
      <w:r w:rsidRPr="00A73123">
        <w:rPr>
          <w:rFonts w:cs="B Mitra" w:hint="cs"/>
          <w:sz w:val="28"/>
          <w:szCs w:val="28"/>
          <w:rtl/>
          <w:lang w:bidi="fa-IR"/>
        </w:rPr>
        <w:t>لولا خلافة الخلفاء الراشدين المقطوع بصحتها، ما كان لنا مندوحة عن المصير إلى رأيكم، و النزول في فهم هذه الآية و نحوها على حكمكم، لكن التشكيك في صحة خلافتهم رضى اللّه تعالى عنهم، مما لا سبيل إليه، فاللواذ إلى التأويل إذا مما لا بدّ منه، حملا لهم و لمن بايعهم على الصحة، و السلام</w:t>
      </w:r>
      <w:r w:rsidR="007F5BF8">
        <w:rPr>
          <w:rFonts w:cs="B Mitra" w:hint="cs"/>
          <w:sz w:val="28"/>
          <w:szCs w:val="28"/>
          <w:rtl/>
          <w:lang w:bidi="fa-IR"/>
        </w:rPr>
        <w:t>»</w:t>
      </w:r>
      <w:r w:rsidR="007F5BF8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3A77DC">
        <w:rPr>
          <w:rFonts w:cs="B Mitra" w:hint="cs"/>
          <w:sz w:val="28"/>
          <w:szCs w:val="28"/>
          <w:rtl/>
          <w:lang w:bidi="fa-IR"/>
        </w:rPr>
        <w:t xml:space="preserve">: 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مطالب و دلایلی که بیان کردید صحیح است اما ما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با مانعی مواجه هستیم که حتمی و قطعی است و 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آن خلافت خلفای راشدین است. بنابراین </w:t>
      </w:r>
      <w:r w:rsidRPr="00A73123">
        <w:rPr>
          <w:rFonts w:cs="B Mitra" w:hint="cs"/>
          <w:sz w:val="28"/>
          <w:szCs w:val="28"/>
          <w:rtl/>
          <w:lang w:bidi="fa-IR"/>
        </w:rPr>
        <w:t>باید دل</w:t>
      </w:r>
      <w:r w:rsidR="003A77DC">
        <w:rPr>
          <w:rFonts w:cs="B Mitra" w:hint="cs"/>
          <w:sz w:val="28"/>
          <w:szCs w:val="28"/>
          <w:rtl/>
          <w:lang w:bidi="fa-IR"/>
        </w:rPr>
        <w:t>ا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یل دیگر را تاویل </w:t>
      </w:r>
      <w:r w:rsidR="003A77DC">
        <w:rPr>
          <w:rFonts w:cs="B Mitra" w:hint="cs"/>
          <w:sz w:val="28"/>
          <w:szCs w:val="28"/>
          <w:rtl/>
          <w:lang w:bidi="fa-IR"/>
        </w:rPr>
        <w:t>کرد.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F5BF8" w:rsidRPr="007F5BF8" w:rsidRDefault="007F5BF8" w:rsidP="00A7312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7F5BF8">
        <w:rPr>
          <w:rFonts w:cs="B Mitra" w:hint="cs"/>
          <w:color w:val="FF0000"/>
          <w:sz w:val="28"/>
          <w:szCs w:val="28"/>
          <w:rtl/>
          <w:lang w:bidi="fa-IR"/>
        </w:rPr>
        <w:t>مراجعه 46</w:t>
      </w:r>
    </w:p>
    <w:p w:rsidR="00A73123" w:rsidRPr="00A73123" w:rsidRDefault="007F5BF8" w:rsidP="003A77D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شرف الدین در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مراجعه 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بعد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>می فرماید</w:t>
      </w:r>
      <w:r>
        <w:rPr>
          <w:rFonts w:cs="B Mitra" w:hint="cs"/>
          <w:sz w:val="28"/>
          <w:szCs w:val="28"/>
          <w:rtl/>
          <w:lang w:bidi="fa-IR"/>
        </w:rPr>
        <w:t>: «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>إن خلافة الخلفاء الثلاثة رضي اللّه عنهم، هي موضع البحث و محل الكلام فمعارضة الأدلّة بها مصادرة.</w:t>
      </w:r>
    </w:p>
    <w:p w:rsidR="00A73123" w:rsidRPr="00A73123" w:rsidRDefault="00A73123" w:rsidP="00A7312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A73123">
        <w:rPr>
          <w:rFonts w:cs="B Mitra" w:hint="cs"/>
          <w:sz w:val="28"/>
          <w:szCs w:val="28"/>
          <w:rtl/>
          <w:lang w:bidi="fa-IR"/>
        </w:rPr>
        <w:t>1- على أن حملهم و حمل من بايعهم على الصحة، لا يستلزم تأويل الأدلّة، فإن لكم في معذرتهم مندوحة عن التأويل، كما سنوضحه إذا اقتضى الأمر ذلك.</w:t>
      </w:r>
    </w:p>
    <w:p w:rsidR="00A73123" w:rsidRPr="00A73123" w:rsidRDefault="00A73123" w:rsidP="003A77D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A73123">
        <w:rPr>
          <w:rFonts w:cs="B Mitra" w:hint="cs"/>
          <w:sz w:val="28"/>
          <w:szCs w:val="28"/>
          <w:rtl/>
          <w:lang w:bidi="fa-IR"/>
        </w:rPr>
        <w:t>2- و هيهات التأويل فيما تلوناه عليك من النصوص، و فيما لم نتله‏ نص الغدير و نصوص الوصية، و لا سيما بعد تأييدها بالسنن المتضافرة المتناصرة، التي لا تقصر بنفسها عن النصوص الصريحة، و من وقف عليها بإنصاف وجدها بمجردها أدلّة على الحق قاطعة، و براهين ساطعة، و السلام</w:t>
      </w:r>
      <w:r w:rsidR="007F5BF8">
        <w:rPr>
          <w:rFonts w:cs="B Mitra" w:hint="cs"/>
          <w:sz w:val="28"/>
          <w:szCs w:val="28"/>
          <w:rtl/>
          <w:lang w:bidi="fa-IR"/>
        </w:rPr>
        <w:t>»</w:t>
      </w:r>
      <w:r w:rsidR="007F5BF8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3A77DC">
        <w:rPr>
          <w:rFonts w:cs="B Mitra" w:hint="cs"/>
          <w:sz w:val="28"/>
          <w:szCs w:val="28"/>
          <w:rtl/>
          <w:lang w:bidi="fa-IR"/>
        </w:rPr>
        <w:t xml:space="preserve">: 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اولا: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خلافت خلفای سه گانه محل بحث است و اگر </w:t>
      </w:r>
      <w:r w:rsidR="007F5BF8">
        <w:rPr>
          <w:rFonts w:cs="B Mitra" w:hint="cs"/>
          <w:sz w:val="28"/>
          <w:szCs w:val="28"/>
          <w:rtl/>
          <w:lang w:bidi="fa-IR"/>
        </w:rPr>
        <w:t>آن را در این بحث مسلم بگیریم در حقیقت مصادره به مطلوب است</w:t>
      </w:r>
      <w:r w:rsidR="003A77DC">
        <w:rPr>
          <w:rFonts w:cs="B Mitra" w:hint="cs"/>
          <w:sz w:val="28"/>
          <w:szCs w:val="28"/>
          <w:rtl/>
          <w:lang w:bidi="fa-IR"/>
        </w:rPr>
        <w:t>؛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 ثانیا: طبق مبانی شما</w:t>
      </w:r>
      <w:r w:rsidR="003A77DC">
        <w:rPr>
          <w:rFonts w:cs="B Mitra" w:hint="cs"/>
          <w:sz w:val="28"/>
          <w:szCs w:val="28"/>
          <w:rtl/>
          <w:lang w:bidi="fa-IR"/>
        </w:rPr>
        <w:t>،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 راه حل دیگری وجود دارد که هم می توان فعل خلفا را حمل بر صحت کرد و هم دلالت ادله را دستکاری ننمود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و ما آن </w:t>
      </w:r>
      <w:r w:rsidR="007F5BF8">
        <w:rPr>
          <w:rFonts w:cs="B Mitra" w:hint="cs"/>
          <w:sz w:val="28"/>
          <w:szCs w:val="28"/>
          <w:rtl/>
          <w:lang w:bidi="fa-IR"/>
        </w:rPr>
        <w:t>راه حل را بعدا (</w:t>
      </w:r>
      <w:r w:rsidRPr="00A73123">
        <w:rPr>
          <w:rFonts w:cs="B Mitra" w:hint="cs"/>
          <w:sz w:val="28"/>
          <w:szCs w:val="28"/>
          <w:rtl/>
          <w:lang w:bidi="fa-IR"/>
        </w:rPr>
        <w:t>در مراجعه 84</w:t>
      </w:r>
      <w:r w:rsidR="007F5BF8">
        <w:rPr>
          <w:rFonts w:cs="B Mitra" w:hint="cs"/>
          <w:sz w:val="28"/>
          <w:szCs w:val="28"/>
          <w:rtl/>
          <w:lang w:bidi="fa-IR"/>
        </w:rPr>
        <w:t>)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بیان می کنیم</w:t>
      </w:r>
      <w:r w:rsidR="003A77DC">
        <w:rPr>
          <w:rFonts w:cs="B Mitra" w:hint="cs"/>
          <w:sz w:val="28"/>
          <w:szCs w:val="28"/>
          <w:rtl/>
          <w:lang w:bidi="fa-IR"/>
        </w:rPr>
        <w:t>؛</w:t>
      </w:r>
      <w:r w:rsidR="007F5BF8">
        <w:rPr>
          <w:rFonts w:cs="B Mitra" w:hint="cs"/>
          <w:sz w:val="28"/>
          <w:szCs w:val="28"/>
          <w:rtl/>
          <w:lang w:bidi="fa-IR"/>
        </w:rPr>
        <w:t xml:space="preserve"> ثالثا: چگونه می توان نصوصی که بیان شد و آنچه بیان نشد که </w:t>
      </w:r>
      <w:r w:rsidR="00A9322B">
        <w:rPr>
          <w:rFonts w:cs="B Mitra" w:hint="cs"/>
          <w:sz w:val="28"/>
          <w:szCs w:val="28"/>
          <w:rtl/>
          <w:lang w:bidi="fa-IR"/>
        </w:rPr>
        <w:t>سنت معتبر آن را تایید می کند مورد تاویل قرار داد</w:t>
      </w:r>
      <w:r w:rsidR="003A77DC">
        <w:rPr>
          <w:rFonts w:cs="B Mitra" w:hint="cs"/>
          <w:sz w:val="28"/>
          <w:szCs w:val="28"/>
          <w:rtl/>
          <w:lang w:bidi="fa-IR"/>
        </w:rPr>
        <w:t>!</w:t>
      </w:r>
      <w:r w:rsidR="00A9322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A73123" w:rsidRPr="00A9322B" w:rsidRDefault="00A9322B" w:rsidP="00A73123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A9322B">
        <w:rPr>
          <w:rFonts w:cs="B Mitra" w:hint="cs"/>
          <w:color w:val="FF0000"/>
          <w:sz w:val="28"/>
          <w:szCs w:val="28"/>
          <w:rtl/>
          <w:lang w:bidi="fa-IR"/>
        </w:rPr>
        <w:t>مراجعه 47</w:t>
      </w:r>
    </w:p>
    <w:p w:rsidR="00A9322B" w:rsidRDefault="00A9322B" w:rsidP="003A77D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A73123">
        <w:rPr>
          <w:rFonts w:cs="B Mitra" w:hint="cs"/>
          <w:sz w:val="28"/>
          <w:szCs w:val="28"/>
          <w:rtl/>
          <w:lang w:bidi="fa-IR"/>
        </w:rPr>
        <w:t>شیخ سلیم در مراجعه بعد می گوید ای کاش سن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ت هایی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>در نامه خود مورد اشاره قرار دادی</w:t>
      </w:r>
      <w:r w:rsidR="003A77DC">
        <w:rPr>
          <w:rFonts w:cs="B Mitra" w:hint="cs"/>
          <w:sz w:val="28"/>
          <w:szCs w:val="28"/>
          <w:rtl/>
          <w:lang w:bidi="fa-IR"/>
        </w:rPr>
        <w:t>د</w:t>
      </w:r>
      <w:r>
        <w:rPr>
          <w:rFonts w:cs="B Mitra" w:hint="cs"/>
          <w:sz w:val="28"/>
          <w:szCs w:val="28"/>
          <w:rtl/>
          <w:lang w:bidi="fa-IR"/>
        </w:rPr>
        <w:t xml:space="preserve"> برای ما بیان می کردی</w:t>
      </w:r>
      <w:r w:rsidR="003A77DC">
        <w:rPr>
          <w:rFonts w:cs="B Mitra" w:hint="cs"/>
          <w:sz w:val="28"/>
          <w:szCs w:val="28"/>
          <w:rtl/>
          <w:lang w:bidi="fa-IR"/>
        </w:rPr>
        <w:t>د</w:t>
      </w:r>
      <w:r>
        <w:rPr>
          <w:rFonts w:cs="B Mitra" w:hint="cs"/>
          <w:sz w:val="28"/>
          <w:szCs w:val="28"/>
          <w:rtl/>
          <w:lang w:bidi="fa-IR"/>
        </w:rPr>
        <w:t>. مرحوم شرف الدین در مراجعه بعد</w:t>
      </w:r>
      <w:r w:rsidR="003A77D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چهل حدیث را در این باره نقل می کنند. </w:t>
      </w:r>
    </w:p>
    <w:p w:rsidR="003A77DC" w:rsidRPr="003A77DC" w:rsidRDefault="00A9322B" w:rsidP="00A9322B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A77DC">
        <w:rPr>
          <w:rFonts w:cs="B Mitra" w:hint="cs"/>
          <w:color w:val="FF0000"/>
          <w:sz w:val="28"/>
          <w:szCs w:val="28"/>
          <w:rtl/>
          <w:lang w:bidi="fa-IR"/>
        </w:rPr>
        <w:t xml:space="preserve">نکته: </w:t>
      </w:r>
    </w:p>
    <w:p w:rsidR="00A9322B" w:rsidRDefault="00A9322B" w:rsidP="003A77D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بخش اول کتاب المراجعات مربوط به اثبات مذهب اهل بیت (ع) در مقابل مذاهب چهارگانه اهل سنت بود. بخش دوم کتاب</w:t>
      </w:r>
      <w:r w:rsidR="003A77D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مربوط به اثبات امامت امیرالمومنین (ع) و دلایل آن است. </w:t>
      </w:r>
    </w:p>
    <w:p w:rsidR="00A9322B" w:rsidRPr="00A9322B" w:rsidRDefault="00A9322B" w:rsidP="00A9322B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A9322B">
        <w:rPr>
          <w:rFonts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A9322B" w:rsidRDefault="00A9322B" w:rsidP="00A9322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73123">
        <w:rPr>
          <w:rFonts w:cs="B Mitra" w:hint="cs"/>
          <w:sz w:val="28"/>
          <w:szCs w:val="28"/>
          <w:rtl/>
          <w:lang w:bidi="fa-IR"/>
        </w:rPr>
        <w:t xml:space="preserve">ابومریم اعظمی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نقدی بر شرف الدین </w:t>
      </w:r>
      <w:r>
        <w:rPr>
          <w:rFonts w:cs="B Mitra" w:hint="cs"/>
          <w:sz w:val="28"/>
          <w:szCs w:val="28"/>
          <w:rtl/>
          <w:lang w:bidi="fa-IR"/>
        </w:rPr>
        <w:t xml:space="preserve">می گوید: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علامه در اینجا حقایق را وارونه نشان </w:t>
      </w:r>
      <w:r>
        <w:rPr>
          <w:rFonts w:cs="B Mitra" w:hint="cs"/>
          <w:sz w:val="28"/>
          <w:szCs w:val="28"/>
          <w:rtl/>
          <w:lang w:bidi="fa-IR"/>
        </w:rPr>
        <w:t xml:space="preserve">داده است،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زیرا بحث خلافت خلفای سه گانه </w:t>
      </w:r>
      <w:r>
        <w:rPr>
          <w:rFonts w:cs="B Mitra" w:hint="cs"/>
          <w:sz w:val="28"/>
          <w:szCs w:val="28"/>
          <w:rtl/>
          <w:lang w:bidi="fa-IR"/>
        </w:rPr>
        <w:t xml:space="preserve">در اینجا مطرح نبوده است بلکه آنچه بیان شد مباحثی در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اثبات خلافت امیرالمومین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Pr="00A73123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است</w:t>
      </w:r>
      <w:r>
        <w:rPr>
          <w:rFonts w:cs="B Mitra" w:hint="cs"/>
          <w:sz w:val="28"/>
          <w:szCs w:val="28"/>
          <w:rtl/>
          <w:lang w:bidi="fa-IR"/>
        </w:rPr>
        <w:t>. بنابراین سخن شیخ سلیم مصادره به مطلوب نیست.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A9322B" w:rsidRPr="00A73123" w:rsidRDefault="00A9322B" w:rsidP="003A77D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مطلب صحیح نیست زیرا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مراد از محل بحث </w:t>
      </w:r>
      <w:r>
        <w:rPr>
          <w:rFonts w:cs="B Mitra" w:hint="cs"/>
          <w:sz w:val="28"/>
          <w:szCs w:val="28"/>
          <w:rtl/>
          <w:lang w:bidi="fa-IR"/>
        </w:rPr>
        <w:t xml:space="preserve">در کلام علامه، بحث بین المذهبی است که مساله خلافت در میان مذاهب اسلامی مورد بحث 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و اختلاف نظر </w:t>
      </w:r>
      <w:r>
        <w:rPr>
          <w:rFonts w:cs="B Mitra" w:hint="cs"/>
          <w:sz w:val="28"/>
          <w:szCs w:val="28"/>
          <w:rtl/>
          <w:lang w:bidi="fa-IR"/>
        </w:rPr>
        <w:t xml:space="preserve">است. </w:t>
      </w:r>
      <w:r>
        <w:rPr>
          <w:rFonts w:cs="B Mitra" w:hint="cs"/>
          <w:sz w:val="28"/>
          <w:szCs w:val="28"/>
          <w:rtl/>
          <w:lang w:bidi="fa-IR"/>
        </w:rPr>
        <w:t>در ای</w:t>
      </w:r>
      <w:r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 xml:space="preserve">جا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طرفین </w:t>
      </w:r>
      <w:r>
        <w:rPr>
          <w:rFonts w:cs="B Mitra" w:hint="cs"/>
          <w:sz w:val="28"/>
          <w:szCs w:val="28"/>
          <w:rtl/>
          <w:lang w:bidi="fa-IR"/>
        </w:rPr>
        <w:t xml:space="preserve">باید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برای </w:t>
      </w:r>
      <w:r>
        <w:rPr>
          <w:rFonts w:cs="B Mitra" w:hint="cs"/>
          <w:sz w:val="28"/>
          <w:szCs w:val="28"/>
          <w:rtl/>
          <w:lang w:bidi="fa-IR"/>
        </w:rPr>
        <w:t xml:space="preserve">اثبات 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مدعای خود </w:t>
      </w:r>
      <w:r w:rsidRPr="00A73123">
        <w:rPr>
          <w:rFonts w:cs="B Mitra" w:hint="cs"/>
          <w:sz w:val="28"/>
          <w:szCs w:val="28"/>
          <w:rtl/>
          <w:lang w:bidi="fa-IR"/>
        </w:rPr>
        <w:t>دلیل بیاورند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 کما اینکه </w:t>
      </w:r>
      <w:r>
        <w:rPr>
          <w:rFonts w:cs="B Mitra" w:hint="cs"/>
          <w:sz w:val="28"/>
          <w:szCs w:val="28"/>
          <w:rtl/>
          <w:lang w:bidi="fa-IR"/>
        </w:rPr>
        <w:t xml:space="preserve">علامه شرف الدین دلایل مختلفی 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را ذکر کردند. </w:t>
      </w:r>
      <w:r>
        <w:rPr>
          <w:rFonts w:cs="B Mitra" w:hint="cs"/>
          <w:sz w:val="28"/>
          <w:szCs w:val="28"/>
          <w:rtl/>
          <w:lang w:bidi="fa-IR"/>
        </w:rPr>
        <w:t>طرف مقابل نیز باید دل</w:t>
      </w:r>
      <w:r w:rsidR="003A77DC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یل 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خود را </w:t>
      </w:r>
      <w:r>
        <w:rPr>
          <w:rFonts w:cs="B Mitra" w:hint="cs"/>
          <w:sz w:val="28"/>
          <w:szCs w:val="28"/>
          <w:rtl/>
          <w:lang w:bidi="fa-IR"/>
        </w:rPr>
        <w:t xml:space="preserve">بیاورد (مانند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عمل صحابه یا احماع صحابه </w:t>
      </w:r>
      <w:r>
        <w:rPr>
          <w:rFonts w:cs="B Mitra" w:hint="cs"/>
          <w:sz w:val="28"/>
          <w:szCs w:val="28"/>
          <w:rtl/>
          <w:lang w:bidi="fa-IR"/>
        </w:rPr>
        <w:t xml:space="preserve">که برخی گفته اند). 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اما دیگر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نمی تواند بگوید 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A73123">
        <w:rPr>
          <w:rFonts w:cs="B Mitra" w:hint="cs"/>
          <w:sz w:val="28"/>
          <w:szCs w:val="28"/>
          <w:rtl/>
          <w:lang w:bidi="fa-IR"/>
        </w:rPr>
        <w:t>این مطلب قطعی است</w:t>
      </w:r>
      <w:r w:rsidR="003A77DC">
        <w:rPr>
          <w:rFonts w:cs="B Mitra" w:hint="cs"/>
          <w:sz w:val="28"/>
          <w:szCs w:val="28"/>
          <w:rtl/>
          <w:lang w:bidi="fa-IR"/>
        </w:rPr>
        <w:t xml:space="preserve">، زیرا مصادره به مطلوب است.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A9322B" w:rsidRPr="00A73123" w:rsidRDefault="00A9322B" w:rsidP="003A77D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در اینجا دو محل بحث داریم: یک محل بحث </w:t>
      </w:r>
      <w:r w:rsidRPr="00A73123">
        <w:rPr>
          <w:rFonts w:cs="B Mitra" w:hint="cs"/>
          <w:sz w:val="28"/>
          <w:szCs w:val="28"/>
          <w:rtl/>
          <w:lang w:bidi="fa-IR"/>
        </w:rPr>
        <w:t>بین علامه و شیخ سلیم</w:t>
      </w:r>
      <w:r w:rsidR="003A77DC"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و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A73123">
        <w:rPr>
          <w:rFonts w:cs="B Mitra" w:hint="cs"/>
          <w:sz w:val="28"/>
          <w:szCs w:val="28"/>
          <w:rtl/>
          <w:lang w:bidi="fa-IR"/>
        </w:rPr>
        <w:t>یک محل بحث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بین </w:t>
      </w:r>
      <w:r>
        <w:rPr>
          <w:rFonts w:cs="B Mitra" w:hint="cs"/>
          <w:sz w:val="28"/>
          <w:szCs w:val="28"/>
          <w:rtl/>
          <w:lang w:bidi="fa-IR"/>
        </w:rPr>
        <w:t>دو مذهب اهل بیت (ع) و اهل سنت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A73123" w:rsidRDefault="00A73123" w:rsidP="00A7312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9322B" w:rsidRPr="00A9322B" w:rsidRDefault="003D3761" w:rsidP="003D3761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تقریب مذاهب بر اساس منطق و اخلاق نه عصبانیت و فحاشی</w:t>
      </w:r>
    </w:p>
    <w:p w:rsidR="00863D54" w:rsidRDefault="00863D54" w:rsidP="003D376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مقام مباحثه و مناظره با اهل سنت، چند گونه نگرش و روش وجود دارد</w:t>
      </w:r>
      <w:r w:rsidR="003D3761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یک نوع نگرش </w:t>
      </w:r>
      <w:r>
        <w:rPr>
          <w:rFonts w:cs="B Mitra" w:hint="cs"/>
          <w:sz w:val="28"/>
          <w:szCs w:val="28"/>
          <w:rtl/>
          <w:lang w:bidi="fa-IR"/>
        </w:rPr>
        <w:t xml:space="preserve">آن است که هرگونه راهی را می بندد و با عصبانیت و سخنان تند وارد می شود. 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 xml:space="preserve">برخی معتقد هستند </w:t>
      </w:r>
      <w:r w:rsidR="006E65BE">
        <w:rPr>
          <w:rFonts w:cs="B Mitra" w:hint="cs"/>
          <w:sz w:val="28"/>
          <w:szCs w:val="28"/>
          <w:rtl/>
          <w:lang w:bidi="fa-IR"/>
        </w:rPr>
        <w:t xml:space="preserve">ما 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>هر چق</w:t>
      </w:r>
      <w:r w:rsidR="006E65BE">
        <w:rPr>
          <w:rFonts w:cs="B Mitra" w:hint="cs"/>
          <w:sz w:val="28"/>
          <w:szCs w:val="28"/>
          <w:rtl/>
          <w:lang w:bidi="fa-IR"/>
        </w:rPr>
        <w:t>د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 xml:space="preserve">ر بتوانیم شکاف </w:t>
      </w:r>
      <w:r w:rsidR="006E65BE">
        <w:rPr>
          <w:rFonts w:cs="B Mitra" w:hint="cs"/>
          <w:sz w:val="28"/>
          <w:szCs w:val="28"/>
          <w:rtl/>
          <w:lang w:bidi="fa-IR"/>
        </w:rPr>
        <w:t xml:space="preserve">بین دو مذهب 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>را بیشتر کنیم بهتر است</w:t>
      </w:r>
      <w:r w:rsidR="006E65BE">
        <w:rPr>
          <w:rFonts w:cs="B Mitra" w:hint="cs"/>
          <w:sz w:val="28"/>
          <w:szCs w:val="28"/>
          <w:rtl/>
          <w:lang w:bidi="fa-IR"/>
        </w:rPr>
        <w:t xml:space="preserve">. شیوه ای که تشیع لندنی و وهابیون در پیش گرفته اند همین شیوه است. اما این شیوه 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 xml:space="preserve">خلاف شیوه اهل بیت </w:t>
      </w:r>
      <w:r w:rsidR="006E65BE">
        <w:rPr>
          <w:rFonts w:cs="B Mitra" w:hint="cs"/>
          <w:sz w:val="28"/>
          <w:szCs w:val="28"/>
          <w:rtl/>
          <w:lang w:bidi="fa-IR"/>
        </w:rPr>
        <w:t>(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>ع</w:t>
      </w:r>
      <w:r w:rsidR="006E65BE">
        <w:rPr>
          <w:rFonts w:cs="B Mitra" w:hint="cs"/>
          <w:sz w:val="28"/>
          <w:szCs w:val="28"/>
          <w:rtl/>
          <w:lang w:bidi="fa-IR"/>
        </w:rPr>
        <w:t>)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 xml:space="preserve"> </w:t>
      </w:r>
      <w:r w:rsidR="006E65BE">
        <w:rPr>
          <w:rFonts w:cs="B Mitra" w:hint="cs"/>
          <w:sz w:val="28"/>
          <w:szCs w:val="28"/>
          <w:rtl/>
          <w:lang w:bidi="fa-IR"/>
        </w:rPr>
        <w:t xml:space="preserve">در برخورد با مذاهب دیگر </w:t>
      </w:r>
      <w:r w:rsidR="006E65BE" w:rsidRPr="00A73123">
        <w:rPr>
          <w:rFonts w:cs="B Mitra" w:hint="cs"/>
          <w:sz w:val="28"/>
          <w:szCs w:val="28"/>
          <w:rtl/>
          <w:lang w:bidi="fa-IR"/>
        </w:rPr>
        <w:t>است.</w:t>
      </w:r>
    </w:p>
    <w:p w:rsidR="006E65BE" w:rsidRDefault="006E65BE" w:rsidP="003D376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نگرش دیگر باز نمودن باب گفتگو و </w:t>
      </w:r>
      <w:r w:rsidR="003D3761">
        <w:rPr>
          <w:rFonts w:cs="B Mitra" w:hint="cs"/>
          <w:sz w:val="28"/>
          <w:szCs w:val="28"/>
          <w:rtl/>
          <w:lang w:bidi="fa-IR"/>
        </w:rPr>
        <w:t xml:space="preserve">صحبت، و </w:t>
      </w:r>
      <w:r>
        <w:rPr>
          <w:rFonts w:cs="B Mitra" w:hint="cs"/>
          <w:sz w:val="28"/>
          <w:szCs w:val="28"/>
          <w:rtl/>
          <w:lang w:bidi="fa-IR"/>
        </w:rPr>
        <w:t xml:space="preserve">مناظره و جدل بر اساس منطق و اخلاق است. این همان روشی است که علامه شرف الدین در این کتاب در پیش گرفته است و انصافا آثار و برکات خوبی هم دارد.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>علامه شرف الدین  تقریبی است نه تخریبی و نمی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خواهد شکاف ایجاد کند. </w:t>
      </w:r>
    </w:p>
    <w:p w:rsidR="006E65BE" w:rsidRDefault="006E65BE" w:rsidP="003D376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ما در برابر مطالب میان دو مذهب دو راه را می توانیم در پیش بگیریم: یا مسائل را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مسکوت </w:t>
      </w:r>
      <w:r>
        <w:rPr>
          <w:rFonts w:cs="B Mitra" w:hint="cs"/>
          <w:sz w:val="28"/>
          <w:szCs w:val="28"/>
          <w:rtl/>
          <w:lang w:bidi="fa-IR"/>
        </w:rPr>
        <w:t xml:space="preserve">بگذاریم که این مساله با تقریب جور نمی آید و روز به روز بر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ابهام ها </w:t>
      </w:r>
      <w:r>
        <w:rPr>
          <w:rFonts w:cs="B Mitra" w:hint="cs"/>
          <w:sz w:val="28"/>
          <w:szCs w:val="28"/>
          <w:rtl/>
          <w:lang w:bidi="fa-IR"/>
        </w:rPr>
        <w:t>می افزارد</w:t>
      </w:r>
      <w:r w:rsidR="003D376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یا وارد بحث و گفتگو شویم</w:t>
      </w:r>
      <w:r w:rsidR="003D3761">
        <w:rPr>
          <w:rFonts w:cs="B Mitra" w:hint="cs"/>
          <w:sz w:val="28"/>
          <w:szCs w:val="28"/>
          <w:rtl/>
          <w:lang w:bidi="fa-IR"/>
        </w:rPr>
        <w:t xml:space="preserve">. روشن است که </w:t>
      </w:r>
      <w:r>
        <w:rPr>
          <w:rFonts w:cs="B Mitra" w:hint="cs"/>
          <w:sz w:val="28"/>
          <w:szCs w:val="28"/>
          <w:rtl/>
          <w:lang w:bidi="fa-IR"/>
        </w:rPr>
        <w:t>راه درست</w:t>
      </w:r>
      <w:r w:rsidR="003D376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هم </w:t>
      </w:r>
      <w:r w:rsidR="003D3761">
        <w:rPr>
          <w:rFonts w:cs="B Mitra" w:hint="cs"/>
          <w:sz w:val="28"/>
          <w:szCs w:val="28"/>
          <w:rtl/>
          <w:lang w:bidi="fa-IR"/>
        </w:rPr>
        <w:t xml:space="preserve">راه دوم است و </w:t>
      </w:r>
      <w:r>
        <w:rPr>
          <w:rFonts w:cs="B Mitra" w:hint="cs"/>
          <w:sz w:val="28"/>
          <w:szCs w:val="28"/>
          <w:rtl/>
          <w:lang w:bidi="fa-IR"/>
        </w:rPr>
        <w:t xml:space="preserve">تجربه هم نشان داده است که گفتگو در یک فضای منطقی و با اخلاق چقدر می تواند تاثیر گذار باشد. </w:t>
      </w:r>
    </w:p>
    <w:p w:rsidR="00A73123" w:rsidRPr="00A73123" w:rsidRDefault="006E65BE" w:rsidP="003D376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یک وقت در سفر به حج که در بعثه </w:t>
      </w:r>
      <w:r w:rsidR="003D3761">
        <w:rPr>
          <w:rFonts w:cs="B Mitra" w:hint="cs"/>
          <w:sz w:val="28"/>
          <w:szCs w:val="28"/>
          <w:rtl/>
          <w:lang w:bidi="fa-IR"/>
        </w:rPr>
        <w:t xml:space="preserve">مقام معظم رهبری </w:t>
      </w:r>
      <w:r>
        <w:rPr>
          <w:rFonts w:cs="B Mitra" w:hint="cs"/>
          <w:sz w:val="28"/>
          <w:szCs w:val="28"/>
          <w:rtl/>
          <w:lang w:bidi="fa-IR"/>
        </w:rPr>
        <w:t>حضور داشتم</w:t>
      </w:r>
      <w:r w:rsidR="003D376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چند نفر از </w:t>
      </w:r>
      <w:r w:rsidR="003D3761">
        <w:rPr>
          <w:rFonts w:cs="B Mitra" w:hint="cs"/>
          <w:sz w:val="28"/>
          <w:szCs w:val="28"/>
          <w:rtl/>
          <w:lang w:bidi="fa-IR"/>
        </w:rPr>
        <w:t xml:space="preserve">عالمان </w:t>
      </w:r>
      <w:r>
        <w:rPr>
          <w:rFonts w:cs="B Mitra" w:hint="cs"/>
          <w:sz w:val="28"/>
          <w:szCs w:val="28"/>
          <w:rtl/>
          <w:lang w:bidi="fa-IR"/>
        </w:rPr>
        <w:t xml:space="preserve">اهل مصر برای گفتگو آمدند.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بعد از صرف چای </w:t>
      </w:r>
      <w:r>
        <w:rPr>
          <w:rFonts w:cs="B Mitra" w:hint="cs"/>
          <w:sz w:val="28"/>
          <w:szCs w:val="28"/>
          <w:rtl/>
          <w:lang w:bidi="fa-IR"/>
        </w:rPr>
        <w:t xml:space="preserve">و شیرینی به آنها گفتم: منهج شما در صفات خبریه چیست ؟ گفتند روش ما همان روش امام مالک است که وقتی از وی سوال در این باره سوال </w:t>
      </w:r>
      <w:r w:rsidR="003D3761">
        <w:rPr>
          <w:rFonts w:cs="B Mitra" w:hint="cs"/>
          <w:sz w:val="28"/>
          <w:szCs w:val="28"/>
          <w:rtl/>
          <w:lang w:bidi="fa-IR"/>
        </w:rPr>
        <w:t xml:space="preserve">شد </w:t>
      </w:r>
      <w:r>
        <w:rPr>
          <w:rFonts w:cs="B Mitra" w:hint="cs"/>
          <w:sz w:val="28"/>
          <w:szCs w:val="28"/>
          <w:rtl/>
          <w:lang w:bidi="fa-IR"/>
        </w:rPr>
        <w:t>گفت: «</w:t>
      </w:r>
      <w:r w:rsidRPr="006E65BE">
        <w:rPr>
          <w:rFonts w:cs="B Mitra" w:hint="cs"/>
          <w:sz w:val="28"/>
          <w:szCs w:val="28"/>
          <w:rtl/>
          <w:lang w:bidi="fa-IR"/>
        </w:rPr>
        <w:t>الاستواء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معلوم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و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الكيفية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مجهولة،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و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السؤال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عنه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بدعة،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و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الايمان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به</w:t>
      </w:r>
      <w:r w:rsidRPr="006E65BE">
        <w:rPr>
          <w:rFonts w:cs="B Mitra"/>
          <w:sz w:val="28"/>
          <w:szCs w:val="28"/>
          <w:rtl/>
          <w:lang w:bidi="fa-IR"/>
        </w:rPr>
        <w:t xml:space="preserve"> </w:t>
      </w:r>
      <w:r w:rsidRPr="006E65BE">
        <w:rPr>
          <w:rFonts w:cs="B Mitra" w:hint="cs"/>
          <w:sz w:val="28"/>
          <w:szCs w:val="28"/>
          <w:rtl/>
          <w:lang w:bidi="fa-IR"/>
        </w:rPr>
        <w:t>واجب‏</w:t>
      </w:r>
      <w:r>
        <w:rPr>
          <w:rFonts w:cs="B Mitra" w:hint="cs"/>
          <w:sz w:val="28"/>
          <w:szCs w:val="28"/>
          <w:rtl/>
          <w:lang w:bidi="fa-IR"/>
        </w:rPr>
        <w:t xml:space="preserve">». من گفتم اما منهج ما منهج امام صادق (ع) است که وقتی از ایشان درباره آیه «الرحمن علی االعرش استوی» سوال شد فرمودند: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یعنی خداوند بر عرش قرار گرفت و مراد از عرش مجموع مخلوقات است. معنای آن این است که 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تدبیر الهی همه جهان را فرا گرفته است . </w:t>
      </w:r>
    </w:p>
    <w:p w:rsidR="00A73123" w:rsidRPr="00A73123" w:rsidRDefault="00A73123" w:rsidP="00215FE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A73123">
        <w:rPr>
          <w:rFonts w:cs="B Mitra" w:hint="cs"/>
          <w:sz w:val="28"/>
          <w:szCs w:val="28"/>
          <w:rtl/>
          <w:lang w:bidi="fa-IR"/>
        </w:rPr>
        <w:t>در یکی از جلسات</w:t>
      </w:r>
      <w:r w:rsidR="00421EF3">
        <w:rPr>
          <w:rFonts w:cs="B Mitra" w:hint="cs"/>
          <w:sz w:val="28"/>
          <w:szCs w:val="28"/>
          <w:rtl/>
          <w:lang w:bidi="fa-IR"/>
        </w:rPr>
        <w:t>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که در بلوجستان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با عالمان اهل سنت </w:t>
      </w:r>
      <w:r w:rsidRPr="00A73123">
        <w:rPr>
          <w:rFonts w:cs="B Mitra" w:hint="cs"/>
          <w:sz w:val="28"/>
          <w:szCs w:val="28"/>
          <w:rtl/>
          <w:lang w:bidi="fa-IR"/>
        </w:rPr>
        <w:t>برقرار شد</w:t>
      </w:r>
      <w:r w:rsidR="00421EF3"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یکی از </w:t>
      </w:r>
      <w:r w:rsidR="00215FE0">
        <w:rPr>
          <w:rFonts w:cs="B Mitra" w:hint="cs"/>
          <w:sz w:val="28"/>
          <w:szCs w:val="28"/>
          <w:rtl/>
          <w:lang w:bidi="fa-IR"/>
        </w:rPr>
        <w:t xml:space="preserve">اعاظم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اهل سنت </w:t>
      </w:r>
      <w:r w:rsidR="00215FE0">
        <w:rPr>
          <w:rFonts w:cs="B Mitra" w:hint="cs"/>
          <w:sz w:val="28"/>
          <w:szCs w:val="28"/>
          <w:rtl/>
          <w:lang w:bidi="fa-IR"/>
        </w:rPr>
        <w:t xml:space="preserve">بلوجستان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در آنجا بنام و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صاحب حوزه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علمیه بود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بنام مولوی </w:t>
      </w:r>
      <w:r w:rsidR="00215FE0">
        <w:rPr>
          <w:rFonts w:cs="B Mitra" w:hint="cs"/>
          <w:sz w:val="28"/>
          <w:szCs w:val="28"/>
          <w:rtl/>
          <w:lang w:bidi="fa-IR"/>
        </w:rPr>
        <w:t xml:space="preserve">محمد عمر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سربازی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A73123">
        <w:rPr>
          <w:rFonts w:cs="B Mitra" w:hint="cs"/>
          <w:sz w:val="28"/>
          <w:szCs w:val="28"/>
          <w:rtl/>
          <w:lang w:bidi="fa-IR"/>
        </w:rPr>
        <w:t>حضور می داشت</w:t>
      </w:r>
      <w:r w:rsidR="00421EF3">
        <w:rPr>
          <w:rFonts w:cs="B Mitra" w:hint="cs"/>
          <w:sz w:val="28"/>
          <w:szCs w:val="28"/>
          <w:rtl/>
          <w:lang w:bidi="fa-IR"/>
        </w:rPr>
        <w:t>. وی کمتر سخن می گفت. یک وقت بحث بدا پیش آمد و این حدیث امام صادق (ع) مطرح شد که کسی که منکر بدا باشد همانند یهود است که قرآن کریم در این باره فرموده است: «</w:t>
      </w:r>
      <w:r w:rsidR="00421EF3" w:rsidRPr="00421EF3">
        <w:rPr>
          <w:rFonts w:hint="cs"/>
          <w:rtl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وَ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قالَتِ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الْيَهُودُ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يَدُ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اللَّهِ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مَغْلُولَةٌ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غُلَّتْ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أَيْديهِمْ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وَ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لُعِنُوا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بِما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قالُوا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بَلْ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يَداهُ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مَبْسُوطَتانِ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يُنْفِقُ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كَيْفَ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يَشاءُ</w:t>
      </w:r>
      <w:r w:rsidR="00421EF3">
        <w:rPr>
          <w:rFonts w:cs="B Mitra" w:hint="cs"/>
          <w:sz w:val="28"/>
          <w:szCs w:val="28"/>
          <w:rtl/>
          <w:lang w:bidi="fa-IR"/>
        </w:rPr>
        <w:t>»</w:t>
      </w:r>
      <w:r w:rsidR="00421EF3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Pr="00A73123">
        <w:rPr>
          <w:rFonts w:cs="B Mitra" w:hint="cs"/>
          <w:sz w:val="28"/>
          <w:szCs w:val="28"/>
          <w:rtl/>
          <w:lang w:bidi="fa-IR"/>
        </w:rPr>
        <w:t xml:space="preserve">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. آن عالم اهل سنت سر خود را بالا آورد و به آرامی </w:t>
      </w:r>
      <w:r w:rsidRPr="00A73123">
        <w:rPr>
          <w:rFonts w:cs="B Mitra" w:hint="cs"/>
          <w:sz w:val="28"/>
          <w:szCs w:val="28"/>
          <w:rtl/>
          <w:lang w:bidi="fa-IR"/>
        </w:rPr>
        <w:t>گفت</w:t>
      </w:r>
      <w:r w:rsidR="00421EF3">
        <w:rPr>
          <w:rFonts w:cs="B Mitra" w:hint="cs"/>
          <w:sz w:val="28"/>
          <w:szCs w:val="28"/>
          <w:rtl/>
          <w:lang w:bidi="fa-IR"/>
        </w:rPr>
        <w:t>: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این تفسیری که امام صادق </w:t>
      </w:r>
      <w:r w:rsidR="00421EF3">
        <w:rPr>
          <w:rFonts w:cs="B Mitra" w:hint="cs"/>
          <w:sz w:val="28"/>
          <w:szCs w:val="28"/>
          <w:rtl/>
          <w:lang w:bidi="fa-IR"/>
        </w:rPr>
        <w:t>(</w:t>
      </w:r>
      <w:r w:rsidRPr="00A73123">
        <w:rPr>
          <w:rFonts w:cs="B Mitra" w:hint="cs"/>
          <w:sz w:val="28"/>
          <w:szCs w:val="28"/>
          <w:rtl/>
          <w:lang w:bidi="fa-IR"/>
        </w:rPr>
        <w:t>ع</w:t>
      </w:r>
      <w:r w:rsidR="00421EF3">
        <w:rPr>
          <w:rFonts w:cs="B Mitra" w:hint="cs"/>
          <w:sz w:val="28"/>
          <w:szCs w:val="28"/>
          <w:rtl/>
          <w:lang w:bidi="fa-IR"/>
        </w:rPr>
        <w:t>)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برای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آیه نموده است از کدام از اقسام تفسیر است؟ خدای متعال کمک فرمود و در آن لحظه ناآگاه این سخن به یاد من آمد و گفتم: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تفسر 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ایشان تفسیر </w:t>
      </w:r>
      <w:r w:rsidRPr="00A73123">
        <w:rPr>
          <w:rFonts w:cs="B Mitra" w:hint="cs"/>
          <w:sz w:val="28"/>
          <w:szCs w:val="28"/>
          <w:rtl/>
          <w:lang w:bidi="fa-IR"/>
        </w:rPr>
        <w:t>قرآن ب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ه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قرآن است </w:t>
      </w:r>
      <w:r w:rsidR="00421EF3">
        <w:rPr>
          <w:rFonts w:cs="B Mitra" w:hint="cs"/>
          <w:sz w:val="28"/>
          <w:szCs w:val="28"/>
          <w:rtl/>
          <w:lang w:bidi="fa-IR"/>
        </w:rPr>
        <w:t>و همان طور که بد</w:t>
      </w:r>
      <w:r w:rsidR="00215FE0">
        <w:rPr>
          <w:rFonts w:cs="B Mitra" w:hint="cs"/>
          <w:sz w:val="28"/>
          <w:szCs w:val="28"/>
          <w:rtl/>
          <w:lang w:bidi="fa-IR"/>
        </w:rPr>
        <w:t>ر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الدین زرکشی گفته است این تفسیر بهترین نوع تفسیر قرآن کریم است. </w:t>
      </w:r>
      <w:r w:rsidR="00215FE0">
        <w:rPr>
          <w:rFonts w:cs="B Mitra" w:hint="cs"/>
          <w:sz w:val="28"/>
          <w:szCs w:val="28"/>
          <w:rtl/>
          <w:lang w:bidi="fa-IR"/>
        </w:rPr>
        <w:t xml:space="preserve">شاهد آن اینکه </w:t>
      </w:r>
      <w:r w:rsidR="00421EF3">
        <w:rPr>
          <w:rFonts w:cs="B Mitra" w:hint="cs"/>
          <w:sz w:val="28"/>
          <w:szCs w:val="28"/>
          <w:rtl/>
          <w:lang w:bidi="fa-IR"/>
        </w:rPr>
        <w:t>امام صادق (ع) در ادامه کلام خود به این آیه شریفه استناد می فرماید: «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يَمْحُوا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اللَّهُ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ما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يَشاءُ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وَ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يُثْبِتُ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وَ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عِنْدَهُ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أُمُّ</w:t>
      </w:r>
      <w:r w:rsidR="00421EF3" w:rsidRPr="00421EF3">
        <w:rPr>
          <w:rFonts w:cs="B Mitra"/>
          <w:sz w:val="28"/>
          <w:szCs w:val="28"/>
          <w:rtl/>
          <w:lang w:bidi="fa-IR"/>
        </w:rPr>
        <w:t xml:space="preserve"> </w:t>
      </w:r>
      <w:r w:rsidR="00421EF3" w:rsidRPr="00421EF3">
        <w:rPr>
          <w:rFonts w:cs="B Mitra" w:hint="cs"/>
          <w:sz w:val="28"/>
          <w:szCs w:val="28"/>
          <w:rtl/>
          <w:lang w:bidi="fa-IR"/>
        </w:rPr>
        <w:t>الْكِتاب‏</w:t>
      </w:r>
      <w:r w:rsidR="00421EF3">
        <w:rPr>
          <w:rFonts w:cs="B Mitra" w:hint="cs"/>
          <w:sz w:val="28"/>
          <w:szCs w:val="28"/>
          <w:rtl/>
          <w:lang w:bidi="fa-IR"/>
        </w:rPr>
        <w:t>»</w:t>
      </w:r>
      <w:r w:rsidR="00421EF3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421EF3">
        <w:rPr>
          <w:rFonts w:cs="B Mitra" w:hint="cs"/>
          <w:sz w:val="28"/>
          <w:szCs w:val="28"/>
          <w:rtl/>
          <w:lang w:bidi="fa-IR"/>
        </w:rPr>
        <w:t xml:space="preserve">. معنای کلام ایشان این است که بدا مربوط به کتاب محو و اثبات است و آنچه ثابت است در ام الکتاب یا لوح محفوظ است . مرحوم علامه طباطبایی می </w:t>
      </w:r>
      <w:r w:rsidR="00215FE0">
        <w:rPr>
          <w:rFonts w:cs="B Mitra" w:hint="cs"/>
          <w:sz w:val="28"/>
          <w:szCs w:val="28"/>
          <w:rtl/>
          <w:lang w:bidi="fa-IR"/>
        </w:rPr>
        <w:t>فرمود: «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ام الکتاب منه البدا و کتاب </w:t>
      </w:r>
      <w:r w:rsidR="00215FE0">
        <w:rPr>
          <w:rFonts w:cs="B Mitra" w:hint="cs"/>
          <w:sz w:val="28"/>
          <w:szCs w:val="28"/>
          <w:rtl/>
          <w:lang w:bidi="fa-IR"/>
        </w:rPr>
        <w:t>ال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محو و </w:t>
      </w:r>
      <w:r w:rsidR="00215FE0">
        <w:rPr>
          <w:rFonts w:cs="B Mitra" w:hint="cs"/>
          <w:sz w:val="28"/>
          <w:szCs w:val="28"/>
          <w:rtl/>
          <w:lang w:bidi="fa-IR"/>
        </w:rPr>
        <w:t>الا</w:t>
      </w:r>
      <w:r w:rsidRPr="00A73123">
        <w:rPr>
          <w:rFonts w:cs="B Mitra" w:hint="cs"/>
          <w:sz w:val="28"/>
          <w:szCs w:val="28"/>
          <w:rtl/>
          <w:lang w:bidi="fa-IR"/>
        </w:rPr>
        <w:t>ثبات</w:t>
      </w:r>
      <w:r w:rsidR="00421EF3"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فیه البدا</w:t>
      </w:r>
      <w:r w:rsidR="00215FE0">
        <w:rPr>
          <w:rFonts w:cs="B Mitra" w:hint="cs"/>
          <w:sz w:val="28"/>
          <w:szCs w:val="28"/>
          <w:rtl/>
          <w:lang w:bidi="fa-IR"/>
        </w:rPr>
        <w:t>».</w:t>
      </w:r>
      <w:r w:rsidR="00421EF3">
        <w:rPr>
          <w:rFonts w:cs="B Mitra" w:hint="cs"/>
          <w:sz w:val="28"/>
          <w:szCs w:val="28"/>
          <w:rtl/>
          <w:lang w:bidi="fa-IR"/>
        </w:rPr>
        <w:t xml:space="preserve">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ام الکتاب ریشه بدا است.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آن عالم اهل سنت بعد از شنیدن این سخن چند بار سر خود را به </w:t>
      </w:r>
      <w:r w:rsidR="00215FE0">
        <w:rPr>
          <w:rFonts w:cs="B Mitra" w:hint="cs"/>
          <w:sz w:val="28"/>
          <w:szCs w:val="28"/>
          <w:rtl/>
          <w:lang w:bidi="fa-IR"/>
        </w:rPr>
        <w:t xml:space="preserve">نشانه تایید و تسلیم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تکان داد. </w:t>
      </w:r>
    </w:p>
    <w:p w:rsidR="00A73123" w:rsidRPr="00A73123" w:rsidRDefault="00A73123" w:rsidP="00215FE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A73123">
        <w:rPr>
          <w:rFonts w:cs="B Mitra" w:hint="cs"/>
          <w:sz w:val="28"/>
          <w:szCs w:val="28"/>
          <w:rtl/>
          <w:lang w:bidi="fa-IR"/>
        </w:rPr>
        <w:t>یک وقت دیگر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 که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بحث رویت خداوند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مطرح </w:t>
      </w:r>
      <w:r w:rsidRPr="00A73123">
        <w:rPr>
          <w:rFonts w:cs="B Mitra" w:hint="cs"/>
          <w:sz w:val="28"/>
          <w:szCs w:val="28"/>
          <w:rtl/>
          <w:lang w:bidi="fa-IR"/>
        </w:rPr>
        <w:t>بود</w:t>
      </w:r>
      <w:r w:rsidR="00FE663D"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وی نیز حضور داشت.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در روایات اهل سنت آمده است که </w:t>
      </w:r>
      <w:r w:rsidRPr="00A73123">
        <w:rPr>
          <w:rFonts w:cs="B Mitra" w:hint="cs"/>
          <w:sz w:val="28"/>
          <w:szCs w:val="28"/>
          <w:rtl/>
          <w:lang w:bidi="fa-IR"/>
        </w:rPr>
        <w:t>مومنین در روز ق</w:t>
      </w:r>
      <w:r w:rsidR="00FE663D">
        <w:rPr>
          <w:rFonts w:cs="B Mitra" w:hint="cs"/>
          <w:sz w:val="28"/>
          <w:szCs w:val="28"/>
          <w:rtl/>
          <w:lang w:bidi="fa-IR"/>
        </w:rPr>
        <w:t>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امت خداوند را می بینند </w:t>
      </w:r>
      <w:r w:rsidR="00FE663D">
        <w:rPr>
          <w:rFonts w:cs="B Mitra" w:hint="cs"/>
          <w:sz w:val="28"/>
          <w:szCs w:val="28"/>
          <w:rtl/>
          <w:lang w:bidi="fa-IR"/>
        </w:rPr>
        <w:t>همانند ماه در شب بدر. «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إنكم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ترون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ربكم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كما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ترون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القمر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في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ليلة</w:t>
      </w:r>
      <w:r w:rsidR="00FE663D" w:rsidRPr="00FE663D">
        <w:rPr>
          <w:rFonts w:cs="B Mitra"/>
          <w:sz w:val="28"/>
          <w:szCs w:val="28"/>
          <w:rtl/>
          <w:lang w:bidi="fa-IR"/>
        </w:rPr>
        <w:t xml:space="preserve"> </w:t>
      </w:r>
      <w:r w:rsidR="00FE663D" w:rsidRPr="00FE663D">
        <w:rPr>
          <w:rFonts w:cs="B Mitra" w:hint="cs"/>
          <w:sz w:val="28"/>
          <w:szCs w:val="28"/>
          <w:rtl/>
          <w:lang w:bidi="fa-IR"/>
        </w:rPr>
        <w:t>البدر</w:t>
      </w:r>
      <w:r w:rsidR="00FE663D">
        <w:rPr>
          <w:rFonts w:cs="B Mitra" w:hint="cs"/>
          <w:sz w:val="28"/>
          <w:szCs w:val="28"/>
          <w:rtl/>
          <w:lang w:bidi="fa-IR"/>
        </w:rPr>
        <w:t>»</w:t>
      </w:r>
      <w:r w:rsidR="00215FE0">
        <w:rPr>
          <w:rFonts w:cs="B Mitra" w:hint="cs"/>
          <w:sz w:val="28"/>
          <w:szCs w:val="28"/>
          <w:rtl/>
          <w:lang w:bidi="fa-IR"/>
        </w:rPr>
        <w:t>.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 آنان </w:t>
      </w:r>
      <w:r w:rsidRPr="00A73123">
        <w:rPr>
          <w:rFonts w:cs="B Mitra" w:hint="cs"/>
          <w:sz w:val="28"/>
          <w:szCs w:val="28"/>
          <w:rtl/>
          <w:lang w:bidi="fa-IR"/>
        </w:rPr>
        <w:t>می گویند بهترین لذت های بهشت دیدن خداوند است.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 آن عالم اهل سنت گفت: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نباید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از این موضوع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تعجب کرد که اکنون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ما </w:t>
      </w:r>
      <w:r w:rsidRPr="00A73123">
        <w:rPr>
          <w:rFonts w:cs="B Mitra" w:hint="cs"/>
          <w:sz w:val="28"/>
          <w:szCs w:val="28"/>
          <w:rtl/>
          <w:lang w:bidi="fa-IR"/>
        </w:rPr>
        <w:t>نمی توانیم خداوند را ببینیم</w:t>
      </w:r>
      <w:r w:rsidR="00FE663D"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زیرا احکام دنیا و آخرت با هم فرق می کند. بنده در جواب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وی </w:t>
      </w:r>
      <w:r w:rsidRPr="00A73123">
        <w:rPr>
          <w:rFonts w:cs="B Mitra" w:hint="cs"/>
          <w:sz w:val="28"/>
          <w:szCs w:val="28"/>
          <w:rtl/>
          <w:lang w:bidi="fa-IR"/>
        </w:rPr>
        <w:t>گفتم</w:t>
      </w:r>
      <w:r w:rsidR="00215FE0">
        <w:rPr>
          <w:rFonts w:cs="B Mitra" w:hint="cs"/>
          <w:sz w:val="28"/>
          <w:szCs w:val="28"/>
          <w:rtl/>
          <w:lang w:bidi="fa-IR"/>
        </w:rPr>
        <w:t>: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فرمایش جناب مولوی </w:t>
      </w:r>
      <w:r w:rsidR="00FE663D">
        <w:rPr>
          <w:rFonts w:cs="B Mitra" w:hint="cs"/>
          <w:sz w:val="28"/>
          <w:szCs w:val="28"/>
          <w:rtl/>
          <w:lang w:bidi="fa-IR"/>
        </w:rPr>
        <w:t>در اینکه میان آخرت و دنیا کامل</w:t>
      </w:r>
      <w:r w:rsidR="00215FE0">
        <w:rPr>
          <w:rFonts w:cs="B Mitra" w:hint="cs"/>
          <w:sz w:val="28"/>
          <w:szCs w:val="28"/>
          <w:rtl/>
          <w:lang w:bidi="fa-IR"/>
        </w:rPr>
        <w:t>ا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 فرق است</w:t>
      </w:r>
      <w:r w:rsidR="00215FE0">
        <w:rPr>
          <w:rFonts w:cs="B Mitra" w:hint="cs"/>
          <w:sz w:val="28"/>
          <w:szCs w:val="28"/>
          <w:rtl/>
          <w:lang w:bidi="fa-IR"/>
        </w:rPr>
        <w:t>،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درست و متین است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A73123">
        <w:rPr>
          <w:rFonts w:cs="B Mitra" w:hint="cs"/>
          <w:sz w:val="28"/>
          <w:szCs w:val="28"/>
          <w:rtl/>
          <w:lang w:bidi="fa-IR"/>
        </w:rPr>
        <w:t>حق با ایشان است</w:t>
      </w:r>
      <w:r w:rsidR="00FE663D">
        <w:rPr>
          <w:rFonts w:cs="B Mitra" w:hint="cs"/>
          <w:sz w:val="28"/>
          <w:szCs w:val="28"/>
          <w:rtl/>
          <w:lang w:bidi="fa-IR"/>
        </w:rPr>
        <w:t>.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قرآن می فرماید </w:t>
      </w:r>
      <w:r w:rsidR="00FE663D">
        <w:rPr>
          <w:rFonts w:cs="B Mitra" w:hint="cs"/>
          <w:sz w:val="28"/>
          <w:szCs w:val="28"/>
          <w:rtl/>
          <w:lang w:bidi="fa-IR"/>
        </w:rPr>
        <w:t>«</w:t>
      </w:r>
      <w:r w:rsidRPr="00A73123">
        <w:rPr>
          <w:rFonts w:cs="B Mitra" w:hint="cs"/>
          <w:sz w:val="28"/>
          <w:szCs w:val="28"/>
          <w:rtl/>
          <w:lang w:bidi="fa-IR"/>
        </w:rPr>
        <w:t>یوم تبدل الارض غیر الارض</w:t>
      </w:r>
      <w:r w:rsidR="00FE663D">
        <w:rPr>
          <w:rFonts w:cs="B Mitra" w:hint="cs"/>
          <w:sz w:val="28"/>
          <w:szCs w:val="28"/>
          <w:rtl/>
          <w:lang w:bidi="fa-IR"/>
        </w:rPr>
        <w:t>».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اما سوالی از ایشان دارم که توضیح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بفرمایند: </w:t>
      </w:r>
      <w:r w:rsidRPr="00A73123">
        <w:rPr>
          <w:rFonts w:cs="B Mitra" w:hint="cs"/>
          <w:sz w:val="28"/>
          <w:szCs w:val="28"/>
          <w:rtl/>
          <w:lang w:bidi="fa-IR"/>
        </w:rPr>
        <w:t>در آخرت وضعیت ما انسان ها با آنچه در دنیا هستیم فرق می کند</w:t>
      </w:r>
      <w:r w:rsidR="00215FE0"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مانند اینکه 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ممکن است </w:t>
      </w:r>
      <w:r w:rsidRPr="00A73123">
        <w:rPr>
          <w:rFonts w:cs="B Mitra" w:hint="cs"/>
          <w:sz w:val="28"/>
          <w:szCs w:val="28"/>
          <w:rtl/>
          <w:lang w:bidi="fa-IR"/>
        </w:rPr>
        <w:t>چشم ما قوی تر شود</w:t>
      </w:r>
      <w:r w:rsidR="00215FE0">
        <w:rPr>
          <w:rFonts w:cs="B Mitra" w:hint="cs"/>
          <w:sz w:val="28"/>
          <w:szCs w:val="28"/>
          <w:rtl/>
          <w:lang w:bidi="fa-IR"/>
        </w:rPr>
        <w:t>،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اما آیا خدای آخرت هم با خدای دنیا فرق می کند</w:t>
      </w:r>
      <w:r w:rsidR="00FE663D">
        <w:rPr>
          <w:rFonts w:cs="B Mitra" w:hint="cs"/>
          <w:sz w:val="28"/>
          <w:szCs w:val="28"/>
          <w:rtl/>
          <w:lang w:bidi="fa-IR"/>
        </w:rPr>
        <w:t>؟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 چیزی که قرار است دیده شود دو سویه </w:t>
      </w:r>
      <w:r w:rsidR="00FE663D">
        <w:rPr>
          <w:rFonts w:cs="B Mitra" w:hint="cs"/>
          <w:sz w:val="28"/>
          <w:szCs w:val="28"/>
          <w:rtl/>
          <w:lang w:bidi="fa-IR"/>
        </w:rPr>
        <w:t>دارد</w:t>
      </w:r>
      <w:r w:rsidR="00215FE0">
        <w:rPr>
          <w:rFonts w:cs="B Mitra" w:hint="cs"/>
          <w:sz w:val="28"/>
          <w:szCs w:val="28"/>
          <w:rtl/>
          <w:lang w:bidi="fa-IR"/>
        </w:rPr>
        <w:t>: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 هم بیننده باید صلاحیت دیدن را داشته باشد و هم شی مرئی قابلیت رویت را داشته باشد. </w:t>
      </w:r>
      <w:r w:rsidRPr="00A73123">
        <w:rPr>
          <w:rFonts w:cs="B Mitra" w:hint="cs"/>
          <w:sz w:val="28"/>
          <w:szCs w:val="28"/>
          <w:rtl/>
          <w:lang w:bidi="fa-IR"/>
        </w:rPr>
        <w:t>خدای متعال که جسم نیست و چیزی که جسم نیست و حجم ندارد قابل رویت نیست</w:t>
      </w:r>
      <w:r w:rsidR="00215FE0">
        <w:rPr>
          <w:rFonts w:cs="B Mitra" w:hint="cs"/>
          <w:sz w:val="28"/>
          <w:szCs w:val="28"/>
          <w:rtl/>
          <w:lang w:bidi="fa-IR"/>
        </w:rPr>
        <w:t>.</w:t>
      </w:r>
      <w:r w:rsidR="00FE663D">
        <w:rPr>
          <w:rFonts w:cs="B Mitra" w:hint="cs"/>
          <w:sz w:val="28"/>
          <w:szCs w:val="28"/>
          <w:rtl/>
          <w:lang w:bidi="fa-IR"/>
        </w:rPr>
        <w:t xml:space="preserve"> رویت خداوند در آخرت تنها در صورتی ممکن است که کسی </w:t>
      </w:r>
      <w:r w:rsidRPr="00A73123">
        <w:rPr>
          <w:rFonts w:cs="B Mitra" w:hint="cs"/>
          <w:sz w:val="28"/>
          <w:szCs w:val="28"/>
          <w:rtl/>
          <w:lang w:bidi="fa-IR"/>
        </w:rPr>
        <w:t xml:space="preserve">قائل شود در آخرت خداوند جسم پیدا می کند که محال است. </w:t>
      </w:r>
    </w:p>
    <w:p w:rsidR="00A73123" w:rsidRPr="00A73123" w:rsidRDefault="00FE663D" w:rsidP="007E378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آ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>یت الله سبحانی در یکی از خ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>طرات خود در سفر حج</w:t>
      </w:r>
      <w:r w:rsidR="00215FE0">
        <w:rPr>
          <w:rFonts w:cs="B Mitra" w:hint="cs"/>
          <w:sz w:val="28"/>
          <w:szCs w:val="28"/>
          <w:rtl/>
          <w:lang w:bidi="fa-IR"/>
        </w:rPr>
        <w:t>،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 در گفتگو با کسی </w:t>
      </w:r>
      <w:r w:rsidR="00215FE0">
        <w:rPr>
          <w:rFonts w:cs="B Mitra" w:hint="cs"/>
          <w:sz w:val="28"/>
          <w:szCs w:val="28"/>
          <w:rtl/>
          <w:lang w:bidi="fa-IR"/>
        </w:rPr>
        <w:t xml:space="preserve">که معتقد به رویت خداوند بود </w:t>
      </w:r>
      <w:r>
        <w:rPr>
          <w:rFonts w:cs="B Mitra" w:hint="cs"/>
          <w:sz w:val="28"/>
          <w:szCs w:val="28"/>
          <w:rtl/>
          <w:lang w:bidi="fa-IR"/>
        </w:rPr>
        <w:t xml:space="preserve">فرمود: اینکه می گویی خداوند قابل رویت است </w:t>
      </w:r>
      <w:r w:rsidR="00215FE0">
        <w:rPr>
          <w:rFonts w:cs="B Mitra" w:hint="cs"/>
          <w:sz w:val="28"/>
          <w:szCs w:val="28"/>
          <w:rtl/>
          <w:lang w:bidi="fa-IR"/>
        </w:rPr>
        <w:t xml:space="preserve">آیا </w:t>
      </w:r>
      <w:r>
        <w:rPr>
          <w:rFonts w:cs="B Mitra" w:hint="cs"/>
          <w:sz w:val="28"/>
          <w:szCs w:val="28"/>
          <w:rtl/>
          <w:lang w:bidi="fa-IR"/>
        </w:rPr>
        <w:t>جزء او قابل رویت است یا کل او؟ وی از پاسخ باز ماند زیرا هر کدام را که می گفت با مشکل مواجه می شد.</w:t>
      </w:r>
      <w:r w:rsidR="00A73123" w:rsidRPr="00A73123">
        <w:rPr>
          <w:rFonts w:cs="B Mitra" w:hint="cs"/>
          <w:sz w:val="28"/>
          <w:szCs w:val="28"/>
          <w:rtl/>
          <w:lang w:bidi="fa-IR"/>
        </w:rPr>
        <w:t xml:space="preserve"> </w:t>
      </w:r>
      <w:r w:rsidR="007E3785">
        <w:rPr>
          <w:rFonts w:cs="B Mitra" w:hint="cs"/>
          <w:sz w:val="28"/>
          <w:szCs w:val="28"/>
          <w:rtl/>
          <w:lang w:bidi="fa-IR"/>
        </w:rPr>
        <w:t xml:space="preserve">اگر می گفت جزء خداوند قابل رویت به معنای این است که خداوند اجزاء دارد و اگر می گفت کل او دیده می شود، به معنای این است که خداوند محدود است، در حالی که خدای متعال نه محدود است و نه اجزاء دارد. </w:t>
      </w:r>
    </w:p>
    <w:p w:rsidR="00FE663D" w:rsidRDefault="00FE663D" w:rsidP="00215FE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حاص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ل اینکه مباحث اختلافی بین مذاهب اگر به درستی و با اخلاق بیان شود نه تنها مخل به وحدت نیست بلکه می تواند در این باره مفید نیز باشد. ادامه بحث انشاء الله در جلسه آینده بیان می شود. </w:t>
      </w:r>
    </w:p>
    <w:p w:rsidR="00215FE0" w:rsidRPr="00A73123" w:rsidRDefault="00215FE0" w:rsidP="00215FE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</w:p>
    <w:p w:rsidR="00522F0D" w:rsidRDefault="00522F0D" w:rsidP="00133782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A74" w:rsidRDefault="008D4A74" w:rsidP="00BC6EBB">
      <w:pPr>
        <w:spacing w:after="0" w:line="240" w:lineRule="auto"/>
      </w:pPr>
      <w:r>
        <w:separator/>
      </w:r>
    </w:p>
  </w:endnote>
  <w:endnote w:type="continuationSeparator" w:id="0">
    <w:p w:rsidR="008D4A74" w:rsidRDefault="008D4A7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A74" w:rsidRDefault="008D4A74" w:rsidP="00BC6EBB">
      <w:pPr>
        <w:spacing w:after="0" w:line="240" w:lineRule="auto"/>
      </w:pPr>
      <w:r>
        <w:separator/>
      </w:r>
    </w:p>
  </w:footnote>
  <w:footnote w:type="continuationSeparator" w:id="0">
    <w:p w:rsidR="008D4A74" w:rsidRDefault="008D4A74" w:rsidP="00BC6EBB">
      <w:pPr>
        <w:spacing w:after="0" w:line="240" w:lineRule="auto"/>
      </w:pPr>
      <w:r>
        <w:continuationSeparator/>
      </w:r>
    </w:p>
  </w:footnote>
  <w:footnote w:id="1">
    <w:p w:rsidR="007F5BF8" w:rsidRDefault="007F5BF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ص321</w:t>
      </w:r>
    </w:p>
  </w:footnote>
  <w:footnote w:id="2">
    <w:p w:rsidR="007F5BF8" w:rsidRDefault="007F5BF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 321- 322</w:t>
      </w:r>
    </w:p>
  </w:footnote>
  <w:footnote w:id="3">
    <w:p w:rsidR="00A9322B" w:rsidRDefault="00A9322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الحجج الدامغات، ابومریم اعظمی، ج1، ص 438</w:t>
      </w:r>
    </w:p>
  </w:footnote>
  <w:footnote w:id="4">
    <w:p w:rsidR="00421EF3" w:rsidRDefault="00421EF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مائده، آیه 64</w:t>
      </w:r>
    </w:p>
  </w:footnote>
  <w:footnote w:id="5">
    <w:p w:rsidR="00421EF3" w:rsidRDefault="00421EF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رعد، آیه 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A73123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A73123">
      <w:rPr>
        <w:rFonts w:ascii="Tahoma" w:hAnsi="Tahoma" w:cs="Traditional Arabic" w:hint="cs"/>
        <w:sz w:val="28"/>
        <w:szCs w:val="28"/>
        <w:rtl/>
        <w:lang w:bidi="fa-IR"/>
      </w:rPr>
      <w:t>21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B3F5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5FE0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A77DC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761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1B74"/>
    <w:rsid w:val="00414CCC"/>
    <w:rsid w:val="004167A9"/>
    <w:rsid w:val="00416C32"/>
    <w:rsid w:val="00417867"/>
    <w:rsid w:val="00417A33"/>
    <w:rsid w:val="00417F0D"/>
    <w:rsid w:val="0042053E"/>
    <w:rsid w:val="00421EF3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65BE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3785"/>
    <w:rsid w:val="007E45AF"/>
    <w:rsid w:val="007F093A"/>
    <w:rsid w:val="007F2514"/>
    <w:rsid w:val="007F286A"/>
    <w:rsid w:val="007F4AB5"/>
    <w:rsid w:val="007F5BF8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63D5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4A74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3123"/>
    <w:rsid w:val="00A755FD"/>
    <w:rsid w:val="00A772F3"/>
    <w:rsid w:val="00A834DB"/>
    <w:rsid w:val="00A86F34"/>
    <w:rsid w:val="00A9322B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2100E"/>
    <w:rsid w:val="00E255E9"/>
    <w:rsid w:val="00E302FA"/>
    <w:rsid w:val="00E311B1"/>
    <w:rsid w:val="00E3140B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63D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2728FE-AE3F-48DF-BF4D-93FA20B4D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2019-11-12T11:27:00Z</dcterms:created>
  <dcterms:modified xsi:type="dcterms:W3CDTF">2019-11-12T12:40:00Z</dcterms:modified>
</cp:coreProperties>
</file>