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BF7E28">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30C50">
        <w:rPr>
          <w:rFonts w:ascii="Traditional Arabic" w:hAnsi="Traditional Arabic" w:cs="Traditional Arabic" w:hint="cs"/>
          <w:sz w:val="28"/>
          <w:szCs w:val="28"/>
          <w:rtl/>
        </w:rPr>
        <w:t xml:space="preserve">بررسی </w:t>
      </w:r>
      <w:r w:rsidR="009D56E2">
        <w:rPr>
          <w:rFonts w:ascii="Traditional Arabic" w:hAnsi="Traditional Arabic" w:cs="Traditional Arabic" w:hint="cs"/>
          <w:sz w:val="28"/>
          <w:szCs w:val="28"/>
          <w:rtl/>
        </w:rPr>
        <w:t>حديث مدينه العلم</w:t>
      </w:r>
    </w:p>
    <w:p w:rsidR="002652D3" w:rsidRPr="00981DD2" w:rsidRDefault="002652D3" w:rsidP="002652D3">
      <w:pPr>
        <w:spacing w:after="160" w:line="259" w:lineRule="auto"/>
        <w:jc w:val="both"/>
        <w:rPr>
          <w:rFonts w:cs="B Mitra"/>
          <w:color w:val="FF0000"/>
          <w:sz w:val="28"/>
          <w:szCs w:val="28"/>
          <w:rtl/>
          <w:lang w:bidi="fa-IR"/>
        </w:rPr>
      </w:pPr>
      <w:r w:rsidRPr="00981DD2">
        <w:rPr>
          <w:rFonts w:cs="B Mitra" w:hint="cs"/>
          <w:color w:val="FF0000"/>
          <w:sz w:val="28"/>
          <w:szCs w:val="28"/>
          <w:rtl/>
          <w:lang w:bidi="fa-IR"/>
        </w:rPr>
        <w:t>بررسی کتاب فتح الملک العلی در اثبات حدیث مدینه العلم</w:t>
      </w:r>
    </w:p>
    <w:p w:rsidR="002652D3" w:rsidRPr="002652D3" w:rsidRDefault="002652D3" w:rsidP="002652D3">
      <w:pPr>
        <w:spacing w:after="160" w:line="259" w:lineRule="auto"/>
        <w:jc w:val="both"/>
        <w:rPr>
          <w:rFonts w:cs="B Mitra"/>
          <w:color w:val="FF0000"/>
          <w:sz w:val="28"/>
          <w:szCs w:val="28"/>
          <w:rtl/>
          <w:lang w:bidi="fa-IR"/>
        </w:rPr>
      </w:pPr>
      <w:r w:rsidRPr="002652D3">
        <w:rPr>
          <w:rFonts w:cs="B Mitra"/>
          <w:color w:val="FF0000"/>
          <w:sz w:val="28"/>
          <w:szCs w:val="28"/>
          <w:rtl/>
          <w:lang w:bidi="fa-IR"/>
        </w:rPr>
        <w:t xml:space="preserve">حجیت روایت موثقین اهل بدعت </w:t>
      </w:r>
    </w:p>
    <w:p w:rsidR="002652D3" w:rsidRPr="002652D3" w:rsidRDefault="002652D3" w:rsidP="002652D3">
      <w:pPr>
        <w:spacing w:after="160" w:line="259" w:lineRule="auto"/>
        <w:jc w:val="both"/>
        <w:rPr>
          <w:rFonts w:cs="B Mitra"/>
          <w:sz w:val="28"/>
          <w:szCs w:val="28"/>
          <w:rtl/>
          <w:lang w:bidi="fa-IR"/>
        </w:rPr>
      </w:pPr>
      <w:r w:rsidRPr="002652D3">
        <w:rPr>
          <w:rFonts w:cs="B Mitra"/>
          <w:sz w:val="28"/>
          <w:szCs w:val="28"/>
          <w:rtl/>
          <w:lang w:bidi="fa-IR"/>
        </w:rPr>
        <w:t xml:space="preserve">جماعتی از اهل حدیث و متکلمین، اخبار اهل اهواء را به صورت مطلق پذیرفته اند، اگر چه براساس تأویل، کافر یا فاسق به شمار آیند. خطیب این مطلب را </w:t>
      </w:r>
      <w:bookmarkStart w:id="0" w:name="_GoBack"/>
      <w:bookmarkEnd w:id="0"/>
      <w:r w:rsidRPr="002652D3">
        <w:rPr>
          <w:rFonts w:cs="B Mitra"/>
          <w:sz w:val="28"/>
          <w:szCs w:val="28"/>
          <w:rtl/>
          <w:lang w:bidi="fa-IR"/>
        </w:rPr>
        <w:t>در کتاب «الکفایة» نقل کرده است</w:t>
      </w:r>
      <w:r w:rsidRPr="002652D3">
        <w:rPr>
          <w:rFonts w:cs="B Mitra"/>
          <w:sz w:val="28"/>
          <w:szCs w:val="28"/>
          <w:vertAlign w:val="superscript"/>
          <w:rtl/>
          <w:lang w:bidi="fa-IR"/>
        </w:rPr>
        <w:footnoteReference w:id="1"/>
      </w:r>
      <w:r w:rsidRPr="002652D3">
        <w:rPr>
          <w:rFonts w:cs="B Mitra"/>
          <w:sz w:val="28"/>
          <w:szCs w:val="28"/>
          <w:rtl/>
          <w:lang w:bidi="fa-IR"/>
        </w:rPr>
        <w:t>. شافعی، ابوحنیفه، ابویوسف، ابن ابی لیلی، ثوری و جامعتی دیگر، روایت کسی را که به خاطر بدعتش فاسق به شمار می رود، اگر کذب را حلال نشمارد، مقبول دانسته اند.</w:t>
      </w:r>
      <w:r w:rsidRPr="002652D3">
        <w:rPr>
          <w:rFonts w:cs="B Mitra"/>
          <w:sz w:val="28"/>
          <w:szCs w:val="28"/>
          <w:vertAlign w:val="superscript"/>
          <w:rtl/>
          <w:lang w:bidi="fa-IR"/>
        </w:rPr>
        <w:footnoteReference w:id="2"/>
      </w:r>
      <w:r w:rsidRPr="002652D3">
        <w:rPr>
          <w:rFonts w:cs="B Mitra"/>
          <w:sz w:val="28"/>
          <w:szCs w:val="28"/>
          <w:rtl/>
          <w:lang w:bidi="fa-IR"/>
        </w:rPr>
        <w:t xml:space="preserve"> حاکم در «المدخل»</w:t>
      </w:r>
      <w:r w:rsidRPr="002652D3">
        <w:rPr>
          <w:rFonts w:cs="B Mitra"/>
          <w:sz w:val="28"/>
          <w:szCs w:val="28"/>
          <w:vertAlign w:val="superscript"/>
          <w:rtl/>
          <w:lang w:bidi="fa-IR"/>
        </w:rPr>
        <w:footnoteReference w:id="3"/>
      </w:r>
      <w:r w:rsidRPr="002652D3">
        <w:rPr>
          <w:rFonts w:cs="B Mitra"/>
          <w:sz w:val="28"/>
          <w:szCs w:val="28"/>
          <w:rtl/>
          <w:lang w:bidi="fa-IR"/>
        </w:rPr>
        <w:t xml:space="preserve"> و خطیب در «الکفایة»</w:t>
      </w:r>
      <w:r w:rsidRPr="002652D3">
        <w:rPr>
          <w:rFonts w:cs="B Mitra"/>
          <w:sz w:val="28"/>
          <w:szCs w:val="28"/>
          <w:vertAlign w:val="superscript"/>
          <w:rtl/>
          <w:lang w:bidi="fa-IR"/>
        </w:rPr>
        <w:footnoteReference w:id="4"/>
      </w:r>
      <w:r w:rsidRPr="002652D3">
        <w:rPr>
          <w:rFonts w:cs="B Mitra"/>
          <w:sz w:val="28"/>
          <w:szCs w:val="28"/>
          <w:rtl/>
          <w:lang w:bidi="fa-IR"/>
        </w:rPr>
        <w:t xml:space="preserve"> آن را به جمهور نسبت داده اند. فخرالدین رازی این قول را صحیح دانسته و در «المحصل» بر آن استدلال کرده است.</w:t>
      </w:r>
      <w:r w:rsidRPr="002652D3">
        <w:rPr>
          <w:rFonts w:cs="B Mitra"/>
          <w:sz w:val="28"/>
          <w:szCs w:val="28"/>
          <w:vertAlign w:val="superscript"/>
          <w:rtl/>
          <w:lang w:bidi="fa-IR"/>
        </w:rPr>
        <w:footnoteReference w:id="5"/>
      </w:r>
      <w:r w:rsidRPr="002652D3">
        <w:rPr>
          <w:rFonts w:cs="B Mitra"/>
          <w:sz w:val="28"/>
          <w:szCs w:val="28"/>
          <w:rtl/>
          <w:lang w:bidi="fa-IR"/>
        </w:rPr>
        <w:t xml:space="preserve"> و ابن دقیق الع</w:t>
      </w:r>
      <w:r w:rsidRPr="002652D3">
        <w:rPr>
          <w:rFonts w:cs="B Mitra" w:hint="cs"/>
          <w:sz w:val="28"/>
          <w:szCs w:val="28"/>
          <w:rtl/>
          <w:lang w:bidi="fa-IR"/>
        </w:rPr>
        <w:t>ی</w:t>
      </w:r>
      <w:r w:rsidRPr="002652D3">
        <w:rPr>
          <w:rFonts w:cs="B Mitra"/>
          <w:sz w:val="28"/>
          <w:szCs w:val="28"/>
          <w:rtl/>
          <w:lang w:bidi="fa-IR"/>
        </w:rPr>
        <w:t>د</w:t>
      </w:r>
      <w:r w:rsidRPr="002652D3">
        <w:rPr>
          <w:rFonts w:cs="B Mitra"/>
          <w:sz w:val="28"/>
          <w:szCs w:val="28"/>
          <w:vertAlign w:val="superscript"/>
          <w:rtl/>
          <w:lang w:bidi="fa-IR"/>
        </w:rPr>
        <w:footnoteReference w:id="6"/>
      </w:r>
      <w:r w:rsidRPr="002652D3">
        <w:rPr>
          <w:rFonts w:cs="B Mitra"/>
          <w:sz w:val="28"/>
          <w:szCs w:val="28"/>
          <w:rtl/>
          <w:lang w:bidi="fa-IR"/>
        </w:rPr>
        <w:t xml:space="preserve"> و محققانی دیگر آن را ترجیح داده اند. گروهی این قول را با قبول اخبار و شهادت خوارج و کسانی که جاری مجرای آن ها هستند، یعنی فاسقان با تأویل، از سوی صحابه و تابعیان، تقویت کرده</w:t>
      </w:r>
      <w:r w:rsidRPr="002652D3">
        <w:rPr>
          <w:rFonts w:cs="B Mitra" w:hint="cs"/>
          <w:sz w:val="28"/>
          <w:szCs w:val="28"/>
          <w:rtl/>
          <w:lang w:bidi="fa-IR"/>
        </w:rPr>
        <w:t>‌</w:t>
      </w:r>
      <w:r w:rsidRPr="002652D3">
        <w:rPr>
          <w:rFonts w:cs="B Mitra"/>
          <w:sz w:val="28"/>
          <w:szCs w:val="28"/>
          <w:rtl/>
          <w:lang w:bidi="fa-IR"/>
        </w:rPr>
        <w:t>اند</w:t>
      </w:r>
      <w:r w:rsidRPr="002652D3">
        <w:rPr>
          <w:rFonts w:cs="B Mitra"/>
          <w:sz w:val="28"/>
          <w:szCs w:val="28"/>
          <w:vertAlign w:val="superscript"/>
          <w:rtl/>
          <w:lang w:bidi="fa-IR"/>
        </w:rPr>
        <w:footnoteReference w:id="7"/>
      </w:r>
      <w:r w:rsidRPr="002652D3">
        <w:rPr>
          <w:rFonts w:cs="B Mitra"/>
          <w:sz w:val="28"/>
          <w:szCs w:val="28"/>
          <w:rtl/>
          <w:lang w:bidi="fa-IR"/>
        </w:rPr>
        <w:t>. سخاوی این مطلب را قوی ترین حجت در این باب دانسته است.</w:t>
      </w:r>
      <w:r w:rsidRPr="002652D3">
        <w:rPr>
          <w:rFonts w:cs="B Mitra"/>
          <w:sz w:val="28"/>
          <w:szCs w:val="28"/>
          <w:vertAlign w:val="superscript"/>
          <w:rtl/>
          <w:lang w:bidi="fa-IR"/>
        </w:rPr>
        <w:footnoteReference w:id="8"/>
      </w:r>
    </w:p>
    <w:p w:rsidR="002652D3" w:rsidRPr="002652D3" w:rsidRDefault="002652D3" w:rsidP="002652D3">
      <w:pPr>
        <w:spacing w:after="160" w:line="259" w:lineRule="auto"/>
        <w:jc w:val="both"/>
        <w:rPr>
          <w:rFonts w:cs="B Mitra"/>
          <w:sz w:val="28"/>
          <w:szCs w:val="28"/>
          <w:rtl/>
          <w:lang w:bidi="fa-IR"/>
        </w:rPr>
      </w:pPr>
      <w:r w:rsidRPr="002652D3">
        <w:rPr>
          <w:rFonts w:cs="B Mitra"/>
          <w:sz w:val="28"/>
          <w:szCs w:val="28"/>
          <w:rtl/>
          <w:lang w:bidi="fa-IR"/>
        </w:rPr>
        <w:t>ابن حب</w:t>
      </w:r>
      <w:r w:rsidRPr="002652D3">
        <w:rPr>
          <w:rFonts w:cs="B Mitra" w:hint="cs"/>
          <w:sz w:val="28"/>
          <w:szCs w:val="28"/>
          <w:rtl/>
          <w:lang w:bidi="fa-IR"/>
        </w:rPr>
        <w:t>ّ</w:t>
      </w:r>
      <w:r w:rsidRPr="002652D3">
        <w:rPr>
          <w:rFonts w:cs="B Mitra"/>
          <w:sz w:val="28"/>
          <w:szCs w:val="28"/>
          <w:rtl/>
          <w:lang w:bidi="fa-IR"/>
        </w:rPr>
        <w:t>ان در مورد قبول روایت اهل بدعت، اگر به بدعت خود دعوت نکند، مدعی اجماع شده است. وی درباره جعفر بن سلیمان ضبعی گفته است: میان اهل حدیث اختلافی نیست که اگر در راوی صدوق متقن بدعتی وجود داشته باشد، اما دیگران را به بدعت خود دعوت نمی کند، احتجاج به اخبار او جایز نیست، و اگر به بدعت خود دعوت کند، احتجاج به خبر او جایز نیست.</w:t>
      </w:r>
      <w:r w:rsidRPr="002652D3">
        <w:rPr>
          <w:rFonts w:cs="B Mitra"/>
          <w:sz w:val="28"/>
          <w:szCs w:val="28"/>
          <w:vertAlign w:val="superscript"/>
          <w:rtl/>
          <w:lang w:bidi="fa-IR"/>
        </w:rPr>
        <w:footnoteReference w:id="9"/>
      </w:r>
    </w:p>
    <w:p w:rsidR="002652D3" w:rsidRPr="002652D3" w:rsidRDefault="002652D3" w:rsidP="002652D3">
      <w:pPr>
        <w:spacing w:after="160" w:line="259" w:lineRule="auto"/>
        <w:jc w:val="both"/>
        <w:rPr>
          <w:rFonts w:cs="B Mitra"/>
          <w:sz w:val="28"/>
          <w:szCs w:val="28"/>
          <w:rtl/>
          <w:lang w:bidi="fa-IR"/>
        </w:rPr>
      </w:pPr>
      <w:r w:rsidRPr="002652D3">
        <w:rPr>
          <w:rFonts w:cs="B Mitra"/>
          <w:sz w:val="28"/>
          <w:szCs w:val="28"/>
          <w:rtl/>
          <w:lang w:bidi="fa-IR"/>
        </w:rPr>
        <w:lastRenderedPageBreak/>
        <w:t>ابن الصلاح، این مط</w:t>
      </w:r>
      <w:r w:rsidRPr="002652D3">
        <w:rPr>
          <w:rFonts w:cs="B Mitra" w:hint="cs"/>
          <w:sz w:val="28"/>
          <w:szCs w:val="28"/>
          <w:rtl/>
          <w:lang w:bidi="fa-IR"/>
        </w:rPr>
        <w:t>ل</w:t>
      </w:r>
      <w:r w:rsidRPr="002652D3">
        <w:rPr>
          <w:rFonts w:cs="B Mitra"/>
          <w:sz w:val="28"/>
          <w:szCs w:val="28"/>
          <w:rtl/>
          <w:lang w:bidi="fa-IR"/>
        </w:rPr>
        <w:t xml:space="preserve">ب را به کثیر یا اکثر علما نسبت داده و آن را بهترین مذاهب دانسته و یادآور شده است که در صحیحین روایات بسیاری از این گونه افراد در اصول و شواهد، </w:t>
      </w:r>
      <w:r w:rsidRPr="002652D3">
        <w:rPr>
          <w:rFonts w:cs="B Mitra" w:hint="cs"/>
          <w:sz w:val="28"/>
          <w:szCs w:val="28"/>
          <w:rtl/>
          <w:lang w:bidi="fa-IR"/>
        </w:rPr>
        <w:t xml:space="preserve">آمده </w:t>
      </w:r>
      <w:r w:rsidRPr="002652D3">
        <w:rPr>
          <w:rFonts w:cs="B Mitra"/>
          <w:sz w:val="28"/>
          <w:szCs w:val="28"/>
          <w:rtl/>
          <w:lang w:bidi="fa-IR"/>
        </w:rPr>
        <w:t>است.</w:t>
      </w:r>
      <w:r w:rsidRPr="002652D3">
        <w:rPr>
          <w:rFonts w:cs="B Mitra"/>
          <w:sz w:val="28"/>
          <w:szCs w:val="28"/>
          <w:vertAlign w:val="superscript"/>
          <w:rtl/>
          <w:lang w:bidi="fa-IR"/>
        </w:rPr>
        <w:footnoteReference w:id="10"/>
      </w:r>
      <w:r w:rsidRPr="002652D3">
        <w:rPr>
          <w:rFonts w:cs="B Mitra"/>
          <w:sz w:val="28"/>
          <w:szCs w:val="28"/>
          <w:rtl/>
          <w:lang w:bidi="fa-IR"/>
        </w:rPr>
        <w:t xml:space="preserve"> حازمی</w:t>
      </w:r>
      <w:r w:rsidRPr="002652D3">
        <w:rPr>
          <w:rFonts w:cs="B Mitra"/>
          <w:sz w:val="28"/>
          <w:szCs w:val="28"/>
          <w:vertAlign w:val="superscript"/>
          <w:rtl/>
          <w:lang w:bidi="fa-IR"/>
        </w:rPr>
        <w:footnoteReference w:id="11"/>
      </w:r>
      <w:r w:rsidRPr="002652D3">
        <w:rPr>
          <w:rFonts w:cs="B Mitra"/>
          <w:sz w:val="28"/>
          <w:szCs w:val="28"/>
          <w:rtl/>
          <w:lang w:bidi="fa-IR"/>
        </w:rPr>
        <w:t xml:space="preserve"> در کتاب «شروط الائمة الخمسة» نیز همین دیدگاه را برگزیده است.</w:t>
      </w:r>
    </w:p>
    <w:p w:rsidR="002652D3" w:rsidRPr="002652D3" w:rsidRDefault="002652D3" w:rsidP="002652D3">
      <w:pPr>
        <w:spacing w:after="160" w:line="259" w:lineRule="auto"/>
        <w:jc w:val="both"/>
        <w:rPr>
          <w:rFonts w:cs="B Mitra"/>
          <w:sz w:val="28"/>
          <w:szCs w:val="28"/>
          <w:rtl/>
          <w:lang w:bidi="fa-IR"/>
        </w:rPr>
      </w:pPr>
      <w:r w:rsidRPr="002652D3">
        <w:rPr>
          <w:rFonts w:cs="B Mitra"/>
          <w:sz w:val="28"/>
          <w:szCs w:val="28"/>
          <w:rtl/>
          <w:lang w:bidi="fa-IR"/>
        </w:rPr>
        <w:t>شافعی در کتاب «الامّ» گفته است: «احدی از سلف امت که به آنان اق</w:t>
      </w:r>
      <w:r w:rsidRPr="002652D3">
        <w:rPr>
          <w:rFonts w:cs="B Mitra" w:hint="cs"/>
          <w:sz w:val="28"/>
          <w:szCs w:val="28"/>
          <w:rtl/>
          <w:lang w:bidi="fa-IR"/>
        </w:rPr>
        <w:t>ت</w:t>
      </w:r>
      <w:r w:rsidRPr="002652D3">
        <w:rPr>
          <w:rFonts w:cs="B Mitra"/>
          <w:sz w:val="28"/>
          <w:szCs w:val="28"/>
          <w:rtl/>
          <w:lang w:bidi="fa-IR"/>
        </w:rPr>
        <w:t xml:space="preserve">دا می شود و پس از آنان احدی از تابعین را نمی شناسم که </w:t>
      </w:r>
      <w:r w:rsidRPr="002652D3">
        <w:rPr>
          <w:rFonts w:cs="B Mitra" w:hint="cs"/>
          <w:sz w:val="28"/>
          <w:szCs w:val="28"/>
          <w:rtl/>
          <w:lang w:bidi="fa-IR"/>
        </w:rPr>
        <w:t>روای</w:t>
      </w:r>
      <w:r w:rsidRPr="002652D3">
        <w:rPr>
          <w:rFonts w:cs="B Mitra"/>
          <w:sz w:val="28"/>
          <w:szCs w:val="28"/>
          <w:rtl/>
          <w:lang w:bidi="fa-IR"/>
        </w:rPr>
        <w:t>ت کسی را به خاطر این که بر اساس تأویل عقیده ای مخالف دارد، رد کرده باشد، هر چند او را اهل خطا و ضلالت بداند و بر ا</w:t>
      </w:r>
      <w:r w:rsidRPr="002652D3">
        <w:rPr>
          <w:rFonts w:cs="B Mitra" w:hint="cs"/>
          <w:sz w:val="28"/>
          <w:szCs w:val="28"/>
          <w:rtl/>
          <w:lang w:bidi="fa-IR"/>
        </w:rPr>
        <w:t xml:space="preserve">ین </w:t>
      </w:r>
      <w:r w:rsidRPr="002652D3">
        <w:rPr>
          <w:rFonts w:cs="B Mitra"/>
          <w:sz w:val="28"/>
          <w:szCs w:val="28"/>
          <w:rtl/>
          <w:lang w:bidi="fa-IR"/>
        </w:rPr>
        <w:t>عقیده باشد که او حرام های خدا را حلال کرده است»</w:t>
      </w:r>
      <w:r w:rsidRPr="002652D3">
        <w:rPr>
          <w:rFonts w:cs="B Mitra"/>
          <w:sz w:val="28"/>
          <w:szCs w:val="28"/>
          <w:vertAlign w:val="superscript"/>
          <w:rtl/>
          <w:lang w:bidi="fa-IR"/>
        </w:rPr>
        <w:footnoteReference w:id="12"/>
      </w:r>
      <w:r w:rsidRPr="002652D3">
        <w:rPr>
          <w:rFonts w:cs="B Mitra"/>
          <w:sz w:val="28"/>
          <w:szCs w:val="28"/>
          <w:rtl/>
          <w:lang w:bidi="fa-IR"/>
        </w:rPr>
        <w:t xml:space="preserve">. همو گفته است: شهادت اهل اهواء </w:t>
      </w:r>
      <w:r w:rsidRPr="002652D3">
        <w:rPr>
          <w:rFonts w:ascii="Sakkal Majalla" w:hAnsi="Sakkal Majalla" w:cs="Sakkal Majalla" w:hint="cs"/>
          <w:sz w:val="28"/>
          <w:szCs w:val="28"/>
          <w:rtl/>
          <w:lang w:bidi="fa-IR"/>
        </w:rPr>
        <w:t>–</w:t>
      </w:r>
      <w:r w:rsidRPr="002652D3">
        <w:rPr>
          <w:rFonts w:cs="B Mitra"/>
          <w:sz w:val="28"/>
          <w:szCs w:val="28"/>
          <w:rtl/>
          <w:lang w:bidi="fa-IR"/>
        </w:rPr>
        <w:t xml:space="preserve"> غیر از خطابیه که شهادت زور را برای موافقان خودشان جایز می دانند</w:t>
      </w:r>
      <w:r w:rsidRPr="002652D3">
        <w:rPr>
          <w:rFonts w:cs="B Mitra" w:hint="cs"/>
          <w:sz w:val="28"/>
          <w:szCs w:val="28"/>
          <w:rtl/>
          <w:lang w:bidi="fa-IR"/>
        </w:rPr>
        <w:t xml:space="preserve"> </w:t>
      </w:r>
      <w:r w:rsidRPr="002652D3">
        <w:rPr>
          <w:rFonts w:cs="B Mitra"/>
          <w:sz w:val="28"/>
          <w:szCs w:val="28"/>
          <w:rtl/>
          <w:lang w:bidi="fa-IR"/>
        </w:rPr>
        <w:t>- قبول می کنم.</w:t>
      </w:r>
      <w:r w:rsidRPr="002652D3">
        <w:rPr>
          <w:rFonts w:cs="B Mitra"/>
          <w:sz w:val="28"/>
          <w:szCs w:val="28"/>
          <w:vertAlign w:val="superscript"/>
          <w:rtl/>
          <w:lang w:bidi="fa-IR"/>
        </w:rPr>
        <w:footnoteReference w:id="13"/>
      </w:r>
    </w:p>
    <w:p w:rsidR="002652D3" w:rsidRPr="002652D3" w:rsidRDefault="002652D3" w:rsidP="002652D3">
      <w:pPr>
        <w:spacing w:after="160" w:line="259" w:lineRule="auto"/>
        <w:jc w:val="both"/>
        <w:rPr>
          <w:rFonts w:cs="B Mitra"/>
          <w:sz w:val="28"/>
          <w:szCs w:val="28"/>
          <w:rtl/>
          <w:lang w:bidi="fa-IR"/>
        </w:rPr>
      </w:pPr>
      <w:r w:rsidRPr="002652D3">
        <w:rPr>
          <w:rFonts w:cs="B Mitra"/>
          <w:sz w:val="28"/>
          <w:szCs w:val="28"/>
          <w:rtl/>
          <w:lang w:bidi="fa-IR"/>
        </w:rPr>
        <w:t>ابوبکر رازی</w:t>
      </w:r>
      <w:r w:rsidRPr="002652D3">
        <w:rPr>
          <w:rFonts w:cs="B Mitra"/>
          <w:sz w:val="28"/>
          <w:szCs w:val="28"/>
          <w:vertAlign w:val="superscript"/>
          <w:rtl/>
          <w:lang w:bidi="fa-IR"/>
        </w:rPr>
        <w:footnoteReference w:id="14"/>
      </w:r>
      <w:r w:rsidRPr="002652D3">
        <w:rPr>
          <w:rFonts w:cs="B Mitra"/>
          <w:sz w:val="28"/>
          <w:szCs w:val="28"/>
          <w:rtl/>
          <w:lang w:bidi="fa-IR"/>
        </w:rPr>
        <w:t xml:space="preserve">  نیز در کتاب «الاحکام»</w:t>
      </w:r>
      <w:r w:rsidRPr="002652D3">
        <w:rPr>
          <w:rFonts w:cs="B Mitra" w:hint="cs"/>
          <w:sz w:val="28"/>
          <w:szCs w:val="28"/>
          <w:rtl/>
          <w:lang w:bidi="fa-IR"/>
        </w:rPr>
        <w:t>،</w:t>
      </w:r>
      <w:r w:rsidRPr="002652D3">
        <w:rPr>
          <w:rFonts w:cs="B Mitra"/>
          <w:sz w:val="28"/>
          <w:szCs w:val="28"/>
          <w:rtl/>
          <w:lang w:bidi="fa-IR"/>
        </w:rPr>
        <w:t xml:space="preserve"> شهادت اهل اهواء (پیروان مذاهب مخالف مذاهب اهل سنت) را مقبول دانسته و آن را مذهب سلف در مورد قبول روایت و شهادت آنان دانسته است.</w:t>
      </w:r>
      <w:r w:rsidRPr="002652D3">
        <w:rPr>
          <w:rFonts w:cs="B Mitra"/>
          <w:sz w:val="28"/>
          <w:szCs w:val="28"/>
          <w:vertAlign w:val="superscript"/>
          <w:rtl/>
          <w:lang w:bidi="fa-IR"/>
        </w:rPr>
        <w:footnoteReference w:id="15"/>
      </w:r>
    </w:p>
    <w:p w:rsidR="002652D3" w:rsidRPr="002652D3" w:rsidRDefault="002652D3" w:rsidP="002652D3">
      <w:pPr>
        <w:spacing w:after="160" w:line="259" w:lineRule="auto"/>
        <w:jc w:val="both"/>
        <w:rPr>
          <w:rFonts w:cs="B Mitra"/>
          <w:sz w:val="28"/>
          <w:szCs w:val="28"/>
          <w:rtl/>
          <w:lang w:bidi="fa-IR"/>
        </w:rPr>
      </w:pPr>
      <w:r w:rsidRPr="002652D3">
        <w:rPr>
          <w:rFonts w:cs="B Mitra"/>
          <w:sz w:val="28"/>
          <w:szCs w:val="28"/>
          <w:rtl/>
          <w:lang w:bidi="fa-IR"/>
        </w:rPr>
        <w:t>عزالدین بن عبدالسلام</w:t>
      </w:r>
      <w:r w:rsidRPr="002652D3">
        <w:rPr>
          <w:rFonts w:cs="B Mitra"/>
          <w:sz w:val="28"/>
          <w:szCs w:val="28"/>
          <w:vertAlign w:val="superscript"/>
          <w:rtl/>
          <w:lang w:bidi="fa-IR"/>
        </w:rPr>
        <w:footnoteReference w:id="16"/>
      </w:r>
      <w:r w:rsidRPr="002652D3">
        <w:rPr>
          <w:rFonts w:cs="B Mitra"/>
          <w:sz w:val="28"/>
          <w:szCs w:val="28"/>
          <w:rtl/>
          <w:lang w:bidi="fa-IR"/>
        </w:rPr>
        <w:t>، در کتاب «القواعد الکبری» گفته است: شهادت اهل اهواء رد نمی شود، زیرا وثوق از خبر کسی که معتقد است با شهادت زور مخلد در عذاب خواهد بود، از کسی که چنین اعتقادی ندارد (اهل سنت) پیش تر حاصل می شود.</w:t>
      </w:r>
    </w:p>
    <w:p w:rsidR="002652D3" w:rsidRPr="002652D3" w:rsidRDefault="002652D3" w:rsidP="002652D3">
      <w:pPr>
        <w:spacing w:after="160" w:line="259" w:lineRule="auto"/>
        <w:jc w:val="both"/>
        <w:rPr>
          <w:rFonts w:cs="B Mitra"/>
          <w:sz w:val="28"/>
          <w:szCs w:val="28"/>
          <w:rtl/>
          <w:lang w:bidi="fa-IR"/>
        </w:rPr>
      </w:pPr>
      <w:r w:rsidRPr="002652D3">
        <w:rPr>
          <w:rFonts w:cs="B Mitra"/>
          <w:sz w:val="28"/>
          <w:szCs w:val="28"/>
          <w:rtl/>
          <w:lang w:bidi="fa-IR"/>
        </w:rPr>
        <w:t>و مدار قبول شهادت و روایت بر صدق است که در اهل اهواء همانند اهل سنت، تحقق دارد. و قول اصح این است که آنان به خاطر بدعتشان تکفیر نمی شوند. همچنین شهادت فردی حنفی اگر شرب نبیذ کند و بر او حد جاری شود، پذیرفته است، زیرا وثوق به قول او با شرب نبیذ مخدوش نمی شود، چرا که به اباحه آن معتقد است.</w:t>
      </w:r>
      <w:r w:rsidRPr="002652D3">
        <w:rPr>
          <w:rFonts w:cs="B Mitra"/>
          <w:sz w:val="28"/>
          <w:szCs w:val="28"/>
          <w:vertAlign w:val="superscript"/>
          <w:rtl/>
          <w:lang w:bidi="fa-IR"/>
        </w:rPr>
        <w:footnoteReference w:id="17"/>
      </w:r>
    </w:p>
    <w:p w:rsidR="002652D3" w:rsidRPr="002652D3" w:rsidRDefault="002652D3" w:rsidP="002652D3">
      <w:pPr>
        <w:spacing w:after="160" w:line="259" w:lineRule="auto"/>
        <w:jc w:val="both"/>
        <w:rPr>
          <w:rFonts w:cs="B Mitra"/>
          <w:sz w:val="28"/>
          <w:szCs w:val="28"/>
          <w:rtl/>
          <w:lang w:bidi="fa-IR"/>
        </w:rPr>
      </w:pPr>
      <w:r w:rsidRPr="002652D3">
        <w:rPr>
          <w:rFonts w:cs="B Mitra"/>
          <w:sz w:val="28"/>
          <w:szCs w:val="28"/>
          <w:rtl/>
          <w:lang w:bidi="fa-IR"/>
        </w:rPr>
        <w:lastRenderedPageBreak/>
        <w:t>ابن دقیق العید</w:t>
      </w:r>
      <w:r w:rsidRPr="002652D3">
        <w:rPr>
          <w:rFonts w:cs="B Mitra"/>
          <w:sz w:val="28"/>
          <w:szCs w:val="28"/>
          <w:vertAlign w:val="superscript"/>
          <w:rtl/>
          <w:lang w:bidi="fa-IR"/>
        </w:rPr>
        <w:footnoteReference w:id="18"/>
      </w:r>
      <w:r w:rsidRPr="002652D3">
        <w:rPr>
          <w:rFonts w:cs="B Mitra"/>
          <w:sz w:val="28"/>
          <w:szCs w:val="28"/>
          <w:rtl/>
          <w:lang w:bidi="fa-IR"/>
        </w:rPr>
        <w:t xml:space="preserve">، گفته است: از نظر ما، در قبول روایت، مذهب (اهل سنت) شرط نیست، زیرا ما هیچ یک از اهل قبله را به خاطر گناهشان تکفیر نمی کنیم، مگر آن که چیزی را </w:t>
      </w:r>
      <w:r w:rsidRPr="002652D3">
        <w:rPr>
          <w:rFonts w:cs="B Mitra" w:hint="cs"/>
          <w:sz w:val="28"/>
          <w:szCs w:val="28"/>
          <w:rtl/>
          <w:lang w:bidi="fa-IR"/>
        </w:rPr>
        <w:t xml:space="preserve">که </w:t>
      </w:r>
      <w:r w:rsidRPr="002652D3">
        <w:rPr>
          <w:rFonts w:cs="B Mitra"/>
          <w:sz w:val="28"/>
          <w:szCs w:val="28"/>
          <w:rtl/>
          <w:lang w:bidi="fa-IR"/>
        </w:rPr>
        <w:t>به صورت متواتر در شریعت وارد شده انکار کنند. بنابراین، اگر فردی که پیرو یکی از مذاهب اسلامی است، دارای تقوا و ورع باشد، روایتش مورد اعتماد خواهد بود.</w:t>
      </w:r>
      <w:r w:rsidRPr="002652D3">
        <w:rPr>
          <w:rFonts w:cs="B Mitra"/>
          <w:sz w:val="28"/>
          <w:szCs w:val="28"/>
          <w:vertAlign w:val="superscript"/>
          <w:rtl/>
          <w:lang w:bidi="fa-IR"/>
        </w:rPr>
        <w:footnoteReference w:id="19"/>
      </w:r>
    </w:p>
    <w:p w:rsidR="002652D3" w:rsidRPr="002652D3" w:rsidRDefault="002652D3" w:rsidP="002652D3">
      <w:pPr>
        <w:spacing w:after="160" w:line="259" w:lineRule="auto"/>
        <w:jc w:val="both"/>
        <w:rPr>
          <w:rFonts w:cs="B Mitra"/>
          <w:sz w:val="28"/>
          <w:szCs w:val="28"/>
          <w:rtl/>
          <w:lang w:bidi="fa-IR"/>
        </w:rPr>
      </w:pPr>
      <w:r w:rsidRPr="002652D3">
        <w:rPr>
          <w:rFonts w:cs="B Mitra"/>
          <w:sz w:val="28"/>
          <w:szCs w:val="28"/>
          <w:rtl/>
          <w:lang w:bidi="fa-IR"/>
        </w:rPr>
        <w:t>حافظ (ابن حجر) در «شرح النخبة» گفته است: «تحقیق آن است که قول کسی که به خاطر تأویل تکفیر می شود، رد نمی شود، زیرا هر طایفه ای مدعی است که مخالف او اهل بدعت است و گاهی مبالغه کرده و او را تکفیر می کند. پس اگر این</w:t>
      </w:r>
      <w:r w:rsidRPr="002652D3">
        <w:rPr>
          <w:rFonts w:cs="B Mitra" w:hint="cs"/>
          <w:sz w:val="28"/>
          <w:szCs w:val="28"/>
          <w:rtl/>
          <w:lang w:bidi="fa-IR"/>
        </w:rPr>
        <w:t>‌</w:t>
      </w:r>
      <w:r w:rsidRPr="002652D3">
        <w:rPr>
          <w:rFonts w:cs="B Mitra"/>
          <w:sz w:val="28"/>
          <w:szCs w:val="28"/>
          <w:rtl/>
          <w:lang w:bidi="fa-IR"/>
        </w:rPr>
        <w:t>گونه عمل شود، همه طوا</w:t>
      </w:r>
      <w:r w:rsidRPr="002652D3">
        <w:rPr>
          <w:rFonts w:cs="B Mitra" w:hint="cs"/>
          <w:sz w:val="28"/>
          <w:szCs w:val="28"/>
          <w:rtl/>
          <w:lang w:bidi="fa-IR"/>
        </w:rPr>
        <w:t>ی</w:t>
      </w:r>
      <w:r w:rsidRPr="002652D3">
        <w:rPr>
          <w:rFonts w:cs="B Mitra"/>
          <w:sz w:val="28"/>
          <w:szCs w:val="28"/>
          <w:rtl/>
          <w:lang w:bidi="fa-IR"/>
        </w:rPr>
        <w:t>ف تکفیر خواهند شد. بنابراین، رای مورد اعتماد این است که کسی روایتش رد می شود که منکر چیزی باشد که با تواتر در شرع ثابت شده و از ضروریات دین باشد، اما کسی که این گونه نباشد، هر گاه اهل ورع و تقوا باشد، مانعی از قبول قول او وجود ندارد».</w:t>
      </w:r>
      <w:r w:rsidRPr="002652D3">
        <w:rPr>
          <w:rFonts w:cs="B Mitra"/>
          <w:sz w:val="28"/>
          <w:szCs w:val="28"/>
          <w:vertAlign w:val="superscript"/>
          <w:rtl/>
          <w:lang w:bidi="fa-IR"/>
        </w:rPr>
        <w:footnoteReference w:id="20"/>
      </w:r>
    </w:p>
    <w:p w:rsidR="002652D3" w:rsidRPr="002652D3" w:rsidRDefault="002652D3" w:rsidP="002652D3">
      <w:pPr>
        <w:spacing w:after="160" w:line="259" w:lineRule="auto"/>
        <w:jc w:val="both"/>
        <w:rPr>
          <w:rFonts w:cs="B Mitra"/>
          <w:sz w:val="28"/>
          <w:szCs w:val="28"/>
          <w:rtl/>
          <w:lang w:bidi="fa-IR"/>
        </w:rPr>
      </w:pPr>
      <w:r w:rsidRPr="002652D3">
        <w:rPr>
          <w:rFonts w:cs="B Mitra"/>
          <w:sz w:val="28"/>
          <w:szCs w:val="28"/>
          <w:rtl/>
          <w:lang w:bidi="fa-IR"/>
        </w:rPr>
        <w:t>وی در شرح حال ابان بن تغلب در کتاب «التهذیب» گفته است: «تشیع وی در عرف متقدمین عبارت بود از اعتقاد به افضلیت علی (ع) بر عثمان و این که علی (ع) در جنگ هایی که رخ داد (صفین، جمل</w:t>
      </w:r>
      <w:r w:rsidRPr="002652D3">
        <w:rPr>
          <w:rFonts w:cs="B Mitra" w:hint="cs"/>
          <w:sz w:val="28"/>
          <w:szCs w:val="28"/>
          <w:rtl/>
          <w:lang w:bidi="fa-IR"/>
        </w:rPr>
        <w:t xml:space="preserve"> و</w:t>
      </w:r>
      <w:r w:rsidRPr="002652D3">
        <w:rPr>
          <w:rFonts w:cs="B Mitra"/>
          <w:sz w:val="28"/>
          <w:szCs w:val="28"/>
          <w:rtl/>
          <w:lang w:bidi="fa-IR"/>
        </w:rPr>
        <w:t xml:space="preserve"> نهروان) بر حق بود و مخالفان او بر خطا بودند، با اعتقاد به تقدیم و تفضیل شیخین</w:t>
      </w:r>
      <w:r w:rsidRPr="002652D3">
        <w:rPr>
          <w:rFonts w:cs="B Mitra" w:hint="cs"/>
          <w:sz w:val="28"/>
          <w:szCs w:val="28"/>
          <w:rtl/>
          <w:lang w:bidi="fa-IR"/>
        </w:rPr>
        <w:t>،</w:t>
      </w:r>
      <w:r w:rsidRPr="002652D3">
        <w:rPr>
          <w:rFonts w:cs="B Mitra"/>
          <w:sz w:val="28"/>
          <w:szCs w:val="28"/>
          <w:rtl/>
          <w:lang w:bidi="fa-IR"/>
        </w:rPr>
        <w:t xml:space="preserve"> و چه بسا برخی از آنان علی (ع) را افضل خلق پس از رسول خدا (ص) می دانستند. هر گاه چنین افرادی اهل ورع و دیانت بوده و صادق و مجتهد باشد، روایتش</w:t>
      </w:r>
      <w:r w:rsidRPr="002652D3">
        <w:rPr>
          <w:rFonts w:cs="B Mitra" w:hint="cs"/>
          <w:sz w:val="28"/>
          <w:szCs w:val="28"/>
          <w:rtl/>
          <w:lang w:bidi="fa-IR"/>
        </w:rPr>
        <w:t>ان</w:t>
      </w:r>
      <w:r w:rsidRPr="002652D3">
        <w:rPr>
          <w:rFonts w:cs="B Mitra"/>
          <w:sz w:val="28"/>
          <w:szCs w:val="28"/>
          <w:rtl/>
          <w:lang w:bidi="fa-IR"/>
        </w:rPr>
        <w:t xml:space="preserve"> به خاطر عقیده ش</w:t>
      </w:r>
      <w:r w:rsidRPr="002652D3">
        <w:rPr>
          <w:rFonts w:cs="B Mitra" w:hint="cs"/>
          <w:sz w:val="28"/>
          <w:szCs w:val="28"/>
          <w:rtl/>
          <w:lang w:bidi="fa-IR"/>
        </w:rPr>
        <w:t>ان</w:t>
      </w:r>
      <w:r w:rsidRPr="002652D3">
        <w:rPr>
          <w:rFonts w:cs="B Mitra"/>
          <w:sz w:val="28"/>
          <w:szCs w:val="28"/>
          <w:rtl/>
          <w:lang w:bidi="fa-IR"/>
        </w:rPr>
        <w:t xml:space="preserve"> رد نخواهد شد، به ویژه اگر دیگران را به مذهب خود دعوت نمی کن</w:t>
      </w:r>
      <w:r w:rsidRPr="002652D3">
        <w:rPr>
          <w:rFonts w:cs="B Mitra" w:hint="cs"/>
          <w:sz w:val="28"/>
          <w:szCs w:val="28"/>
          <w:rtl/>
          <w:lang w:bidi="fa-IR"/>
        </w:rPr>
        <w:t>ن</w:t>
      </w:r>
      <w:r w:rsidRPr="002652D3">
        <w:rPr>
          <w:rFonts w:cs="B Mitra"/>
          <w:sz w:val="28"/>
          <w:szCs w:val="28"/>
          <w:rtl/>
          <w:lang w:bidi="fa-IR"/>
        </w:rPr>
        <w:t>د».</w:t>
      </w:r>
      <w:r w:rsidRPr="002652D3">
        <w:rPr>
          <w:rFonts w:cs="B Mitra"/>
          <w:sz w:val="28"/>
          <w:szCs w:val="28"/>
          <w:vertAlign w:val="superscript"/>
          <w:rtl/>
          <w:lang w:bidi="fa-IR"/>
        </w:rPr>
        <w:footnoteReference w:id="21"/>
      </w:r>
    </w:p>
    <w:p w:rsidR="002652D3" w:rsidRPr="002652D3" w:rsidRDefault="002652D3" w:rsidP="002652D3">
      <w:pPr>
        <w:spacing w:after="160" w:line="259" w:lineRule="auto"/>
        <w:jc w:val="both"/>
        <w:rPr>
          <w:rFonts w:cs="B Mitra"/>
          <w:sz w:val="28"/>
          <w:szCs w:val="28"/>
          <w:rtl/>
          <w:lang w:bidi="fa-IR"/>
        </w:rPr>
      </w:pPr>
      <w:r w:rsidRPr="002652D3">
        <w:rPr>
          <w:rFonts w:cs="B Mitra"/>
          <w:sz w:val="28"/>
          <w:szCs w:val="28"/>
          <w:rtl/>
          <w:lang w:bidi="fa-IR"/>
        </w:rPr>
        <w:t>وی در مقدمه «فتح الباری» گفته است: «اقوال اهل سنت درباره کسانی که به خاطر مذهبشان تفسیق می شوند، مانند خوارج و روافض و دیگر طوایف مخالف اهل سنت که منشا مخالفتشان تأویل است، و معروف به اجتناب از کذب و خلاف مروت و موصوف به دیانت و عبادتند، مختلف است. عده ای گفته اند: روایت آنان مطلقا پذیرفته است</w:t>
      </w:r>
      <w:r w:rsidRPr="002652D3">
        <w:rPr>
          <w:rFonts w:cs="B Mitra" w:hint="cs"/>
          <w:sz w:val="28"/>
          <w:szCs w:val="28"/>
          <w:rtl/>
          <w:lang w:bidi="fa-IR"/>
        </w:rPr>
        <w:t>؛</w:t>
      </w:r>
      <w:r w:rsidRPr="002652D3">
        <w:rPr>
          <w:rFonts w:cs="B Mitra"/>
          <w:sz w:val="28"/>
          <w:szCs w:val="28"/>
          <w:rtl/>
          <w:lang w:bidi="fa-IR"/>
        </w:rPr>
        <w:t xml:space="preserve"> عده ای دیگر روایت آنان را مطلقا رد کرده اند و گروه سوم میان این که دعوت کننده به بدعت خود باشند یا نباشند، تفصیبل داده اند. در فرض اول روایتشان مقبول نیست و در فرض دوم مقبول است. این مذهب</w:t>
      </w:r>
      <w:r w:rsidRPr="002652D3">
        <w:rPr>
          <w:rFonts w:cs="B Mitra" w:hint="cs"/>
          <w:sz w:val="28"/>
          <w:szCs w:val="28"/>
          <w:rtl/>
          <w:lang w:bidi="fa-IR"/>
        </w:rPr>
        <w:t>،</w:t>
      </w:r>
      <w:r w:rsidRPr="002652D3">
        <w:rPr>
          <w:rFonts w:cs="B Mitra"/>
          <w:sz w:val="28"/>
          <w:szCs w:val="28"/>
          <w:rtl/>
          <w:lang w:bidi="fa-IR"/>
        </w:rPr>
        <w:t xml:space="preserve"> اعدل مذاهب است و طوایفی از امت آن را برگزیده اند. ابن حبّان مدعی اجماع اهل نقل بر آن شده است، ولی ادعای وی محل نظر است. طرفداران قول سوم، دو گروه شده اند: عده ای روایت کسی که دیگران را به بدعت خود دعوت نمی کند را مطلقا پذیرفته اند، و عده ای آن را مشروط به این کرده اند که روایتش تقویت کن</w:t>
      </w:r>
      <w:r w:rsidRPr="002652D3">
        <w:rPr>
          <w:rFonts w:cs="B Mitra" w:hint="cs"/>
          <w:sz w:val="28"/>
          <w:szCs w:val="28"/>
          <w:rtl/>
          <w:lang w:bidi="fa-IR"/>
        </w:rPr>
        <w:t>ن</w:t>
      </w:r>
      <w:r w:rsidRPr="002652D3">
        <w:rPr>
          <w:rFonts w:cs="B Mitra"/>
          <w:sz w:val="28"/>
          <w:szCs w:val="28"/>
          <w:rtl/>
          <w:lang w:bidi="fa-IR"/>
        </w:rPr>
        <w:t>ده بدعت وی نباشد. برخی نیز عکس این را در روایت دعوت کننده به بدعت خود شرط کرده و گفته اند</w:t>
      </w:r>
      <w:r w:rsidRPr="002652D3">
        <w:rPr>
          <w:rFonts w:cs="B Mitra" w:hint="cs"/>
          <w:sz w:val="28"/>
          <w:szCs w:val="28"/>
          <w:rtl/>
          <w:lang w:bidi="fa-IR"/>
        </w:rPr>
        <w:t>:</w:t>
      </w:r>
      <w:r w:rsidRPr="002652D3">
        <w:rPr>
          <w:rFonts w:cs="B Mitra"/>
          <w:sz w:val="28"/>
          <w:szCs w:val="28"/>
          <w:rtl/>
          <w:lang w:bidi="fa-IR"/>
        </w:rPr>
        <w:t xml:space="preserve"> اگر روایتش بدعتش را رد می کند، پذیرفته است و گر نه پذیرفته نخواهد بود».</w:t>
      </w:r>
    </w:p>
    <w:p w:rsidR="002652D3" w:rsidRPr="002652D3" w:rsidRDefault="002652D3" w:rsidP="002652D3">
      <w:pPr>
        <w:spacing w:after="160" w:line="259" w:lineRule="auto"/>
        <w:jc w:val="both"/>
        <w:rPr>
          <w:rFonts w:cs="B Mitra"/>
          <w:sz w:val="28"/>
          <w:szCs w:val="28"/>
          <w:rtl/>
          <w:lang w:bidi="fa-IR"/>
        </w:rPr>
      </w:pPr>
      <w:r w:rsidRPr="002652D3">
        <w:rPr>
          <w:rFonts w:cs="B Mitra"/>
          <w:sz w:val="28"/>
          <w:szCs w:val="28"/>
          <w:rtl/>
          <w:lang w:bidi="fa-IR"/>
        </w:rPr>
        <w:t xml:space="preserve">ابن حجر در مقدمه «لسان» نیز گفته است: مالک و اصحاب او و ابوبکر باقلانی و پیروان وی بر این عقیده اند </w:t>
      </w:r>
      <w:r w:rsidRPr="002652D3">
        <w:rPr>
          <w:rFonts w:cs="B Mitra" w:hint="cs"/>
          <w:sz w:val="28"/>
          <w:szCs w:val="28"/>
          <w:rtl/>
          <w:lang w:bidi="fa-IR"/>
        </w:rPr>
        <w:t>ک</w:t>
      </w:r>
      <w:r w:rsidRPr="002652D3">
        <w:rPr>
          <w:rFonts w:cs="B Mitra"/>
          <w:sz w:val="28"/>
          <w:szCs w:val="28"/>
          <w:rtl/>
          <w:lang w:bidi="fa-IR"/>
        </w:rPr>
        <w:t xml:space="preserve">ه روایت اهل بدعت که به خاطر بدعتشان تکفیر نمی شدند، مطلقا مردود است، و ابوحنیفه، ابویوسف و عده ای </w:t>
      </w:r>
      <w:r w:rsidRPr="002652D3">
        <w:rPr>
          <w:rFonts w:ascii="Sakkal Majalla" w:hAnsi="Sakkal Majalla" w:cs="Sakkal Majalla" w:hint="cs"/>
          <w:sz w:val="28"/>
          <w:szCs w:val="28"/>
          <w:rtl/>
          <w:lang w:bidi="fa-IR"/>
        </w:rPr>
        <w:t>–</w:t>
      </w:r>
      <w:r w:rsidRPr="002652D3">
        <w:rPr>
          <w:rFonts w:cs="B Mitra"/>
          <w:sz w:val="28"/>
          <w:szCs w:val="28"/>
          <w:rtl/>
          <w:lang w:bidi="fa-IR"/>
        </w:rPr>
        <w:t xml:space="preserve"> که از شافعی نیز نقل شده </w:t>
      </w:r>
      <w:r w:rsidRPr="002652D3">
        <w:rPr>
          <w:rFonts w:cs="B Mitra"/>
          <w:sz w:val="28"/>
          <w:szCs w:val="28"/>
          <w:rtl/>
          <w:lang w:bidi="fa-IR"/>
        </w:rPr>
        <w:lastRenderedPageBreak/>
        <w:t>است</w:t>
      </w:r>
      <w:r w:rsidRPr="002652D3">
        <w:rPr>
          <w:rFonts w:cs="B Mitra" w:hint="cs"/>
          <w:sz w:val="28"/>
          <w:szCs w:val="28"/>
          <w:rtl/>
          <w:lang w:bidi="fa-IR"/>
        </w:rPr>
        <w:t xml:space="preserve"> </w:t>
      </w:r>
      <w:r w:rsidRPr="002652D3">
        <w:rPr>
          <w:rFonts w:cs="B Mitra"/>
          <w:sz w:val="28"/>
          <w:szCs w:val="28"/>
          <w:rtl/>
          <w:lang w:bidi="fa-IR"/>
        </w:rPr>
        <w:t>- بر این عقیده اند که روایت آنان</w:t>
      </w:r>
      <w:r w:rsidRPr="002652D3">
        <w:rPr>
          <w:rFonts w:cs="B Mitra" w:hint="cs"/>
          <w:sz w:val="28"/>
          <w:szCs w:val="28"/>
          <w:rtl/>
          <w:lang w:bidi="fa-IR"/>
        </w:rPr>
        <w:t>،</w:t>
      </w:r>
      <w:r w:rsidRPr="002652D3">
        <w:rPr>
          <w:rFonts w:cs="B Mitra"/>
          <w:sz w:val="28"/>
          <w:szCs w:val="28"/>
          <w:rtl/>
          <w:lang w:bidi="fa-IR"/>
        </w:rPr>
        <w:t xml:space="preserve"> جز کسانی که کذب را جایز می دانند مطلقا مقبول است</w:t>
      </w:r>
      <w:r w:rsidRPr="002652D3">
        <w:rPr>
          <w:rFonts w:cs="B Mitra" w:hint="cs"/>
          <w:sz w:val="28"/>
          <w:szCs w:val="28"/>
          <w:rtl/>
          <w:lang w:bidi="fa-IR"/>
        </w:rPr>
        <w:t>.</w:t>
      </w:r>
      <w:r w:rsidRPr="002652D3">
        <w:rPr>
          <w:rFonts w:cs="B Mitra"/>
          <w:sz w:val="28"/>
          <w:szCs w:val="28"/>
          <w:rtl/>
          <w:lang w:bidi="fa-IR"/>
        </w:rPr>
        <w:t xml:space="preserve"> قول سوم که تفصیل میان کسی است که به بدعت خود دعوت کند یا دعوت نکند، دی</w:t>
      </w:r>
      <w:r w:rsidRPr="002652D3">
        <w:rPr>
          <w:rFonts w:cs="B Mitra" w:hint="cs"/>
          <w:sz w:val="28"/>
          <w:szCs w:val="28"/>
          <w:rtl/>
          <w:lang w:bidi="fa-IR"/>
        </w:rPr>
        <w:t>د</w:t>
      </w:r>
      <w:r w:rsidRPr="002652D3">
        <w:rPr>
          <w:rFonts w:cs="B Mitra"/>
          <w:sz w:val="28"/>
          <w:szCs w:val="28"/>
          <w:rtl/>
          <w:lang w:bidi="fa-IR"/>
        </w:rPr>
        <w:t>گاه اکثر اهل حدیث است، بلکه ابن حبّان بر آن دعوی اجماع کرده است، و وجه آن این است که هرگاه داعی به مذهب خویش باشد، انگیزه نقل روایتی که تقویت کننده بدعت وی می باشد، در او موجود است.</w:t>
      </w:r>
      <w:r w:rsidRPr="002652D3">
        <w:rPr>
          <w:rFonts w:cs="B Mitra"/>
          <w:sz w:val="28"/>
          <w:szCs w:val="28"/>
          <w:vertAlign w:val="superscript"/>
          <w:rtl/>
          <w:lang w:bidi="fa-IR"/>
        </w:rPr>
        <w:footnoteReference w:id="22"/>
      </w:r>
    </w:p>
    <w:p w:rsidR="002652D3" w:rsidRPr="002652D3" w:rsidRDefault="002652D3" w:rsidP="002652D3">
      <w:pPr>
        <w:spacing w:after="160" w:line="259" w:lineRule="auto"/>
        <w:jc w:val="both"/>
        <w:rPr>
          <w:rFonts w:cs="B Mitra"/>
          <w:sz w:val="28"/>
          <w:szCs w:val="28"/>
          <w:rtl/>
          <w:lang w:bidi="fa-IR"/>
        </w:rPr>
      </w:pPr>
      <w:r w:rsidRPr="002652D3">
        <w:rPr>
          <w:rFonts w:cs="B Mitra"/>
          <w:sz w:val="28"/>
          <w:szCs w:val="28"/>
          <w:rtl/>
          <w:lang w:bidi="fa-IR"/>
        </w:rPr>
        <w:t>ابن قیّم</w:t>
      </w:r>
      <w:r w:rsidRPr="002652D3">
        <w:rPr>
          <w:rFonts w:cs="B Mitra"/>
          <w:sz w:val="28"/>
          <w:szCs w:val="28"/>
          <w:vertAlign w:val="superscript"/>
          <w:rtl/>
          <w:lang w:bidi="fa-IR"/>
        </w:rPr>
        <w:footnoteReference w:id="23"/>
      </w:r>
      <w:r w:rsidRPr="002652D3">
        <w:rPr>
          <w:rFonts w:cs="B Mitra"/>
          <w:sz w:val="28"/>
          <w:szCs w:val="28"/>
          <w:rtl/>
          <w:lang w:bidi="fa-IR"/>
        </w:rPr>
        <w:t xml:space="preserve"> گفته است: «فاسق اعتقادی اگر نسبت به دینش متحفظ (دیندار) باشد، شهادتش مقبول خواهد بود، هر چند به خاطر اعتقادش او را فاسق بدانیم، مانند اهل بدع و اهوائی که آنان را کاف</w:t>
      </w:r>
      <w:r w:rsidRPr="002652D3">
        <w:rPr>
          <w:rFonts w:cs="B Mitra" w:hint="cs"/>
          <w:sz w:val="28"/>
          <w:szCs w:val="28"/>
          <w:rtl/>
          <w:lang w:bidi="fa-IR"/>
        </w:rPr>
        <w:t>ر</w:t>
      </w:r>
      <w:r w:rsidRPr="002652D3">
        <w:rPr>
          <w:rFonts w:cs="B Mitra"/>
          <w:sz w:val="28"/>
          <w:szCs w:val="28"/>
          <w:rtl/>
          <w:lang w:bidi="fa-IR"/>
        </w:rPr>
        <w:t xml:space="preserve"> نمی دانیم، همچون رافضه، خوارج، معتزله و دیگران</w:t>
      </w:r>
      <w:r w:rsidRPr="002652D3">
        <w:rPr>
          <w:rFonts w:cs="B Mitra" w:hint="cs"/>
          <w:sz w:val="28"/>
          <w:szCs w:val="28"/>
          <w:rtl/>
          <w:lang w:bidi="fa-IR"/>
        </w:rPr>
        <w:t>.</w:t>
      </w:r>
      <w:r w:rsidRPr="002652D3">
        <w:rPr>
          <w:rFonts w:cs="B Mitra"/>
          <w:sz w:val="28"/>
          <w:szCs w:val="28"/>
          <w:rtl/>
          <w:lang w:bidi="fa-IR"/>
        </w:rPr>
        <w:t xml:space="preserve"> این مطلب منصوص ائمه است و سلف و خلف</w:t>
      </w:r>
      <w:r w:rsidRPr="002652D3">
        <w:rPr>
          <w:rFonts w:cs="B Mitra" w:hint="cs"/>
          <w:sz w:val="28"/>
          <w:szCs w:val="28"/>
          <w:rtl/>
          <w:lang w:bidi="fa-IR"/>
        </w:rPr>
        <w:t>،</w:t>
      </w:r>
      <w:r w:rsidRPr="002652D3">
        <w:rPr>
          <w:rFonts w:cs="B Mitra"/>
          <w:sz w:val="28"/>
          <w:szCs w:val="28"/>
          <w:rtl/>
          <w:lang w:bidi="fa-IR"/>
        </w:rPr>
        <w:t xml:space="preserve"> شهادت و روایت آنان را پذیرفته اند. و وجه این که امام احمد بن حنبل و دیگران از قبول روایت و شهادت کسی که بدعت خود را آشکار می سازد و به آن دعوت می کند از خواندن نماز به امامت او منع کرده</w:t>
      </w:r>
      <w:r w:rsidRPr="002652D3">
        <w:rPr>
          <w:rFonts w:cs="B Mitra" w:hint="cs"/>
          <w:sz w:val="28"/>
          <w:szCs w:val="28"/>
          <w:rtl/>
          <w:lang w:bidi="fa-IR"/>
        </w:rPr>
        <w:t>‌</w:t>
      </w:r>
      <w:r w:rsidRPr="002652D3">
        <w:rPr>
          <w:rFonts w:cs="B Mitra"/>
          <w:sz w:val="28"/>
          <w:szCs w:val="28"/>
          <w:rtl/>
          <w:lang w:bidi="fa-IR"/>
        </w:rPr>
        <w:t>اند این است که انزجار خود را نسبت به بدعت او اظهار کنند، تا ضررش به مسلمانان نرسد، زیرا پذیرش شهادت و روایت او و نماز خواندن به امامت او، و سپردن منصب قضاوت و نافذ دانستن احکام او به منزله راضی بودن به بدعت وی به شمار می رود».</w:t>
      </w:r>
      <w:r w:rsidRPr="002652D3">
        <w:rPr>
          <w:rFonts w:cs="B Mitra"/>
          <w:sz w:val="28"/>
          <w:szCs w:val="28"/>
          <w:vertAlign w:val="superscript"/>
          <w:rtl/>
          <w:lang w:bidi="fa-IR"/>
        </w:rPr>
        <w:footnoteReference w:id="24"/>
      </w:r>
    </w:p>
    <w:p w:rsidR="002652D3" w:rsidRPr="002652D3" w:rsidRDefault="002652D3" w:rsidP="002652D3">
      <w:pPr>
        <w:spacing w:after="160" w:line="259" w:lineRule="auto"/>
        <w:jc w:val="both"/>
        <w:rPr>
          <w:rFonts w:cs="B Mitra"/>
          <w:sz w:val="28"/>
          <w:szCs w:val="28"/>
          <w:rtl/>
          <w:lang w:bidi="fa-IR"/>
        </w:rPr>
      </w:pPr>
      <w:r w:rsidRPr="002652D3">
        <w:rPr>
          <w:rFonts w:cs="B Mitra"/>
          <w:sz w:val="28"/>
          <w:szCs w:val="28"/>
          <w:rtl/>
          <w:lang w:bidi="fa-IR"/>
        </w:rPr>
        <w:t>با این حال، احمد در مسند خود از بسیاری از راویان غیر اهل سنت، روایت نقل کرده است، تا آن جا که حدود نصف روایات مسند از عبدالرزاق</w:t>
      </w:r>
      <w:r w:rsidRPr="002652D3">
        <w:rPr>
          <w:rFonts w:cs="B Mitra"/>
          <w:sz w:val="28"/>
          <w:szCs w:val="28"/>
          <w:vertAlign w:val="superscript"/>
          <w:rtl/>
          <w:lang w:bidi="fa-IR"/>
        </w:rPr>
        <w:footnoteReference w:id="25"/>
      </w:r>
      <w:r w:rsidRPr="002652D3">
        <w:rPr>
          <w:rFonts w:cs="B Mitra"/>
          <w:sz w:val="28"/>
          <w:szCs w:val="28"/>
          <w:rtl/>
          <w:lang w:bidi="fa-IR"/>
        </w:rPr>
        <w:t xml:space="preserve"> است و او کسی است که ابن معین درباره اش گفته است: اگر عبدالرزاق مرتد شود، حدی</w:t>
      </w:r>
      <w:r w:rsidRPr="002652D3">
        <w:rPr>
          <w:rFonts w:cs="B Mitra" w:hint="cs"/>
          <w:sz w:val="28"/>
          <w:szCs w:val="28"/>
          <w:rtl/>
          <w:lang w:bidi="fa-IR"/>
        </w:rPr>
        <w:t>ث</w:t>
      </w:r>
      <w:r w:rsidRPr="002652D3">
        <w:rPr>
          <w:rFonts w:cs="B Mitra"/>
          <w:sz w:val="28"/>
          <w:szCs w:val="28"/>
          <w:rtl/>
          <w:lang w:bidi="fa-IR"/>
        </w:rPr>
        <w:t>ش را ترک نخواهیم کرد.</w:t>
      </w:r>
      <w:r w:rsidRPr="002652D3">
        <w:rPr>
          <w:rFonts w:cs="B Mitra"/>
          <w:sz w:val="28"/>
          <w:szCs w:val="28"/>
          <w:vertAlign w:val="superscript"/>
          <w:rtl/>
          <w:lang w:bidi="fa-IR"/>
        </w:rPr>
        <w:footnoteReference w:id="26"/>
      </w:r>
    </w:p>
    <w:p w:rsidR="002652D3" w:rsidRPr="002652D3" w:rsidRDefault="002652D3" w:rsidP="002652D3">
      <w:pPr>
        <w:spacing w:after="160" w:line="259" w:lineRule="auto"/>
        <w:jc w:val="both"/>
        <w:rPr>
          <w:rFonts w:cs="B Mitra"/>
          <w:sz w:val="28"/>
          <w:szCs w:val="28"/>
          <w:rtl/>
          <w:lang w:bidi="fa-IR"/>
        </w:rPr>
      </w:pPr>
      <w:r w:rsidRPr="002652D3">
        <w:rPr>
          <w:rFonts w:cs="B Mitra"/>
          <w:sz w:val="28"/>
          <w:szCs w:val="28"/>
          <w:rtl/>
          <w:lang w:bidi="fa-IR"/>
        </w:rPr>
        <w:t xml:space="preserve">متاخرین بر صحت احادیث صحیحین اجماع کرده اند با این که بخاری و مسلم روایات بسیاری از اهل بدعت </w:t>
      </w:r>
      <w:r w:rsidRPr="002652D3">
        <w:rPr>
          <w:rFonts w:cs="B Mitra" w:hint="cs"/>
          <w:sz w:val="28"/>
          <w:szCs w:val="28"/>
          <w:rtl/>
          <w:lang w:bidi="fa-IR"/>
        </w:rPr>
        <w:t xml:space="preserve">را </w:t>
      </w:r>
      <w:r w:rsidRPr="002652D3">
        <w:rPr>
          <w:rFonts w:cs="B Mitra"/>
          <w:sz w:val="28"/>
          <w:szCs w:val="28"/>
          <w:rtl/>
          <w:lang w:bidi="fa-IR"/>
        </w:rPr>
        <w:t>نقل کرده اند. ذهبی در شرح حال ابی احمد حاکم نقل کرده که وی از ابوالحسن الغازی نقل نموده که از بخاری درباره ابی غسّان سوال کرده</w:t>
      </w:r>
      <w:r w:rsidRPr="002652D3">
        <w:rPr>
          <w:rFonts w:cs="B Mitra" w:hint="cs"/>
          <w:sz w:val="28"/>
          <w:szCs w:val="28"/>
          <w:rtl/>
          <w:lang w:bidi="fa-IR"/>
        </w:rPr>
        <w:t>،</w:t>
      </w:r>
      <w:r w:rsidRPr="002652D3">
        <w:rPr>
          <w:rFonts w:cs="B Mitra"/>
          <w:sz w:val="28"/>
          <w:szCs w:val="28"/>
          <w:rtl/>
          <w:lang w:bidi="fa-IR"/>
        </w:rPr>
        <w:t xml:space="preserve"> بخاری گفته است: از چه چیزی درباره او سوال می کنی؟ گفتم: درباره تشیع او. پاسخ داد</w:t>
      </w:r>
      <w:r w:rsidRPr="002652D3">
        <w:rPr>
          <w:rFonts w:cs="B Mitra" w:hint="cs"/>
          <w:sz w:val="28"/>
          <w:szCs w:val="28"/>
          <w:rtl/>
          <w:lang w:bidi="fa-IR"/>
        </w:rPr>
        <w:t>:</w:t>
      </w:r>
      <w:r w:rsidRPr="002652D3">
        <w:rPr>
          <w:rFonts w:cs="B Mitra"/>
          <w:sz w:val="28"/>
          <w:szCs w:val="28"/>
          <w:rtl/>
          <w:lang w:bidi="fa-IR"/>
        </w:rPr>
        <w:t xml:space="preserve"> او بر مذهب اهل بلدش، کوفیین است. اگر عبیدالله بن موسی، ابونعیم و جمیع مشایخ کوفی را می دیدی، درباره ابوغسّ</w:t>
      </w:r>
      <w:r w:rsidRPr="002652D3">
        <w:rPr>
          <w:rFonts w:cs="B Mitra" w:hint="cs"/>
          <w:sz w:val="28"/>
          <w:szCs w:val="28"/>
          <w:rtl/>
          <w:lang w:bidi="fa-IR"/>
        </w:rPr>
        <w:t>ا</w:t>
      </w:r>
      <w:r w:rsidRPr="002652D3">
        <w:rPr>
          <w:rFonts w:cs="B Mitra"/>
          <w:sz w:val="28"/>
          <w:szCs w:val="28"/>
          <w:rtl/>
          <w:lang w:bidi="fa-IR"/>
        </w:rPr>
        <w:t>ن سوال نمی کردی</w:t>
      </w:r>
      <w:r w:rsidRPr="002652D3">
        <w:rPr>
          <w:rFonts w:cs="B Mitra"/>
          <w:sz w:val="28"/>
          <w:szCs w:val="28"/>
          <w:vertAlign w:val="superscript"/>
          <w:rtl/>
          <w:lang w:bidi="fa-IR"/>
        </w:rPr>
        <w:footnoteReference w:id="27"/>
      </w:r>
      <w:r w:rsidRPr="002652D3">
        <w:rPr>
          <w:rFonts w:cs="B Mitra"/>
          <w:sz w:val="28"/>
          <w:szCs w:val="28"/>
          <w:rtl/>
          <w:lang w:bidi="fa-IR"/>
        </w:rPr>
        <w:t xml:space="preserve">، یعنی در شدت تشیع آنان. حفاظ اسامی راویان شیعه ای که بخاری از آنان روایت کرده است را گرد آورده اند، </w:t>
      </w:r>
      <w:r w:rsidRPr="002652D3">
        <w:rPr>
          <w:rFonts w:cs="B Mitra" w:hint="cs"/>
          <w:sz w:val="28"/>
          <w:szCs w:val="28"/>
          <w:rtl/>
          <w:lang w:bidi="fa-IR"/>
        </w:rPr>
        <w:t xml:space="preserve">و </w:t>
      </w:r>
      <w:r w:rsidRPr="002652D3">
        <w:rPr>
          <w:rFonts w:cs="B Mitra"/>
          <w:sz w:val="28"/>
          <w:szCs w:val="28"/>
          <w:rtl/>
          <w:lang w:bidi="fa-IR"/>
        </w:rPr>
        <w:t>آنان هفتاد نفر می باشند. اما در صحیح مسلم، روایات از راویان شیعه بیش تر از این است، چنان که حاکم گفته است: کتاب وی پر از راویان شیعه است.</w:t>
      </w:r>
    </w:p>
    <w:p w:rsidR="002652D3" w:rsidRPr="002652D3" w:rsidRDefault="002652D3" w:rsidP="002652D3">
      <w:pPr>
        <w:spacing w:after="160" w:line="259" w:lineRule="auto"/>
        <w:jc w:val="both"/>
        <w:rPr>
          <w:rFonts w:cs="B Mitra"/>
          <w:sz w:val="28"/>
          <w:szCs w:val="28"/>
          <w:rtl/>
          <w:lang w:bidi="fa-IR"/>
        </w:rPr>
      </w:pPr>
      <w:r w:rsidRPr="002652D3">
        <w:rPr>
          <w:rFonts w:cs="B Mitra"/>
          <w:sz w:val="28"/>
          <w:szCs w:val="28"/>
          <w:rtl/>
          <w:lang w:bidi="fa-IR"/>
        </w:rPr>
        <w:t xml:space="preserve">این مطلب، بیان گر اجماع بر قبول روایت اهل بدعت می باشد. چنان که حافظ ابن حجر در مقدمه «فتح الباری» گفته است: جمهور ائمه نامیدن دو کتاب به «صحیحین» توافق دارند و معنای آن اجماع بر عادل بودن کسانی است که در آن دو ذکر شده </w:t>
      </w:r>
      <w:r w:rsidRPr="002652D3">
        <w:rPr>
          <w:rFonts w:cs="B Mitra"/>
          <w:sz w:val="28"/>
          <w:szCs w:val="28"/>
          <w:rtl/>
          <w:lang w:bidi="fa-IR"/>
        </w:rPr>
        <w:lastRenderedPageBreak/>
        <w:t>اند (از آنان روایت نقل شده است). ابن دقیق العید نیز قبل از او این مطلب را بیان کرده است.</w:t>
      </w:r>
      <w:r w:rsidRPr="002652D3">
        <w:rPr>
          <w:rFonts w:cs="B Mitra"/>
          <w:sz w:val="28"/>
          <w:szCs w:val="28"/>
          <w:vertAlign w:val="superscript"/>
          <w:rtl/>
          <w:lang w:bidi="fa-IR"/>
        </w:rPr>
        <w:footnoteReference w:id="28"/>
      </w:r>
      <w:r w:rsidRPr="002652D3">
        <w:rPr>
          <w:rFonts w:cs="B Mitra"/>
          <w:sz w:val="28"/>
          <w:szCs w:val="28"/>
          <w:rtl/>
          <w:lang w:bidi="fa-IR"/>
        </w:rPr>
        <w:t xml:space="preserve"> بنابراین، اگر برخی از ائمه حدیث در زبان با روایت از اهل بدعت مخالفت کرده اند، ولی در عمل از آنان روایت نموده اند، چنان که ابن قیم روایت و شهادت اهل بدعت را دیدگاه صواب دانسته که با آن عمل می شود. اگر چه بسیاری از فقها در زبان با آن مخالفت کرده اند.</w:t>
      </w:r>
      <w:r w:rsidRPr="002652D3">
        <w:rPr>
          <w:rFonts w:cs="B Mitra"/>
          <w:sz w:val="28"/>
          <w:szCs w:val="28"/>
          <w:vertAlign w:val="superscript"/>
          <w:rtl/>
          <w:lang w:bidi="fa-IR"/>
        </w:rPr>
        <w:footnoteReference w:id="29"/>
      </w:r>
    </w:p>
    <w:p w:rsidR="002652D3" w:rsidRPr="002652D3" w:rsidRDefault="002652D3" w:rsidP="002652D3">
      <w:pPr>
        <w:spacing w:after="160" w:line="259" w:lineRule="auto"/>
        <w:jc w:val="both"/>
        <w:rPr>
          <w:rFonts w:cs="B Mitra"/>
          <w:sz w:val="28"/>
          <w:szCs w:val="28"/>
          <w:rtl/>
          <w:lang w:bidi="fa-IR"/>
        </w:rPr>
      </w:pPr>
      <w:r w:rsidRPr="002652D3">
        <w:rPr>
          <w:rFonts w:cs="B Mitra"/>
          <w:sz w:val="28"/>
          <w:szCs w:val="28"/>
          <w:rtl/>
          <w:lang w:bidi="fa-IR"/>
        </w:rPr>
        <w:t>ا</w:t>
      </w:r>
      <w:r w:rsidRPr="002652D3">
        <w:rPr>
          <w:rFonts w:cs="B Mitra" w:hint="cs"/>
          <w:sz w:val="28"/>
          <w:szCs w:val="28"/>
          <w:rtl/>
          <w:lang w:bidi="fa-IR"/>
        </w:rPr>
        <w:t>م</w:t>
      </w:r>
      <w:r w:rsidRPr="002652D3">
        <w:rPr>
          <w:rFonts w:cs="B Mitra"/>
          <w:sz w:val="28"/>
          <w:szCs w:val="28"/>
          <w:rtl/>
          <w:lang w:bidi="fa-IR"/>
        </w:rPr>
        <w:t>یر الصنامی نیز در «ارشاد النقاد» گفته است: «چه بسا، شناخت حق از طریق اقوال ائمه جرح و تعدیل برای کسی که می</w:t>
      </w:r>
      <w:r w:rsidRPr="002652D3">
        <w:rPr>
          <w:rFonts w:cs="B Mitra" w:hint="cs"/>
          <w:sz w:val="28"/>
          <w:szCs w:val="28"/>
          <w:rtl/>
          <w:lang w:bidi="fa-IR"/>
        </w:rPr>
        <w:t>‌</w:t>
      </w:r>
      <w:r w:rsidRPr="002652D3">
        <w:rPr>
          <w:rFonts w:cs="B Mitra"/>
          <w:sz w:val="28"/>
          <w:szCs w:val="28"/>
          <w:rtl/>
          <w:lang w:bidi="fa-IR"/>
        </w:rPr>
        <w:t>خواهد به درک حقایق نا</w:t>
      </w:r>
      <w:r w:rsidRPr="002652D3">
        <w:rPr>
          <w:rFonts w:cs="B Mitra" w:hint="cs"/>
          <w:sz w:val="28"/>
          <w:szCs w:val="28"/>
          <w:rtl/>
          <w:lang w:bidi="fa-IR"/>
        </w:rPr>
        <w:t>ی</w:t>
      </w:r>
      <w:r w:rsidRPr="002652D3">
        <w:rPr>
          <w:rFonts w:cs="B Mitra"/>
          <w:sz w:val="28"/>
          <w:szCs w:val="28"/>
          <w:rtl/>
          <w:lang w:bidi="fa-IR"/>
        </w:rPr>
        <w:t>ل شود و از لغزش گاه ها و خطرها دوری می کند، دشوار می شود</w:t>
      </w:r>
      <w:r w:rsidRPr="002652D3">
        <w:rPr>
          <w:rFonts w:cs="B Mitra" w:hint="cs"/>
          <w:sz w:val="28"/>
          <w:szCs w:val="28"/>
          <w:rtl/>
          <w:lang w:bidi="fa-IR"/>
        </w:rPr>
        <w:t xml:space="preserve">، به خاطر </w:t>
      </w:r>
      <w:r w:rsidRPr="002652D3">
        <w:rPr>
          <w:rFonts w:cs="B Mitra"/>
          <w:sz w:val="28"/>
          <w:szCs w:val="28"/>
          <w:rtl/>
          <w:lang w:bidi="fa-IR"/>
        </w:rPr>
        <w:t>پیدایش مذاهب و فرقه</w:t>
      </w:r>
      <w:r w:rsidRPr="002652D3">
        <w:rPr>
          <w:rFonts w:cs="B Mitra" w:hint="cs"/>
          <w:sz w:val="28"/>
          <w:szCs w:val="28"/>
          <w:rtl/>
          <w:lang w:bidi="fa-IR"/>
        </w:rPr>
        <w:t>‌</w:t>
      </w:r>
      <w:r w:rsidRPr="002652D3">
        <w:rPr>
          <w:rFonts w:cs="B Mitra"/>
          <w:sz w:val="28"/>
          <w:szCs w:val="28"/>
          <w:rtl/>
          <w:lang w:bidi="fa-IR"/>
        </w:rPr>
        <w:t>های مسلمانان که منشا عداوت و کینه و قدح یکدیگر شده است. چنان که می بینی عالمی کسی را به خاطر این که قائل به خلق قرآن یا قائل به قدم قرآن یا معتقد به قدر و ارجاء و نصب و تشیع بوده، قدح کرده است و در عین حال می بینی که به احادیث از همین افراد احتجاج می کند. چنان که بخاری از کسانی روایت کرده که متهم به قدر بوده اند. همین گونه است روش مالک و مسلم. این روش ائمه دین بوده است و چه بسا کسانی آن را تناقض آمیز می انگارند، ولی چنین نیست، زیرا با ت</w:t>
      </w:r>
      <w:r w:rsidRPr="002652D3">
        <w:rPr>
          <w:rFonts w:cs="B Mitra" w:hint="cs"/>
          <w:sz w:val="28"/>
          <w:szCs w:val="28"/>
          <w:rtl/>
          <w:lang w:bidi="fa-IR"/>
        </w:rPr>
        <w:t>أ</w:t>
      </w:r>
      <w:r w:rsidRPr="002652D3">
        <w:rPr>
          <w:rFonts w:cs="B Mitra"/>
          <w:sz w:val="28"/>
          <w:szCs w:val="28"/>
          <w:rtl/>
          <w:lang w:bidi="fa-IR"/>
        </w:rPr>
        <w:t>مل در روش آنان به دست می آید که در نقل روایت از افراد، پس از ایمان راوی به چیزی جز صدق لهجه و ضبط در روایت اعتماد نمی کردند».</w:t>
      </w:r>
      <w:r w:rsidRPr="002652D3">
        <w:rPr>
          <w:rFonts w:cs="B Mitra"/>
          <w:sz w:val="28"/>
          <w:szCs w:val="28"/>
          <w:vertAlign w:val="superscript"/>
          <w:rtl/>
          <w:lang w:bidi="fa-IR"/>
        </w:rPr>
        <w:footnoteReference w:id="30"/>
      </w:r>
    </w:p>
    <w:p w:rsidR="002652D3" w:rsidRPr="002652D3" w:rsidRDefault="002652D3" w:rsidP="002652D3">
      <w:pPr>
        <w:spacing w:after="160" w:line="259" w:lineRule="auto"/>
        <w:jc w:val="both"/>
        <w:rPr>
          <w:rFonts w:cs="B Mitra"/>
          <w:sz w:val="28"/>
          <w:szCs w:val="28"/>
          <w:rtl/>
          <w:lang w:bidi="fa-IR"/>
        </w:rPr>
      </w:pPr>
    </w:p>
    <w:p w:rsidR="002652D3" w:rsidRPr="002652D3" w:rsidRDefault="002652D3" w:rsidP="002652D3">
      <w:pPr>
        <w:spacing w:after="160" w:line="259" w:lineRule="auto"/>
        <w:jc w:val="both"/>
        <w:rPr>
          <w:rFonts w:cs="B Mitra"/>
          <w:color w:val="FF0000"/>
          <w:sz w:val="28"/>
          <w:szCs w:val="28"/>
          <w:rtl/>
          <w:lang w:bidi="fa-IR"/>
        </w:rPr>
      </w:pPr>
      <w:r w:rsidRPr="002652D3">
        <w:rPr>
          <w:rFonts w:cs="B Mitra"/>
          <w:color w:val="FF0000"/>
          <w:sz w:val="28"/>
          <w:szCs w:val="28"/>
          <w:rtl/>
          <w:lang w:bidi="fa-IR"/>
        </w:rPr>
        <w:t>نادرستی شرط عدم دعوت</w:t>
      </w:r>
    </w:p>
    <w:p w:rsidR="002652D3" w:rsidRPr="002652D3" w:rsidRDefault="002652D3" w:rsidP="002652D3">
      <w:pPr>
        <w:spacing w:after="160" w:line="259" w:lineRule="auto"/>
        <w:jc w:val="both"/>
        <w:rPr>
          <w:rFonts w:cs="B Mitra"/>
          <w:sz w:val="28"/>
          <w:szCs w:val="28"/>
          <w:rtl/>
          <w:lang w:bidi="fa-IR"/>
        </w:rPr>
      </w:pPr>
      <w:r w:rsidRPr="002652D3">
        <w:rPr>
          <w:rFonts w:cs="B Mitra"/>
          <w:sz w:val="28"/>
          <w:szCs w:val="28"/>
          <w:rtl/>
          <w:lang w:bidi="fa-IR"/>
        </w:rPr>
        <w:t>شرط عدم دعوت اهل بدعت نسبت به مذهب و عقیده خویش در قبول روایت او که عده ای مطرح کرده اند و ابن حب</w:t>
      </w:r>
      <w:r w:rsidRPr="002652D3">
        <w:rPr>
          <w:rFonts w:cs="B Mitra" w:hint="cs"/>
          <w:sz w:val="28"/>
          <w:szCs w:val="28"/>
          <w:rtl/>
          <w:lang w:bidi="fa-IR"/>
        </w:rPr>
        <w:t>ّ</w:t>
      </w:r>
      <w:r w:rsidRPr="002652D3">
        <w:rPr>
          <w:rFonts w:cs="B Mitra"/>
          <w:sz w:val="28"/>
          <w:szCs w:val="28"/>
          <w:rtl/>
          <w:lang w:bidi="fa-IR"/>
        </w:rPr>
        <w:t>ان مدعی اجماع بر آن شده است</w:t>
      </w:r>
      <w:r w:rsidRPr="002652D3">
        <w:rPr>
          <w:rFonts w:cs="B Mitra"/>
          <w:sz w:val="28"/>
          <w:szCs w:val="28"/>
          <w:vertAlign w:val="superscript"/>
          <w:rtl/>
          <w:lang w:bidi="fa-IR"/>
        </w:rPr>
        <w:footnoteReference w:id="31"/>
      </w:r>
      <w:r w:rsidRPr="002652D3">
        <w:rPr>
          <w:rFonts w:cs="B Mitra"/>
          <w:sz w:val="28"/>
          <w:szCs w:val="28"/>
          <w:rtl/>
          <w:lang w:bidi="fa-IR"/>
        </w:rPr>
        <w:t xml:space="preserve"> و از حاکم نیشابوری نیز نقل شده که با آن موافقت کرده است</w:t>
      </w:r>
      <w:r w:rsidRPr="002652D3">
        <w:rPr>
          <w:rFonts w:cs="B Mitra"/>
          <w:sz w:val="28"/>
          <w:szCs w:val="28"/>
          <w:vertAlign w:val="superscript"/>
          <w:rtl/>
          <w:lang w:bidi="fa-IR"/>
        </w:rPr>
        <w:footnoteReference w:id="32"/>
      </w:r>
      <w:r w:rsidRPr="002652D3">
        <w:rPr>
          <w:rFonts w:cs="B Mitra"/>
          <w:sz w:val="28"/>
          <w:szCs w:val="28"/>
          <w:rtl/>
          <w:lang w:bidi="fa-IR"/>
        </w:rPr>
        <w:t xml:space="preserve">، نادرست است. آنچه پیش از این از جماعتی مانند ثوری، ابوحنیفه، ابویوسف، ابن ابی لیلی و دیگران نقل کردیم که روایت اهل بدعت را به صورت مطلق پذیرفته اند </w:t>
      </w:r>
      <w:r w:rsidRPr="002652D3">
        <w:rPr>
          <w:rFonts w:ascii="Sakkal Majalla" w:hAnsi="Sakkal Majalla" w:cs="Sakkal Majalla" w:hint="cs"/>
          <w:sz w:val="28"/>
          <w:szCs w:val="28"/>
          <w:rtl/>
          <w:lang w:bidi="fa-IR"/>
        </w:rPr>
        <w:t>–</w:t>
      </w:r>
      <w:r w:rsidRPr="002652D3">
        <w:rPr>
          <w:rFonts w:cs="B Mitra"/>
          <w:sz w:val="28"/>
          <w:szCs w:val="28"/>
          <w:rtl/>
          <w:lang w:bidi="fa-IR"/>
        </w:rPr>
        <w:t xml:space="preserve"> خواه داعی به بدعت خود باشد یا نباشد</w:t>
      </w:r>
      <w:r w:rsidRPr="002652D3">
        <w:rPr>
          <w:rFonts w:cs="B Mitra" w:hint="cs"/>
          <w:sz w:val="28"/>
          <w:szCs w:val="28"/>
          <w:rtl/>
          <w:lang w:bidi="fa-IR"/>
        </w:rPr>
        <w:t xml:space="preserve"> </w:t>
      </w:r>
      <w:r w:rsidRPr="002652D3">
        <w:rPr>
          <w:rFonts w:cs="B Mitra"/>
          <w:sz w:val="28"/>
          <w:szCs w:val="28"/>
          <w:rtl/>
          <w:lang w:bidi="fa-IR"/>
        </w:rPr>
        <w:t>- کافی در نارستی ادعای مزبور است. مضافا بر این که بخاری و مسلم و جمهور که ابن حب</w:t>
      </w:r>
      <w:r w:rsidRPr="002652D3">
        <w:rPr>
          <w:rFonts w:cs="B Mitra" w:hint="cs"/>
          <w:sz w:val="28"/>
          <w:szCs w:val="28"/>
          <w:rtl/>
          <w:lang w:bidi="fa-IR"/>
        </w:rPr>
        <w:t>ّ</w:t>
      </w:r>
      <w:r w:rsidRPr="002652D3">
        <w:rPr>
          <w:rFonts w:cs="B Mitra"/>
          <w:sz w:val="28"/>
          <w:szCs w:val="28"/>
          <w:rtl/>
          <w:lang w:bidi="fa-IR"/>
        </w:rPr>
        <w:t>ان و حاکم نیز از آنان می باشند به احادیث داعیان از اهل بدعت مانند حریز بن عثمان، عمران با حطّان، شبابة بن سوّار، عبدالحمید جماعی و امثال آنان احتجاج کرده اند.</w:t>
      </w:r>
    </w:p>
    <w:p w:rsidR="002652D3" w:rsidRPr="002652D3" w:rsidRDefault="002652D3" w:rsidP="002652D3">
      <w:pPr>
        <w:spacing w:after="160" w:line="259" w:lineRule="auto"/>
        <w:jc w:val="both"/>
        <w:rPr>
          <w:rFonts w:cs="B Mitra"/>
          <w:sz w:val="28"/>
          <w:szCs w:val="28"/>
          <w:rtl/>
          <w:lang w:bidi="fa-IR"/>
        </w:rPr>
      </w:pPr>
      <w:r w:rsidRPr="002652D3">
        <w:rPr>
          <w:rFonts w:cs="B Mitra"/>
          <w:sz w:val="28"/>
          <w:szCs w:val="28"/>
          <w:rtl/>
          <w:lang w:bidi="fa-IR"/>
        </w:rPr>
        <w:t xml:space="preserve">گذشته از این، </w:t>
      </w:r>
      <w:r w:rsidRPr="002652D3">
        <w:rPr>
          <w:rFonts w:cs="B Mitra" w:hint="cs"/>
          <w:sz w:val="28"/>
          <w:szCs w:val="28"/>
          <w:rtl/>
          <w:lang w:bidi="fa-IR"/>
        </w:rPr>
        <w:t xml:space="preserve">اینان </w:t>
      </w:r>
      <w:r w:rsidRPr="002652D3">
        <w:rPr>
          <w:rFonts w:cs="B Mitra"/>
          <w:sz w:val="28"/>
          <w:szCs w:val="28"/>
          <w:rtl/>
          <w:lang w:bidi="fa-IR"/>
        </w:rPr>
        <w:t>دعوت اهل بدعت را به اظهار و اعلان مذهب و عقیده خود تفسیر کرده اند، هر چند عملا دعوت نکنند، زیرا اعلان و اظهار و نشر مذهب خود در میان مردم، نوعی دعوت دیگران به آن به شمار می رود. در این صورت هر اهل بدعتی که عقیده خود را اظهار کند، دعوت کننده به بدعت خود خواهد بود و شرط مزبور لغو خواهد شد.</w:t>
      </w:r>
    </w:p>
    <w:p w:rsidR="002652D3" w:rsidRPr="002652D3" w:rsidRDefault="002652D3" w:rsidP="002652D3">
      <w:pPr>
        <w:spacing w:after="160" w:line="259" w:lineRule="auto"/>
        <w:jc w:val="both"/>
        <w:rPr>
          <w:rFonts w:cs="B Mitra"/>
          <w:sz w:val="28"/>
          <w:szCs w:val="28"/>
          <w:rtl/>
          <w:lang w:bidi="fa-IR"/>
        </w:rPr>
      </w:pPr>
      <w:r w:rsidRPr="002652D3">
        <w:rPr>
          <w:rFonts w:cs="B Mitra"/>
          <w:sz w:val="28"/>
          <w:szCs w:val="28"/>
          <w:rtl/>
          <w:lang w:bidi="fa-IR"/>
        </w:rPr>
        <w:lastRenderedPageBreak/>
        <w:t>نکته دیگر این که دعوت کننده از اهل بدعت یا دیندار و اهل ورع است یا فاسق و تبهکار</w:t>
      </w:r>
      <w:r w:rsidRPr="002652D3">
        <w:rPr>
          <w:rFonts w:cs="B Mitra" w:hint="cs"/>
          <w:sz w:val="28"/>
          <w:szCs w:val="28"/>
          <w:rtl/>
          <w:lang w:bidi="fa-IR"/>
        </w:rPr>
        <w:t>؛</w:t>
      </w:r>
      <w:r w:rsidRPr="002652D3">
        <w:rPr>
          <w:rFonts w:cs="B Mitra"/>
          <w:sz w:val="28"/>
          <w:szCs w:val="28"/>
          <w:rtl/>
          <w:lang w:bidi="fa-IR"/>
        </w:rPr>
        <w:t xml:space="preserve"> در فرض اول دیانت و ورع وی، او را از دروغ گویی و جعل حدیث باز می دارد و در فرض دوم خبر او به خاطر فسقش مر</w:t>
      </w:r>
      <w:r w:rsidRPr="002652D3">
        <w:rPr>
          <w:rFonts w:cs="B Mitra" w:hint="cs"/>
          <w:sz w:val="28"/>
          <w:szCs w:val="28"/>
          <w:rtl/>
          <w:lang w:bidi="fa-IR"/>
        </w:rPr>
        <w:t>د</w:t>
      </w:r>
      <w:r w:rsidRPr="002652D3">
        <w:rPr>
          <w:rFonts w:cs="B Mitra"/>
          <w:sz w:val="28"/>
          <w:szCs w:val="28"/>
          <w:rtl/>
          <w:lang w:bidi="fa-IR"/>
        </w:rPr>
        <w:t>ود است نه به خاطر مذهب و بدعتش، پس شرط مزبور باطل است.</w:t>
      </w:r>
    </w:p>
    <w:p w:rsidR="00522F0D" w:rsidRDefault="00CB4A1C" w:rsidP="00BF7E28">
      <w:pPr>
        <w:spacing w:after="160" w:line="259" w:lineRule="auto"/>
        <w:jc w:val="both"/>
        <w:rPr>
          <w:rFonts w:ascii="Tahoma" w:hAnsi="Tahoma" w:cs="Tahoma"/>
          <w:sz w:val="24"/>
          <w:szCs w:val="24"/>
          <w:rtl/>
          <w:lang w:bidi="fa-IR"/>
        </w:rPr>
      </w:pPr>
      <w:r>
        <w:rPr>
          <w:rFonts w:cs="B Mitra" w:hint="cs"/>
          <w:sz w:val="28"/>
          <w:szCs w:val="28"/>
          <w:rtl/>
          <w:lang w:bidi="fa-IR"/>
        </w:rPr>
        <w:t xml:space="preserve"> </w:t>
      </w:r>
      <w:r w:rsidR="00522F0D">
        <w:rPr>
          <w:rFonts w:ascii="Tahoma" w:hAnsi="Tahoma" w:cs="Traditional Arabic" w:hint="cs"/>
          <w:color w:val="008000"/>
          <w:sz w:val="24"/>
          <w:szCs w:val="24"/>
          <w:rtl/>
          <w:lang w:bidi="fa-IR"/>
        </w:rPr>
        <w:t>﴿</w:t>
      </w:r>
      <w:r w:rsidR="00522F0D" w:rsidRPr="00526E35">
        <w:rPr>
          <w:rFonts w:ascii="Tahoma" w:hAnsi="Tahoma" w:cs="Tahoma"/>
          <w:color w:val="008000"/>
          <w:sz w:val="24"/>
          <w:szCs w:val="24"/>
          <w:rtl/>
          <w:lang w:bidi="fa-IR"/>
        </w:rPr>
        <w:t>.....</w:t>
      </w:r>
      <w:r w:rsidR="00522F0D">
        <w:rPr>
          <w:rFonts w:ascii="Tahoma" w:hAnsi="Tahoma" w:cs="Traditional Arabic" w:hint="cs"/>
          <w:color w:val="008000"/>
          <w:sz w:val="24"/>
          <w:szCs w:val="24"/>
          <w:rtl/>
          <w:lang w:bidi="fa-IR"/>
        </w:rPr>
        <w:t>﴾</w:t>
      </w:r>
      <w:r w:rsidR="00522F0D">
        <w:rPr>
          <w:rFonts w:ascii="Tahoma" w:hAnsi="Tahoma" w:cs="Tahoma" w:hint="cs"/>
          <w:color w:val="000080"/>
          <w:sz w:val="24"/>
          <w:szCs w:val="24"/>
          <w:rtl/>
          <w:lang w:bidi="fa-IR"/>
        </w:rPr>
        <w:t xml:space="preserve">   </w:t>
      </w:r>
      <w:r w:rsidR="00522F0D"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1B0" w:rsidRDefault="00BB71B0" w:rsidP="00BC6EBB">
      <w:pPr>
        <w:spacing w:after="0" w:line="240" w:lineRule="auto"/>
      </w:pPr>
      <w:r>
        <w:separator/>
      </w:r>
    </w:p>
  </w:endnote>
  <w:endnote w:type="continuationSeparator" w:id="0">
    <w:p w:rsidR="00BB71B0" w:rsidRDefault="00BB71B0"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B2"/>
    <w:family w:val="auto"/>
    <w:pitch w:val="variable"/>
    <w:sig w:usb0="00002001" w:usb1="00000000" w:usb2="00000000" w:usb3="00000000" w:csb0="00000040" w:csb1="00000000"/>
  </w:font>
  <w:font w:name="Noor_Mitra">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1B0" w:rsidRDefault="00BB71B0" w:rsidP="00BC6EBB">
      <w:pPr>
        <w:spacing w:after="0" w:line="240" w:lineRule="auto"/>
      </w:pPr>
      <w:r>
        <w:separator/>
      </w:r>
    </w:p>
  </w:footnote>
  <w:footnote w:type="continuationSeparator" w:id="0">
    <w:p w:rsidR="00BB71B0" w:rsidRDefault="00BB71B0" w:rsidP="00BC6EBB">
      <w:pPr>
        <w:spacing w:after="0" w:line="240" w:lineRule="auto"/>
      </w:pPr>
      <w:r>
        <w:continuationSeparator/>
      </w:r>
    </w:p>
  </w:footnote>
  <w:footnote w:id="1">
    <w:p w:rsidR="002652D3" w:rsidRPr="000E7377" w:rsidRDefault="002652D3" w:rsidP="002652D3">
      <w:pPr>
        <w:pStyle w:val="FootnoteText"/>
        <w:jc w:val="both"/>
        <w:rPr>
          <w:rFonts w:ascii="Noor_Mitra" w:hAnsi="Noor_Mitra" w:cs="Noor_Mitra"/>
          <w:rtl/>
        </w:rPr>
      </w:pPr>
      <w:r w:rsidRPr="000E7377">
        <w:rPr>
          <w:rStyle w:val="FootnoteReference"/>
          <w:rFonts w:ascii="Noor_Mitra" w:hAnsi="Noor_Mitra" w:cs="Noor_Mitra"/>
        </w:rPr>
        <w:footnoteRef/>
      </w:r>
      <w:r w:rsidRPr="000E7377">
        <w:rPr>
          <w:rFonts w:ascii="Noor_Mitra" w:hAnsi="Noor_Mitra" w:cs="Noor_Mitra"/>
          <w:rtl/>
        </w:rPr>
        <w:t xml:space="preserve"> الکفایة، ص 160</w:t>
      </w:r>
    </w:p>
  </w:footnote>
  <w:footnote w:id="2">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همان، ص 160- 170</w:t>
      </w:r>
    </w:p>
  </w:footnote>
  <w:footnote w:id="3">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المدخل الی معرفة الاکلیل، ص 79</w:t>
      </w:r>
    </w:p>
  </w:footnote>
  <w:footnote w:id="4">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الکفایة، ص 166</w:t>
      </w:r>
    </w:p>
  </w:footnote>
  <w:footnote w:id="5">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المحصل الی اصول الفقه، ج4، ص 400- 401</w:t>
      </w:r>
    </w:p>
  </w:footnote>
  <w:footnote w:id="6">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الاقتراح فی بیان الاصطلاح، ص336</w:t>
      </w:r>
    </w:p>
  </w:footnote>
  <w:footnote w:id="7">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الکفایة، ص 166- 167</w:t>
      </w:r>
    </w:p>
  </w:footnote>
  <w:footnote w:id="8">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فتح المغیث، ج2، ص 67 </w:t>
      </w:r>
    </w:p>
  </w:footnote>
  <w:footnote w:id="9">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الثقات، ج6، ص 140</w:t>
      </w:r>
    </w:p>
  </w:footnote>
  <w:footnote w:id="10">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علوم الحدیث، ص 103- 104</w:t>
      </w:r>
    </w:p>
  </w:footnote>
  <w:footnote w:id="11">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محمد بن موسی، ابوبکر الحازمی الهمدانی، (م 584 هـ). سیر اعلام النبلاء، ج21، ص 167</w:t>
      </w:r>
    </w:p>
  </w:footnote>
  <w:footnote w:id="12">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الامّ، ج6، ص 222</w:t>
      </w:r>
    </w:p>
  </w:footnote>
  <w:footnote w:id="13">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الکفایة، ص60</w:t>
      </w:r>
    </w:p>
  </w:footnote>
  <w:footnote w:id="14">
    <w:p w:rsidR="002652D3" w:rsidRPr="000E7377" w:rsidRDefault="002652D3" w:rsidP="002652D3">
      <w:pPr>
        <w:pStyle w:val="FootnoteText"/>
        <w:jc w:val="both"/>
        <w:rPr>
          <w:rFonts w:ascii="Noor_Mitra" w:hAnsi="Noor_Mitra" w:cs="Noor_Mitra"/>
          <w:rtl/>
        </w:rPr>
      </w:pPr>
      <w:r w:rsidRPr="000E7377">
        <w:rPr>
          <w:rStyle w:val="FootnoteReference"/>
          <w:rFonts w:ascii="Noor_Mitra" w:hAnsi="Noor_Mitra" w:cs="Noor_Mitra"/>
        </w:rPr>
        <w:footnoteRef/>
      </w:r>
      <w:r w:rsidRPr="000E7377">
        <w:rPr>
          <w:rFonts w:ascii="Noor_Mitra" w:hAnsi="Noor_Mitra" w:cs="Noor_Mitra"/>
          <w:rtl/>
        </w:rPr>
        <w:t xml:space="preserve"> احمد به علی، ابوبکر رازی حنفی جصاص (م 370 هـ)</w:t>
      </w:r>
    </w:p>
  </w:footnote>
  <w:footnote w:id="15">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احکام القرآن، ج3، ص 530</w:t>
      </w:r>
    </w:p>
  </w:footnote>
  <w:footnote w:id="16">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عبدالعزیز بن عبدالسلام، عزالدین سلمی (م 606 هـ). طبقات الشافعیة، ج8، ص 209</w:t>
      </w:r>
    </w:p>
  </w:footnote>
  <w:footnote w:id="17">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قواعد الاحکام فی مصالح الانام، ص 428</w:t>
      </w:r>
    </w:p>
  </w:footnote>
  <w:footnote w:id="18">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ابوالفتح، محمد بن ابی الحسن بن ابی العطاء، معروف به تقی الدین بن دقیق العید (م 703 هـ) </w:t>
      </w:r>
    </w:p>
  </w:footnote>
  <w:footnote w:id="19">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الاقتراح فی بیا</w:t>
      </w:r>
      <w:r>
        <w:rPr>
          <w:rFonts w:ascii="Noor_Mitra" w:hAnsi="Noor_Mitra" w:cs="Noor_Mitra" w:hint="cs"/>
          <w:rtl/>
        </w:rPr>
        <w:t>ن</w:t>
      </w:r>
      <w:r w:rsidRPr="000E7377">
        <w:rPr>
          <w:rFonts w:ascii="Noor_Mitra" w:hAnsi="Noor_Mitra" w:cs="Noor_Mitra"/>
          <w:rtl/>
        </w:rPr>
        <w:t xml:space="preserve"> الاصطلاح، ص 233</w:t>
      </w:r>
    </w:p>
  </w:footnote>
  <w:footnote w:id="20">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نزهة النظر فی شرح نخبة الفکر، ص 82</w:t>
      </w:r>
    </w:p>
  </w:footnote>
  <w:footnote w:id="21">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تهذیب التهذیب، ج1، ص 85</w:t>
      </w:r>
    </w:p>
  </w:footnote>
  <w:footnote w:id="22">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لسان المیزان، ج1، ص16</w:t>
      </w:r>
    </w:p>
  </w:footnote>
  <w:footnote w:id="23">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محمد بن ابی بکر بن ایوب بن سعد دم</w:t>
      </w:r>
      <w:r>
        <w:rPr>
          <w:rFonts w:ascii="Noor_Mitra" w:hAnsi="Noor_Mitra" w:cs="Noor_Mitra" w:hint="cs"/>
          <w:rtl/>
        </w:rPr>
        <w:t>ش</w:t>
      </w:r>
      <w:r w:rsidRPr="000E7377">
        <w:rPr>
          <w:rFonts w:ascii="Noor_Mitra" w:hAnsi="Noor_Mitra" w:cs="Noor_Mitra"/>
          <w:rtl/>
        </w:rPr>
        <w:t>قی حنبلی (م 751 هـ). البدایة و النهایة، ج14، ص 234</w:t>
      </w:r>
    </w:p>
  </w:footnote>
  <w:footnote w:id="24">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الطرق الحکمیة فی السیاسة الشرعیة، ص 154</w:t>
      </w:r>
    </w:p>
  </w:footnote>
  <w:footnote w:id="25">
    <w:p w:rsidR="002652D3" w:rsidRPr="000E7377" w:rsidRDefault="002652D3" w:rsidP="002652D3">
      <w:pPr>
        <w:pStyle w:val="FootnoteText"/>
        <w:jc w:val="both"/>
        <w:rPr>
          <w:rFonts w:ascii="Noor_Mitra" w:hAnsi="Noor_Mitra" w:cs="Noor_Mitra"/>
          <w:rtl/>
        </w:rPr>
      </w:pPr>
      <w:r w:rsidRPr="000E7377">
        <w:rPr>
          <w:rStyle w:val="FootnoteReference"/>
          <w:rFonts w:ascii="Noor_Mitra" w:hAnsi="Noor_Mitra" w:cs="Noor_Mitra"/>
        </w:rPr>
        <w:footnoteRef/>
      </w:r>
      <w:r w:rsidRPr="000E7377">
        <w:rPr>
          <w:rFonts w:ascii="Noor_Mitra" w:hAnsi="Noor_Mitra" w:cs="Noor_Mitra"/>
          <w:rtl/>
        </w:rPr>
        <w:t xml:space="preserve"> عبدالرزاق بن همام بن نافع، الحافظ الکبیر، عالم الیمن، ابوبکر الحمیری، الثقة الشیعی (م 211 هـ). سیر اعلام النبلاء، ج8، ص 362</w:t>
      </w:r>
    </w:p>
  </w:footnote>
  <w:footnote w:id="26">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سیر اعلام النبلاء، ج8، ص 368</w:t>
      </w:r>
    </w:p>
  </w:footnote>
  <w:footnote w:id="27">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تذکره الحفاظ، ج3، ص 978</w:t>
      </w:r>
    </w:p>
  </w:footnote>
  <w:footnote w:id="28">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الاق</w:t>
      </w:r>
      <w:r>
        <w:rPr>
          <w:rFonts w:ascii="Noor_Mitra" w:hAnsi="Noor_Mitra" w:cs="Noor_Mitra" w:hint="cs"/>
          <w:rtl/>
        </w:rPr>
        <w:t>ت</w:t>
      </w:r>
      <w:r w:rsidRPr="000E7377">
        <w:rPr>
          <w:rFonts w:ascii="Noor_Mitra" w:hAnsi="Noor_Mitra" w:cs="Noor_Mitra"/>
          <w:rtl/>
        </w:rPr>
        <w:t>راح فی بیان الاصطلاح، ص 327</w:t>
      </w:r>
    </w:p>
  </w:footnote>
  <w:footnote w:id="29">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الطرق الحکمیة فی السیاسة الشرعیة، ص 156</w:t>
      </w:r>
    </w:p>
  </w:footnote>
  <w:footnote w:id="30">
    <w:p w:rsidR="002652D3" w:rsidRPr="000E7377" w:rsidRDefault="002652D3" w:rsidP="002652D3">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الارشاد النقاد الی تیسیر الاجتهاد، ص 19- 21</w:t>
      </w:r>
    </w:p>
  </w:footnote>
  <w:footnote w:id="31">
    <w:p w:rsidR="002652D3" w:rsidRPr="000E7377" w:rsidRDefault="002652D3" w:rsidP="002652D3">
      <w:pPr>
        <w:pStyle w:val="FootnoteText"/>
        <w:jc w:val="both"/>
        <w:rPr>
          <w:rFonts w:ascii="Noor_Mitra" w:hAnsi="Noor_Mitra" w:cs="Noor_Mitra"/>
          <w:rtl/>
        </w:rPr>
      </w:pPr>
      <w:r w:rsidRPr="000E7377">
        <w:rPr>
          <w:rStyle w:val="FootnoteReference"/>
          <w:rFonts w:ascii="Noor_Mitra" w:hAnsi="Noor_Mitra" w:cs="Noor_Mitra"/>
        </w:rPr>
        <w:footnoteRef/>
      </w:r>
      <w:r w:rsidRPr="000E7377">
        <w:rPr>
          <w:rFonts w:ascii="Noor_Mitra" w:hAnsi="Noor_Mitra" w:cs="Noor_Mitra"/>
          <w:rtl/>
        </w:rPr>
        <w:t xml:space="preserve"> المجروحین من المحدثین، ج3، ص 63</w:t>
      </w:r>
    </w:p>
  </w:footnote>
  <w:footnote w:id="32">
    <w:p w:rsidR="002652D3" w:rsidRPr="000E7377" w:rsidRDefault="002652D3" w:rsidP="002652D3">
      <w:pPr>
        <w:pStyle w:val="FootnoteText"/>
        <w:jc w:val="both"/>
        <w:rPr>
          <w:rFonts w:ascii="Noor_Mitra" w:hAnsi="Noor_Mitra" w:cs="Noor_Mitra"/>
          <w:rtl/>
        </w:rPr>
      </w:pPr>
      <w:r w:rsidRPr="000E7377">
        <w:rPr>
          <w:rStyle w:val="FootnoteReference"/>
          <w:rFonts w:ascii="Noor_Mitra" w:hAnsi="Noor_Mitra" w:cs="Noor_Mitra"/>
        </w:rPr>
        <w:footnoteRef/>
      </w:r>
      <w:r w:rsidRPr="000E7377">
        <w:rPr>
          <w:rFonts w:ascii="Noor_Mitra" w:hAnsi="Noor_Mitra" w:cs="Noor_Mitra"/>
          <w:rtl/>
        </w:rPr>
        <w:t xml:space="preserve"> التقریر و التحبیر علی التحریر، ج2، ص 240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E40FCD">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ربانی گلپايگانی، تاريخ: </w:t>
    </w:r>
    <w:r w:rsidR="00E40FCD">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E40FCD">
      <w:rPr>
        <w:rFonts w:ascii="Tahoma" w:hAnsi="Tahoma" w:cs="Traditional Arabic" w:hint="cs"/>
        <w:sz w:val="28"/>
        <w:szCs w:val="28"/>
        <w:rtl/>
        <w:lang w:bidi="fa-IR"/>
      </w:rPr>
      <w:t>29</w:t>
    </w:r>
    <w:r>
      <w:rPr>
        <w:rFonts w:ascii="Tahoma" w:hAnsi="Tahoma" w:cs="Traditional Arabic" w:hint="cs"/>
        <w:sz w:val="28"/>
        <w:szCs w:val="28"/>
        <w:rtl/>
        <w:lang w:bidi="fa-IR"/>
      </w:rPr>
      <w:t>/</w:t>
    </w:r>
    <w:r w:rsidR="00D20BFE">
      <w:rPr>
        <w:rFonts w:ascii="Tahoma" w:hAnsi="Tahoma" w:cs="Traditional Arabic" w:hint="cs"/>
        <w:sz w:val="28"/>
        <w:szCs w:val="28"/>
        <w:rtl/>
        <w:lang w:bidi="fa-IR"/>
      </w:rPr>
      <w:t>1</w:t>
    </w:r>
    <w:r w:rsidR="003D57D0">
      <w:rPr>
        <w:rFonts w:ascii="Tahoma" w:hAnsi="Tahoma" w:cs="Traditional Arabic" w:hint="cs"/>
        <w:sz w:val="28"/>
        <w:szCs w:val="28"/>
        <w:rtl/>
        <w:lang w:bidi="fa-IR"/>
      </w:rPr>
      <w:t>1</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613A26">
      <w:rPr>
        <w:rFonts w:ascii="Tahoma" w:hAnsi="Tahoma" w:cs="Traditional Arabic" w:hint="cs"/>
        <w:sz w:val="28"/>
        <w:szCs w:val="28"/>
        <w:rtl/>
        <w:lang w:bidi="fa-IR"/>
      </w:rPr>
      <w:t>8</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363B7"/>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70D0F"/>
    <w:rsid w:val="003723AD"/>
    <w:rsid w:val="00372A3D"/>
    <w:rsid w:val="0039098D"/>
    <w:rsid w:val="0039137C"/>
    <w:rsid w:val="00391B23"/>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57D0"/>
    <w:rsid w:val="003D7D3D"/>
    <w:rsid w:val="003E0384"/>
    <w:rsid w:val="003E3D3A"/>
    <w:rsid w:val="003E606A"/>
    <w:rsid w:val="003F460A"/>
    <w:rsid w:val="003F7BCD"/>
    <w:rsid w:val="00403330"/>
    <w:rsid w:val="00414CCC"/>
    <w:rsid w:val="004167A9"/>
    <w:rsid w:val="00416C32"/>
    <w:rsid w:val="00417867"/>
    <w:rsid w:val="00417A33"/>
    <w:rsid w:val="00417F0D"/>
    <w:rsid w:val="0042053E"/>
    <w:rsid w:val="004223B1"/>
    <w:rsid w:val="0042316A"/>
    <w:rsid w:val="004250D6"/>
    <w:rsid w:val="004256EE"/>
    <w:rsid w:val="00427C71"/>
    <w:rsid w:val="004307B9"/>
    <w:rsid w:val="00431213"/>
    <w:rsid w:val="00431995"/>
    <w:rsid w:val="00436172"/>
    <w:rsid w:val="00440986"/>
    <w:rsid w:val="004444B5"/>
    <w:rsid w:val="00453FAA"/>
    <w:rsid w:val="00457EEF"/>
    <w:rsid w:val="00465656"/>
    <w:rsid w:val="0046603E"/>
    <w:rsid w:val="004754C7"/>
    <w:rsid w:val="004763DD"/>
    <w:rsid w:val="00476F46"/>
    <w:rsid w:val="004802FA"/>
    <w:rsid w:val="00483677"/>
    <w:rsid w:val="0049774B"/>
    <w:rsid w:val="004A2078"/>
    <w:rsid w:val="004A4121"/>
    <w:rsid w:val="004A5661"/>
    <w:rsid w:val="004A762C"/>
    <w:rsid w:val="004B3470"/>
    <w:rsid w:val="004B580A"/>
    <w:rsid w:val="004B6EEB"/>
    <w:rsid w:val="004C1F9D"/>
    <w:rsid w:val="004C3D0F"/>
    <w:rsid w:val="004C4FBC"/>
    <w:rsid w:val="004C5648"/>
    <w:rsid w:val="004D003F"/>
    <w:rsid w:val="004E2290"/>
    <w:rsid w:val="004F0CAE"/>
    <w:rsid w:val="004F1F3F"/>
    <w:rsid w:val="004F3688"/>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6438B"/>
    <w:rsid w:val="00564CE6"/>
    <w:rsid w:val="00565371"/>
    <w:rsid w:val="00566178"/>
    <w:rsid w:val="00567F2A"/>
    <w:rsid w:val="005723D4"/>
    <w:rsid w:val="00573629"/>
    <w:rsid w:val="00574246"/>
    <w:rsid w:val="00576E1F"/>
    <w:rsid w:val="00580C74"/>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D14C4"/>
    <w:rsid w:val="005D462A"/>
    <w:rsid w:val="005E1723"/>
    <w:rsid w:val="005E1AE2"/>
    <w:rsid w:val="005E3AFC"/>
    <w:rsid w:val="005E7817"/>
    <w:rsid w:val="005F1B55"/>
    <w:rsid w:val="005F4C51"/>
    <w:rsid w:val="005F54B6"/>
    <w:rsid w:val="005F65E6"/>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C1"/>
    <w:rsid w:val="0065086D"/>
    <w:rsid w:val="00651B34"/>
    <w:rsid w:val="006538C2"/>
    <w:rsid w:val="0065579C"/>
    <w:rsid w:val="00655A2F"/>
    <w:rsid w:val="0066516D"/>
    <w:rsid w:val="00666F0D"/>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75ED"/>
    <w:rsid w:val="00711193"/>
    <w:rsid w:val="007118E8"/>
    <w:rsid w:val="007135F3"/>
    <w:rsid w:val="0072520D"/>
    <w:rsid w:val="00731208"/>
    <w:rsid w:val="00731230"/>
    <w:rsid w:val="00734378"/>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7099B"/>
    <w:rsid w:val="00772D9C"/>
    <w:rsid w:val="007744E3"/>
    <w:rsid w:val="0077565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2ADD"/>
    <w:rsid w:val="00955D90"/>
    <w:rsid w:val="00956E8D"/>
    <w:rsid w:val="0096094F"/>
    <w:rsid w:val="009657C5"/>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E1E66"/>
    <w:rsid w:val="009E5230"/>
    <w:rsid w:val="009F2455"/>
    <w:rsid w:val="009F399D"/>
    <w:rsid w:val="009F5C9D"/>
    <w:rsid w:val="009F72F8"/>
    <w:rsid w:val="009F7F5D"/>
    <w:rsid w:val="00A00296"/>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CC0"/>
    <w:rsid w:val="00B15D53"/>
    <w:rsid w:val="00B2014B"/>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4318"/>
    <w:rsid w:val="00BA4DD6"/>
    <w:rsid w:val="00BB34AA"/>
    <w:rsid w:val="00BB71B0"/>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E0C"/>
    <w:rsid w:val="00D912E2"/>
    <w:rsid w:val="00D96151"/>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0FCD"/>
    <w:rsid w:val="00E42881"/>
    <w:rsid w:val="00E42929"/>
    <w:rsid w:val="00E44EE8"/>
    <w:rsid w:val="00E46B15"/>
    <w:rsid w:val="00E51A3E"/>
    <w:rsid w:val="00E52364"/>
    <w:rsid w:val="00E557A1"/>
    <w:rsid w:val="00E6134C"/>
    <w:rsid w:val="00E65E93"/>
    <w:rsid w:val="00E66AF1"/>
    <w:rsid w:val="00E66C61"/>
    <w:rsid w:val="00E7354B"/>
    <w:rsid w:val="00E73A9D"/>
    <w:rsid w:val="00E742A7"/>
    <w:rsid w:val="00E747B5"/>
    <w:rsid w:val="00E75EA0"/>
    <w:rsid w:val="00E82945"/>
    <w:rsid w:val="00E84260"/>
    <w:rsid w:val="00E844D8"/>
    <w:rsid w:val="00EA2C89"/>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394B0CF-7579-41EB-B73C-EEAC5F5E3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1400</Words>
  <Characters>7986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9368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3</cp:revision>
  <dcterms:created xsi:type="dcterms:W3CDTF">2020-02-18T10:22:00Z</dcterms:created>
  <dcterms:modified xsi:type="dcterms:W3CDTF">2020-02-18T10:23:00Z</dcterms:modified>
</cp:coreProperties>
</file>