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Pr="005059D5" w:rsidRDefault="00D63823" w:rsidP="00756D6E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5059D5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 w:rsidRPr="005059D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756D6E" w:rsidRPr="005059D5">
        <w:rPr>
          <w:rFonts w:ascii="Traditional Arabic" w:hAnsi="Traditional Arabic" w:cs="Traditional Arabic" w:hint="cs"/>
          <w:sz w:val="28"/>
          <w:szCs w:val="28"/>
          <w:rtl/>
        </w:rPr>
        <w:t>دلالت آيه ولايت بر امامت اميرالمومنين (ع)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color w:val="FF0000"/>
          <w:sz w:val="28"/>
          <w:szCs w:val="28"/>
          <w:lang w:bidi="fa-IR"/>
        </w:rPr>
      </w:pP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مساله س</w:t>
      </w:r>
      <w:r w:rsidR="005059D5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اق در مورد آ</w:t>
      </w:r>
      <w:r w:rsidR="005059D5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ه ولا</w:t>
      </w:r>
      <w:r w:rsidR="005059D5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ت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سخن در بررس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بود که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(سوره مائده ،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55) در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آنها قرار دارد. عمده دل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که اهل سنت بر مدعا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خو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ش که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را محبت و نصرت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دانند و نه امامت، دل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ل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است. آنان گفته اند از آنجا که در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قبل از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مساله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اهل کتاب مطرح است و مراد از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در آنجا ولاء محبت و نصرت است،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در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55 که در همان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قرار دارد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ز همان معنا است.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عالمان ش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ع</w:t>
      </w:r>
      <w:bookmarkStart w:id="0" w:name="_GoBack"/>
      <w:bookmarkEnd w:id="0"/>
      <w:r w:rsidRPr="005059D5">
        <w:rPr>
          <w:rFonts w:cs="Traditional Arabic" w:hint="cs"/>
          <w:sz w:val="28"/>
          <w:szCs w:val="28"/>
          <w:rtl/>
          <w:lang w:bidi="fa-IR"/>
        </w:rPr>
        <w:t>ه در مقابل مساله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نوعا آن را انکار کرده اند و گفته اند صرف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نکه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پشت سر هم قرار گرفته است در بهره 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کاف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ست بلکه با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از جهت معنا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ز با هم مرتبط باشد.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نان مستند به روا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شان نزول گفته اند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55 به صورت مستقل نازل شده و قرار 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آن در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به جهت حکمت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بوده است.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مرحوم علامه طباطبا</w:t>
      </w:r>
      <w:r w:rsidR="005059D5">
        <w:rPr>
          <w:rFonts w:cs="Traditional Arabic" w:hint="cs"/>
          <w:sz w:val="28"/>
          <w:szCs w:val="28"/>
          <w:rtl/>
          <w:lang w:bidi="fa-IR"/>
        </w:rPr>
        <w:t>يي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که کلامش در جلسه گذشته ب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شد هر چند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54 و قض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ارتداد را مرتبط با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قبل از آن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داند اما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را در مورد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55 (آ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ت) نپذ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رفته و آن را مستقل دانسته است.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نکته: در مورد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نکه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 ترت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ب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قرآن کر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م توق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ف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است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 غ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 آن دو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دگاه مطرح شده است: برخ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آن را توق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ف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دانسته و که توسط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اکرم (ص) صورت گرفته است. برخ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گر آن را اجتهاد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دانسته که توسط صحابه و بعد از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اکرم (ص) شکل گرفته است. مرحوم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مرتض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الله خو</w:t>
      </w:r>
      <w:r w:rsidR="005059D5">
        <w:rPr>
          <w:rFonts w:cs="Traditional Arabic" w:hint="cs"/>
          <w:sz w:val="28"/>
          <w:szCs w:val="28"/>
          <w:rtl/>
          <w:lang w:bidi="fa-IR"/>
        </w:rPr>
        <w:t>يي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از جمله طرفداران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دگاه اول هستند.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 xml:space="preserve"> 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color w:val="FF0000"/>
          <w:sz w:val="28"/>
          <w:szCs w:val="28"/>
          <w:rtl/>
          <w:lang w:bidi="fa-IR"/>
        </w:rPr>
      </w:pP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ارز</w:t>
      </w:r>
      <w:r w:rsidR="005059D5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اب</w:t>
      </w:r>
      <w:r w:rsidR="005059D5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باره چند نکته قابل توجه است: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1. به نظر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رسد انکار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مشکل باشد خصوصا با توجه با اصل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و ترت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ب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و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نکه خلاف آن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ازمند دل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ل است.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2. تلق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عالمان ش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عه رد شان نزول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در مورد عباده بن صامت و عبدالله بن اب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بوده است ز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امر را با روا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که شان نزول آن را در باره ام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رالمومن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(ع) ب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کرده است ناسازگار دانسته اند. به هم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خاطر آنان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شان نزول را که در کتب اهل سنت آمده است رد کرده و شان نزول آن در مورد حضرت ام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رالمومن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(ع)‌ که فر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ق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آن را نقل کرده اند پذ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رفته اند. در آنجا آمده است که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51 تا 54 مربوط به عبدالله بن اب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است که رابطه خود را با اهل کتاب قطع نکرد و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55 مربوط به عباده بن صامت است که با اهل کتاب قطع رابطه کرد و سو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اکرم (ص) رو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آورد.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lastRenderedPageBreak/>
        <w:t>اما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دو شان نزول مانعه الجمع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ستند ز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تواند فعل عباده را تا</w:t>
      </w:r>
      <w:r w:rsidR="005059D5">
        <w:rPr>
          <w:rFonts w:cs="Traditional Arabic" w:hint="cs"/>
          <w:sz w:val="28"/>
          <w:szCs w:val="28"/>
          <w:rtl/>
          <w:lang w:bidi="fa-IR"/>
        </w:rPr>
        <w:t>يي</w:t>
      </w:r>
      <w:r w:rsidRPr="005059D5">
        <w:rPr>
          <w:rFonts w:cs="Traditional Arabic" w:hint="cs"/>
          <w:sz w:val="28"/>
          <w:szCs w:val="28"/>
          <w:rtl/>
          <w:lang w:bidi="fa-IR"/>
        </w:rPr>
        <w:t>د کند در ع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حال ب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کند که مصداق «الذ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آمنوا»، حضرت ام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رالمومن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(ع) است .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دو مطلب در تعارض با هم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ستند. اگر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دو قض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به لحاظ تار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خ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در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ک زمان اتفاق افتاده باشند ، هم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نزول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تواند به هر دو مساله اشاره داشته باشد اما اگر در دو مرحله رخ داده باشد 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صورت با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قائل به تعدد نزول شو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م.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3. نکته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نکه صرف روا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شان نزول نم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تواند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را به هم بزند ز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ان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ک مصداق از م.... بنابرا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در ع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حال که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را نف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نم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م ب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م که دلالت در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ه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 تنها به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زعامت است و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ا اعم است از محبت و نصرت و زعامت 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color w:val="FF0000"/>
          <w:sz w:val="28"/>
          <w:szCs w:val="28"/>
          <w:rtl/>
          <w:lang w:bidi="fa-IR"/>
        </w:rPr>
      </w:pP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وجوه دلالت آ</w:t>
      </w:r>
      <w:r w:rsidR="005059D5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ه بر مساله امامت در ع</w:t>
      </w:r>
      <w:r w:rsidR="005059D5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ن حفظ س</w:t>
      </w:r>
      <w:r w:rsidR="005059D5">
        <w:rPr>
          <w:rFonts w:cs="Traditional Arabic" w:hint="cs"/>
          <w:color w:val="FF0000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color w:val="FF0000"/>
          <w:sz w:val="28"/>
          <w:szCs w:val="28"/>
          <w:rtl/>
          <w:lang w:bidi="fa-IR"/>
        </w:rPr>
        <w:t>اق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1. آنچه در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اق مهم است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ک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ارتباط لفظ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و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گر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وند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از جهت معنا است . 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نجا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ز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منه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(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عن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51 تا 54) با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مطلوبه (آ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55) دارا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جامع هستند و آن وقت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است که کلمه ول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را جامع معنو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در سه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مورد نظر بدان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م.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محبت و نصرت با امامت و زعامت در ارتباط است و آن همان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جامع است که اولو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ت و قرب است.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برا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وجه دو مثال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گو</w:t>
      </w:r>
      <w:r w:rsidR="005059D5">
        <w:rPr>
          <w:rFonts w:cs="Traditional Arabic" w:hint="cs"/>
          <w:sz w:val="28"/>
          <w:szCs w:val="28"/>
          <w:rtl/>
          <w:lang w:bidi="fa-IR"/>
        </w:rPr>
        <w:t>يي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م: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الف)‌ در کتاب کاف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روا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آمده است که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اکرم (ص) وارد مسجد شدند و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دند مردم دور فرد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جمع شده اند . وقت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سوال کردند، گفته شد او علامه است ز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 به علم انساب عرب و اشعار جاهل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آشنا است. حضرت فرمودند: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علم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است که ندانستن آن ضرر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جاد نکرده و دانستن آن نفع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ندارد. بعد فرمودند: «إِنَّمَا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الْعِلْمُ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ثَلَاثَةٌ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آيَةٌ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مُحْكَمَةٌ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أَوْ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فَرِيضَةٌ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عَادِلَةٌ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أَوْ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سُنَّةٌ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قَائِمَةٌ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وَ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مَا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خَلَاهُنَّ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فَهُوَ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فَضْل‏»</w:t>
      </w:r>
      <w:r w:rsidRPr="005059D5">
        <w:rPr>
          <w:rStyle w:val="FootnoteReference"/>
          <w:rFonts w:cs="Traditional Arabic"/>
          <w:sz w:val="28"/>
          <w:szCs w:val="28"/>
          <w:rtl/>
          <w:lang w:bidi="fa-IR"/>
        </w:rPr>
        <w:footnoteReference w:id="1"/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جامع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علم عقا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و اخلاق و احکام، همان علم بودن است و الا اگر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جامع برداشته شود رابطه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آنها برقرار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ست.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ب) در مثال عرف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،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ک نفر که علم شعبده و سحر را از استاد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فرا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رد، مرشد ناصح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به او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گو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د: فلان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که از او علم را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آموز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معلم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ست، معلم ابن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نا و علامه طباطبا</w:t>
      </w:r>
      <w:r w:rsidR="005059D5">
        <w:rPr>
          <w:rFonts w:cs="Traditional Arabic" w:hint="cs"/>
          <w:sz w:val="28"/>
          <w:szCs w:val="28"/>
          <w:rtl/>
          <w:lang w:bidi="fa-IR"/>
        </w:rPr>
        <w:t>يي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 شه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مطهر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 ... است.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اشکال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که اهل سنت 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باره دارند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است که 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اق دلالت دارد که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در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ه، امامت و زعامت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ست . بر اساس آنچه گفته شد روشن شد که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اشکال نادرست است و دارا بودن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امامت در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اشکال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ندارد و ناهماهنگ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ست. اما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نکه از کجا بدست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که مراد از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مطلوبه،‌ امامت است وجوه و دلا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ل آن قبلا ب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شد مانند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نکه گفته شد از </w:t>
      </w:r>
      <w:r w:rsidRPr="005059D5">
        <w:rPr>
          <w:rFonts w:cs="Traditional Arabic" w:hint="cs"/>
          <w:sz w:val="28"/>
          <w:szCs w:val="28"/>
          <w:rtl/>
          <w:lang w:bidi="fa-IR"/>
        </w:rPr>
        <w:lastRenderedPageBreak/>
        <w:t>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نکه کلمه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قبل از «الذ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آمنوا» به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اکرم (ص) استناد داده شده است و آن حضرت قطعا دارا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سه مقام محبت و نصرت و امامت مومن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بودند، هم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سه معنا در مورد الذ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آمنوا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ز وجود دارد که بدون تکرار کلمه ول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پشت سر آن آمده است.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2. وجه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است که بگو</w:t>
      </w:r>
      <w:r w:rsidR="005059D5">
        <w:rPr>
          <w:rFonts w:cs="Traditional Arabic" w:hint="cs"/>
          <w:sz w:val="28"/>
          <w:szCs w:val="28"/>
          <w:rtl/>
          <w:lang w:bidi="fa-IR"/>
        </w:rPr>
        <w:t>يي</w:t>
      </w:r>
      <w:r w:rsidRPr="005059D5">
        <w:rPr>
          <w:rFonts w:cs="Traditional Arabic" w:hint="cs"/>
          <w:sz w:val="28"/>
          <w:szCs w:val="28"/>
          <w:rtl/>
          <w:lang w:bidi="fa-IR"/>
        </w:rPr>
        <w:t>م علاوه بر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جامع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منه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و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مطلوبه،  مصداق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ز مشخص شده است .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در مورد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اکرم (ص) شامل همه مقام ها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محبت و نصرت و امامت است . حال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ام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رالمومن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(ع)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ز که با آن اتصال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افته است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است که هر سه مقام را دارد 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3. وجه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است که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منه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و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مطلوبه را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محبت و نصرت بگ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م اما بگو</w:t>
      </w:r>
      <w:r w:rsidR="005059D5">
        <w:rPr>
          <w:rFonts w:cs="Traditional Arabic" w:hint="cs"/>
          <w:sz w:val="28"/>
          <w:szCs w:val="28"/>
          <w:rtl/>
          <w:lang w:bidi="fa-IR"/>
        </w:rPr>
        <w:t>يي</w:t>
      </w:r>
      <w:r w:rsidRPr="005059D5">
        <w:rPr>
          <w:rFonts w:cs="Traditional Arabic" w:hint="cs"/>
          <w:sz w:val="28"/>
          <w:szCs w:val="28"/>
          <w:rtl/>
          <w:lang w:bidi="fa-IR"/>
        </w:rPr>
        <w:t>م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در مورد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(ص)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متناسب با شان نبوت است و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متناسب با شان آن حضرت، ملازم با زعامت است . هم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در مورد الذ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آمنوا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ز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.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4.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در منه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همان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محبت و نصرت است اما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مطلوبه به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امامت است، با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حال ارتباط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برقرار است . ز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 بلاشک ارتباط با اهل کتاب 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ات نه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شده است، مطلق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ست ز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را خود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اکرم (ص)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ز گاه با آنان ارتباط برقرار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کردند.  مع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ار جواز و عدم جواز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ارتباط به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اکرم (ص)‌ و وص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شان باز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گردد که بر اساس خ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 و صلاح مسلم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آن را اجازه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دهند.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فرما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د مومنان حق ندارند سر خود با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هود و اهل کتاب ارتباط برقرار کنند بلکه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مساله با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به صلاح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ول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امر باشد. بنابرا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نجا ارتباط حکم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دو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ت برقرار است 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5.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منه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در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محبت و نصرت و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مطلوبه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امامت است . در جهان ب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اسلام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و زعامت، لوازم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دارد که محبت و نصرت از آن جمله است . قرآن کر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م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ک جا درباره پ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امبر اکرم (ص)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فرما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د: «النَّبِيُّ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أَوْلى‏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بِالْمُؤْمِنينَ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مِنْ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أَنْفُسِهِم‏»</w:t>
      </w:r>
      <w:r w:rsidRPr="005059D5">
        <w:rPr>
          <w:rStyle w:val="FootnoteReference"/>
          <w:rFonts w:cs="Traditional Arabic"/>
          <w:sz w:val="28"/>
          <w:szCs w:val="28"/>
          <w:rtl/>
          <w:lang w:bidi="fa-IR"/>
        </w:rPr>
        <w:footnoteReference w:id="2"/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 در جا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گر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فرما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د: «لَقَدْ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جاءَكُمْ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رَسُولٌ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مِنْ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أَنْفُسِكُمْ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عَزيزٌ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عَلَيْهِ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ما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عَنِتُّمْ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حَريصٌ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عَلَيْكُمْ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بِالْمُؤْمِنينَ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رَؤُفٌ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رَحيمٌ</w:t>
      </w:r>
      <w:r w:rsidRPr="005059D5">
        <w:rPr>
          <w:rFonts w:cs="Traditional Arabic"/>
          <w:sz w:val="28"/>
          <w:szCs w:val="28"/>
          <w:rtl/>
          <w:lang w:bidi="fa-IR"/>
        </w:rPr>
        <w:t xml:space="preserve"> </w:t>
      </w:r>
      <w:r w:rsidRPr="005059D5">
        <w:rPr>
          <w:rFonts w:cs="Traditional Arabic" w:hint="cs"/>
          <w:sz w:val="28"/>
          <w:szCs w:val="28"/>
          <w:rtl/>
          <w:lang w:bidi="fa-IR"/>
        </w:rPr>
        <w:t>»</w:t>
      </w:r>
      <w:r w:rsidRPr="005059D5">
        <w:rPr>
          <w:rStyle w:val="FootnoteReference"/>
          <w:rFonts w:cs="Traditional Arabic"/>
          <w:sz w:val="28"/>
          <w:szCs w:val="28"/>
          <w:rtl/>
          <w:lang w:bidi="fa-IR"/>
        </w:rPr>
        <w:footnoteReference w:id="3"/>
      </w:r>
      <w:r w:rsidRPr="005059D5">
        <w:rPr>
          <w:rFonts w:cs="Traditional Arabic" w:hint="cs"/>
          <w:sz w:val="28"/>
          <w:szCs w:val="28"/>
          <w:rtl/>
          <w:lang w:bidi="fa-IR"/>
        </w:rPr>
        <w:t>. در اسلام امامت و زعامت لوازم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دارد که از جمله آنها خ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رخواه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 محبت و نصرت نسبت به مومن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است . در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نجا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ت 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ک معنا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مطابق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دارد و آن معنا لوازم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دارد که از آن جمله محبت و نصرت است . اگر کس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کلمه ول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را مشترک لفظ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بداند ،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وجه برا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و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مناسب است 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t>6. اساسا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در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منه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اعم است. شما چگونه آن را منحصر در محبت و نصرت دانسته 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د. قرآن کر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م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فرما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مومنان نبا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د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اهل کتاب اعم از محبت و نصرت و زعامت آنان را بپذ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رند. در طول تار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خ متاسفانه پذ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رش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زعاعت غ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ر مسلمانان از سو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مسلمانان فراوان رخ داده و مشکلات فراوان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را برا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آنها به همراه داشته است . قرآن کر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م مومنان را از چن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نه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نموده است .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ه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ن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ز هم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 سه معنا را به عنوان ولا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ت مطلوب ب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ان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کند . </w:t>
      </w:r>
    </w:p>
    <w:p w:rsidR="00DA39B4" w:rsidRPr="005059D5" w:rsidRDefault="00DA39B4" w:rsidP="00DA39B4">
      <w:pPr>
        <w:spacing w:after="160" w:line="259" w:lineRule="auto"/>
        <w:jc w:val="both"/>
        <w:rPr>
          <w:rFonts w:cs="Traditional Arabic"/>
          <w:sz w:val="28"/>
          <w:szCs w:val="28"/>
          <w:rtl/>
          <w:lang w:bidi="fa-IR"/>
        </w:rPr>
      </w:pPr>
      <w:r w:rsidRPr="005059D5">
        <w:rPr>
          <w:rFonts w:cs="Traditional Arabic" w:hint="cs"/>
          <w:sz w:val="28"/>
          <w:szCs w:val="28"/>
          <w:rtl/>
          <w:lang w:bidi="fa-IR"/>
        </w:rPr>
        <w:lastRenderedPageBreak/>
        <w:t>ادامه بحث انشاء الله در سال آ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>نده دنبال م</w:t>
      </w:r>
      <w:r w:rsidR="005059D5">
        <w:rPr>
          <w:rFonts w:cs="Traditional Arabic" w:hint="cs"/>
          <w:sz w:val="28"/>
          <w:szCs w:val="28"/>
          <w:rtl/>
          <w:lang w:bidi="fa-IR"/>
        </w:rPr>
        <w:t>ي</w:t>
      </w:r>
      <w:r w:rsidRPr="005059D5">
        <w:rPr>
          <w:rFonts w:cs="Traditional Arabic" w:hint="cs"/>
          <w:sz w:val="28"/>
          <w:szCs w:val="28"/>
          <w:rtl/>
          <w:lang w:bidi="fa-IR"/>
        </w:rPr>
        <w:t xml:space="preserve"> شود. </w:t>
      </w:r>
    </w:p>
    <w:sectPr w:rsidR="00DA39B4" w:rsidRPr="005059D5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F15" w:rsidRDefault="00792F15" w:rsidP="00BC6EBB">
      <w:pPr>
        <w:spacing w:after="0" w:line="240" w:lineRule="auto"/>
      </w:pPr>
      <w:r>
        <w:separator/>
      </w:r>
    </w:p>
  </w:endnote>
  <w:endnote w:type="continuationSeparator" w:id="0">
    <w:p w:rsidR="00792F15" w:rsidRDefault="00792F15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F15" w:rsidRDefault="00792F15" w:rsidP="00BC6EBB">
      <w:pPr>
        <w:spacing w:after="0" w:line="240" w:lineRule="auto"/>
      </w:pPr>
      <w:r>
        <w:separator/>
      </w:r>
    </w:p>
  </w:footnote>
  <w:footnote w:type="continuationSeparator" w:id="0">
    <w:p w:rsidR="00792F15" w:rsidRDefault="00792F15" w:rsidP="00BC6EBB">
      <w:pPr>
        <w:spacing w:after="0" w:line="240" w:lineRule="auto"/>
      </w:pPr>
      <w:r>
        <w:continuationSeparator/>
      </w:r>
    </w:p>
  </w:footnote>
  <w:footnote w:id="1">
    <w:p w:rsidR="00DA39B4" w:rsidRDefault="00DA39B4" w:rsidP="00DA39B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کافی، مرحوم کلینی، ج1، ص32</w:t>
      </w:r>
    </w:p>
  </w:footnote>
  <w:footnote w:id="2">
    <w:p w:rsidR="00DA39B4" w:rsidRDefault="00DA39B4" w:rsidP="00DA39B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r>
        <w:rPr>
          <w:rFonts w:hint="cs"/>
          <w:rtl/>
          <w:lang w:bidi="fa-IR"/>
        </w:rPr>
        <w:t>احزاب، آیه 6</w:t>
      </w:r>
    </w:p>
  </w:footnote>
  <w:footnote w:id="3">
    <w:p w:rsidR="00DA39B4" w:rsidRDefault="00DA39B4" w:rsidP="00DA39B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r>
        <w:rPr>
          <w:rFonts w:hint="cs"/>
          <w:rtl/>
          <w:lang w:bidi="fa-IR"/>
        </w:rPr>
        <w:t>توبه، آیه 128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83406E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522F0D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83406E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83406E">
      <w:rPr>
        <w:rFonts w:ascii="Tahoma" w:hAnsi="Tahoma" w:cs="Traditional Arabic" w:hint="cs"/>
        <w:sz w:val="28"/>
        <w:szCs w:val="28"/>
        <w:rtl/>
        <w:lang w:bidi="fa-IR"/>
      </w:rPr>
      <w:t>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5EFA"/>
    <w:rsid w:val="00072DA3"/>
    <w:rsid w:val="00073D9E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7565"/>
    <w:rsid w:val="00197846"/>
    <w:rsid w:val="001A04EB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65656"/>
    <w:rsid w:val="0046603E"/>
    <w:rsid w:val="004754C7"/>
    <w:rsid w:val="004763DD"/>
    <w:rsid w:val="00476F46"/>
    <w:rsid w:val="004802FA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6501"/>
    <w:rsid w:val="00502899"/>
    <w:rsid w:val="00502CC0"/>
    <w:rsid w:val="0050373A"/>
    <w:rsid w:val="0050474C"/>
    <w:rsid w:val="005059D5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257C"/>
    <w:rsid w:val="00624BF9"/>
    <w:rsid w:val="0062582C"/>
    <w:rsid w:val="00625E48"/>
    <w:rsid w:val="00626FF2"/>
    <w:rsid w:val="00631631"/>
    <w:rsid w:val="00631FDF"/>
    <w:rsid w:val="00632988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6F0D"/>
    <w:rsid w:val="00667AAA"/>
    <w:rsid w:val="006705F8"/>
    <w:rsid w:val="006734DB"/>
    <w:rsid w:val="00674254"/>
    <w:rsid w:val="00675E52"/>
    <w:rsid w:val="0068025E"/>
    <w:rsid w:val="006828FC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2F15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644D"/>
    <w:rsid w:val="008B03D3"/>
    <w:rsid w:val="008B08D7"/>
    <w:rsid w:val="008B1E77"/>
    <w:rsid w:val="008B267E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6BF"/>
    <w:rsid w:val="00C01C35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79CB"/>
    <w:rsid w:val="00C80157"/>
    <w:rsid w:val="00C8123D"/>
    <w:rsid w:val="00C83143"/>
    <w:rsid w:val="00C84A5B"/>
    <w:rsid w:val="00C87928"/>
    <w:rsid w:val="00C9243F"/>
    <w:rsid w:val="00C969F6"/>
    <w:rsid w:val="00C96E12"/>
    <w:rsid w:val="00CA0F6D"/>
    <w:rsid w:val="00CA29FE"/>
    <w:rsid w:val="00CA3B8D"/>
    <w:rsid w:val="00CA415E"/>
    <w:rsid w:val="00CA4F06"/>
    <w:rsid w:val="00CC121B"/>
    <w:rsid w:val="00CC3BBC"/>
    <w:rsid w:val="00CC5BF3"/>
    <w:rsid w:val="00CC6BA7"/>
    <w:rsid w:val="00CD1540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12E2"/>
    <w:rsid w:val="00D96151"/>
    <w:rsid w:val="00DA39B4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2100E"/>
    <w:rsid w:val="00E255E9"/>
    <w:rsid w:val="00E302FA"/>
    <w:rsid w:val="00E311B1"/>
    <w:rsid w:val="00E3140B"/>
    <w:rsid w:val="00E3594B"/>
    <w:rsid w:val="00E401F0"/>
    <w:rsid w:val="00E42881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B2C8120-7429-48DB-B322-74D5C8DA6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3</cp:revision>
  <dcterms:created xsi:type="dcterms:W3CDTF">2019-09-24T16:56:00Z</dcterms:created>
  <dcterms:modified xsi:type="dcterms:W3CDTF">2019-09-24T16:57:00Z</dcterms:modified>
</cp:coreProperties>
</file>