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213EDB" w:rsidRDefault="00821F94" w:rsidP="00213EDB">
      <w:pPr>
        <w:bidi/>
        <w:spacing w:line="276" w:lineRule="auto"/>
        <w:ind w:firstLine="288"/>
        <w:jc w:val="both"/>
        <w:rPr>
          <w:rFonts w:cs="B Nazanin"/>
          <w:sz w:val="28"/>
          <w:szCs w:val="28"/>
          <w:rtl/>
          <w:lang w:bidi="fa-IR"/>
        </w:rPr>
      </w:pPr>
      <w:r w:rsidRPr="00213EDB">
        <w:rPr>
          <w:rFonts w:cs="B Nazanin" w:hint="cs"/>
          <w:sz w:val="28"/>
          <w:szCs w:val="28"/>
          <w:rtl/>
          <w:lang w:bidi="fa-IR"/>
        </w:rPr>
        <w:t>بسم الله الرحمن الرحیم</w:t>
      </w:r>
    </w:p>
    <w:p w:rsidR="00821F94" w:rsidRPr="00213EDB" w:rsidRDefault="00A04D2C" w:rsidP="00213EDB">
      <w:pPr>
        <w:bidi/>
        <w:spacing w:line="276" w:lineRule="auto"/>
        <w:ind w:firstLine="288"/>
        <w:jc w:val="both"/>
        <w:rPr>
          <w:rFonts w:cs="B Nazanin"/>
          <w:sz w:val="28"/>
          <w:szCs w:val="28"/>
          <w:lang w:bidi="fa-IR"/>
        </w:rPr>
      </w:pPr>
      <w:r w:rsidRPr="00213EDB">
        <w:rPr>
          <w:rFonts w:cs="B Nazanin" w:hint="cs"/>
          <w:sz w:val="28"/>
          <w:szCs w:val="28"/>
          <w:rtl/>
          <w:lang w:bidi="fa-IR"/>
        </w:rPr>
        <w:t xml:space="preserve">درس خارج اصول، </w:t>
      </w:r>
      <w:r w:rsidR="0079303A" w:rsidRPr="00213EDB">
        <w:rPr>
          <w:rFonts w:cs="B Nazanin" w:hint="cs"/>
          <w:sz w:val="28"/>
          <w:szCs w:val="28"/>
          <w:rtl/>
          <w:lang w:bidi="fa-IR"/>
        </w:rPr>
        <w:t xml:space="preserve">شنبه </w:t>
      </w:r>
      <w:r w:rsidR="009B007F" w:rsidRPr="00213EDB">
        <w:rPr>
          <w:rFonts w:cs="B Nazanin" w:hint="cs"/>
          <w:sz w:val="28"/>
          <w:szCs w:val="28"/>
          <w:rtl/>
          <w:lang w:bidi="fa-IR"/>
        </w:rPr>
        <w:t>18</w:t>
      </w:r>
      <w:r w:rsidR="00821F94" w:rsidRPr="00213EDB">
        <w:rPr>
          <w:rFonts w:cs="B Nazanin" w:hint="cs"/>
          <w:sz w:val="28"/>
          <w:szCs w:val="28"/>
          <w:rtl/>
          <w:lang w:bidi="fa-IR"/>
        </w:rPr>
        <w:t>/</w:t>
      </w:r>
      <w:r w:rsidR="00E44EE7" w:rsidRPr="00213EDB">
        <w:rPr>
          <w:rFonts w:cs="B Nazanin" w:hint="cs"/>
          <w:sz w:val="28"/>
          <w:szCs w:val="28"/>
          <w:rtl/>
          <w:lang w:bidi="fa-IR"/>
        </w:rPr>
        <w:t>02</w:t>
      </w:r>
      <w:r w:rsidR="00821F94" w:rsidRPr="00213EDB">
        <w:rPr>
          <w:rFonts w:cs="B Nazanin" w:hint="cs"/>
          <w:sz w:val="28"/>
          <w:szCs w:val="28"/>
          <w:rtl/>
          <w:lang w:bidi="fa-IR"/>
        </w:rPr>
        <w:t>/</w:t>
      </w:r>
      <w:r w:rsidR="00CF4847" w:rsidRPr="00213EDB">
        <w:rPr>
          <w:rFonts w:cs="B Nazanin" w:hint="cs"/>
          <w:sz w:val="28"/>
          <w:szCs w:val="28"/>
          <w:rtl/>
          <w:lang w:bidi="fa-IR"/>
        </w:rPr>
        <w:t>1395</w:t>
      </w:r>
    </w:p>
    <w:p w:rsidR="00661468" w:rsidRPr="00213EDB" w:rsidRDefault="00AE4670" w:rsidP="00213EDB">
      <w:pPr>
        <w:bidi/>
        <w:ind w:firstLine="288"/>
        <w:jc w:val="both"/>
        <w:rPr>
          <w:rFonts w:cs="B Titr"/>
          <w:sz w:val="28"/>
          <w:szCs w:val="28"/>
          <w:rtl/>
          <w:lang w:bidi="fa-IR"/>
        </w:rPr>
      </w:pPr>
      <w:r w:rsidRPr="00213EDB">
        <w:rPr>
          <w:rFonts w:cs="B Titr" w:hint="cs"/>
          <w:sz w:val="28"/>
          <w:szCs w:val="28"/>
          <w:rtl/>
          <w:lang w:bidi="fa-IR"/>
        </w:rPr>
        <w:t>اجزاء امر اضطراری از اختیاری به حسب مقام اثبات</w:t>
      </w:r>
    </w:p>
    <w:p w:rsidR="00213EDB" w:rsidRPr="00213EDB" w:rsidRDefault="00213EDB" w:rsidP="00213EDB">
      <w:pPr>
        <w:bidi/>
        <w:ind w:firstLine="288"/>
        <w:jc w:val="both"/>
        <w:rPr>
          <w:rFonts w:cs="B Titr"/>
          <w:sz w:val="28"/>
          <w:szCs w:val="28"/>
          <w:rtl/>
        </w:rPr>
      </w:pPr>
      <w:r w:rsidRPr="00213EDB">
        <w:rPr>
          <w:rFonts w:cs="B Titr" w:hint="cs"/>
          <w:sz w:val="28"/>
          <w:szCs w:val="28"/>
          <w:rtl/>
        </w:rPr>
        <w:t>فرمایش محقق خوئی</w:t>
      </w:r>
    </w:p>
    <w:p w:rsidR="00213EDB" w:rsidRPr="00213EDB" w:rsidRDefault="00213EDB" w:rsidP="00213EDB">
      <w:pPr>
        <w:bidi/>
        <w:ind w:firstLine="288"/>
        <w:jc w:val="both"/>
        <w:rPr>
          <w:rFonts w:cs="B Nazanin"/>
          <w:sz w:val="28"/>
          <w:szCs w:val="28"/>
          <w:rtl/>
        </w:rPr>
      </w:pPr>
      <w:r w:rsidRPr="00213EDB">
        <w:rPr>
          <w:rFonts w:cs="B Nazanin" w:hint="cs"/>
          <w:sz w:val="28"/>
          <w:szCs w:val="28"/>
          <w:rtl/>
        </w:rPr>
        <w:t>نظر محقق خوئی نفی اجزاء بود از این بابت که موضوع تکلیف و مامور به اضطراری عجز از مامور به اختیاری است، مامور به اختیاری هم جامع بین افراد طولیه است، فرد واحدی از اول تا آخر وقت، هر کدام قابل امتثال باشد همان مامور به اختیاری است به همین دلیل عجز از طبیعت صدق نمی کند مگر به عجز از جمیع افراد و این همان عجز مستوعب در تمام وقت است، برای همین</w:t>
      </w:r>
      <w:r>
        <w:rPr>
          <w:rFonts w:cs="B Nazanin" w:hint="cs"/>
          <w:sz w:val="28"/>
          <w:szCs w:val="28"/>
          <w:rtl/>
        </w:rPr>
        <w:t>،</w:t>
      </w:r>
      <w:r w:rsidRPr="00213EDB">
        <w:rPr>
          <w:rFonts w:cs="B Nazanin" w:hint="cs"/>
          <w:sz w:val="28"/>
          <w:szCs w:val="28"/>
          <w:rtl/>
        </w:rPr>
        <w:t xml:space="preserve"> کسی که در اول وقت فاقد الماء است اگر نماز با تیمم بخواند و بعدا واجد الماء بشود فی الحقیقه قادر بر طبیعت هست </w:t>
      </w:r>
      <w:r>
        <w:rPr>
          <w:rFonts w:cs="B Nazanin" w:hint="cs"/>
          <w:sz w:val="28"/>
          <w:szCs w:val="28"/>
          <w:rtl/>
        </w:rPr>
        <w:t>و</w:t>
      </w:r>
      <w:r w:rsidRPr="00213EDB">
        <w:rPr>
          <w:rFonts w:cs="B Nazanin" w:hint="cs"/>
          <w:sz w:val="28"/>
          <w:szCs w:val="28"/>
          <w:rtl/>
        </w:rPr>
        <w:t xml:space="preserve"> از اول مامور به تیمّم نبوده است، البته بحث تیمم هم مثال است و الان کاری با ادله خاصه نداریم.</w:t>
      </w:r>
    </w:p>
    <w:p w:rsidR="00213EDB" w:rsidRPr="00213EDB" w:rsidRDefault="00213EDB" w:rsidP="00213EDB">
      <w:pPr>
        <w:bidi/>
        <w:ind w:firstLine="288"/>
        <w:jc w:val="both"/>
        <w:rPr>
          <w:rFonts w:cs="B Nazanin"/>
          <w:sz w:val="28"/>
          <w:szCs w:val="28"/>
          <w:rtl/>
        </w:rPr>
      </w:pPr>
      <w:r w:rsidRPr="00213EDB">
        <w:rPr>
          <w:rFonts w:cs="B Nazanin" w:hint="cs"/>
          <w:sz w:val="28"/>
          <w:szCs w:val="28"/>
          <w:rtl/>
        </w:rPr>
        <w:t xml:space="preserve">به همین دلیل محقق خوئی می فرمایند اجزائی در کار نیست زیرا </w:t>
      </w:r>
      <w:r>
        <w:rPr>
          <w:rFonts w:cs="B Nazanin" w:hint="cs"/>
          <w:sz w:val="28"/>
          <w:szCs w:val="28"/>
          <w:rtl/>
        </w:rPr>
        <w:t xml:space="preserve">تحقق </w:t>
      </w:r>
      <w:r w:rsidRPr="00213EDB">
        <w:rPr>
          <w:rFonts w:cs="B Nazanin" w:hint="cs"/>
          <w:sz w:val="28"/>
          <w:szCs w:val="28"/>
          <w:rtl/>
        </w:rPr>
        <w:t>موضوع عجز به عجزِ مستوعب در تمام وقت است.</w:t>
      </w:r>
      <w:r w:rsidR="004C40E0" w:rsidRPr="004C40E0">
        <w:rPr>
          <w:rStyle w:val="FootnoteReference"/>
          <w:rFonts w:cs="B Nazanin"/>
          <w:sz w:val="28"/>
          <w:szCs w:val="28"/>
        </w:rPr>
        <w:t xml:space="preserve"> </w:t>
      </w:r>
      <w:r w:rsidR="004C40E0">
        <w:rPr>
          <w:rStyle w:val="FootnoteReference"/>
          <w:rFonts w:cs="B Nazanin"/>
          <w:sz w:val="28"/>
          <w:szCs w:val="28"/>
        </w:rPr>
        <w:footnoteReference w:id="1"/>
      </w:r>
    </w:p>
    <w:p w:rsidR="00213EDB" w:rsidRPr="00213EDB" w:rsidRDefault="00213EDB" w:rsidP="00213EDB">
      <w:pPr>
        <w:bidi/>
        <w:ind w:firstLine="288"/>
        <w:jc w:val="both"/>
        <w:rPr>
          <w:rFonts w:cs="B Titr"/>
          <w:sz w:val="28"/>
          <w:szCs w:val="28"/>
          <w:rtl/>
        </w:rPr>
      </w:pPr>
      <w:r w:rsidRPr="00213EDB">
        <w:rPr>
          <w:rFonts w:cs="B Titr" w:hint="cs"/>
          <w:sz w:val="28"/>
          <w:szCs w:val="28"/>
          <w:rtl/>
        </w:rPr>
        <w:t>و فیه</w:t>
      </w:r>
    </w:p>
    <w:p w:rsidR="00213EDB" w:rsidRPr="00FA6F2A" w:rsidRDefault="00213EDB" w:rsidP="00FA6F2A">
      <w:pPr>
        <w:bidi/>
        <w:spacing w:after="0" w:line="276" w:lineRule="auto"/>
        <w:jc w:val="both"/>
        <w:rPr>
          <w:rFonts w:ascii="Times New Roman" w:hAnsi="Times New Roman" w:cs="Times New Roman"/>
          <w:sz w:val="24"/>
          <w:szCs w:val="24"/>
          <w:rtl/>
          <w:lang w:bidi="fa-IR"/>
        </w:rPr>
      </w:pPr>
      <w:r w:rsidRPr="00213EDB">
        <w:rPr>
          <w:rFonts w:cs="B Nazanin" w:hint="cs"/>
          <w:sz w:val="28"/>
          <w:szCs w:val="28"/>
          <w:rtl/>
        </w:rPr>
        <w:t>این استدلال شبیه یک استدلال عقلی است، محقق خراسانی استناد به اطلاق دلیل نموده اند، در آیه شریفه آمده: «اذا قمتم الی الصلاه... احکام نماز و غسل و وضو را بیان می کند در انتها می فرماید فلم تجدوا مائا فتیمّموا صعیدا طیّبا»</w:t>
      </w:r>
      <w:bookmarkStart w:id="0" w:name="_GoBack"/>
      <w:r w:rsidR="00FA6F2A">
        <w:rPr>
          <w:rStyle w:val="FootnoteReference"/>
          <w:rFonts w:cs="B Nazanin"/>
          <w:sz w:val="28"/>
          <w:szCs w:val="28"/>
          <w:rtl/>
        </w:rPr>
        <w:footnoteReference w:id="2"/>
      </w:r>
      <w:r>
        <w:rPr>
          <w:rFonts w:cs="B Nazanin" w:hint="cs"/>
          <w:sz w:val="28"/>
          <w:szCs w:val="28"/>
          <w:rtl/>
        </w:rPr>
        <w:t xml:space="preserve"> </w:t>
      </w:r>
      <w:bookmarkEnd w:id="0"/>
      <w:r>
        <w:rPr>
          <w:rFonts w:cs="B Nazanin" w:hint="cs"/>
          <w:sz w:val="28"/>
          <w:szCs w:val="28"/>
          <w:rtl/>
        </w:rPr>
        <w:t>این آیه اطلاق دارد و</w:t>
      </w:r>
      <w:r w:rsidRPr="00213EDB">
        <w:rPr>
          <w:rFonts w:cs="B Nazanin" w:hint="cs"/>
          <w:sz w:val="28"/>
          <w:szCs w:val="28"/>
          <w:rtl/>
        </w:rPr>
        <w:t xml:space="preserve"> اطلاق دلیل شامل می شود چه بعدا آب پیدا بکند و واجد الماء بشود چه نشود، به همین دلیل نمازش صحیح است مُجزی هم هست، چرا؟ زیرا خداوند از ما دو نماز نخواسته است، یک نماز ظهر واجب است، یک نماز عصر واجب است، برای همین اگر این نماز ظهر یک بار به صورت صحیح خوانده بشود همین کافی است زیرا آنچه به عهده ما بود همین یک نماز است، وقتی این نماز را </w:t>
      </w:r>
      <w:r>
        <w:rPr>
          <w:rFonts w:cs="B Nazanin" w:hint="cs"/>
          <w:sz w:val="28"/>
          <w:szCs w:val="28"/>
          <w:rtl/>
        </w:rPr>
        <w:t xml:space="preserve">با تیمم خواندیم  اطلاق دلیل می گوید صحیح است، ما هم می دانیم که نمازهای یومیه بیش از خمس نیستند، لذا </w:t>
      </w:r>
      <w:r w:rsidRPr="00213EDB">
        <w:rPr>
          <w:rFonts w:cs="B Nazanin" w:hint="cs"/>
          <w:sz w:val="28"/>
          <w:szCs w:val="28"/>
          <w:rtl/>
        </w:rPr>
        <w:t>همین یک نماز کفایت می کند.</w:t>
      </w:r>
    </w:p>
    <w:p w:rsidR="00213EDB" w:rsidRPr="00213EDB" w:rsidRDefault="00213EDB" w:rsidP="00213EDB">
      <w:pPr>
        <w:bidi/>
        <w:ind w:firstLine="288"/>
        <w:jc w:val="both"/>
        <w:rPr>
          <w:rFonts w:cs="B Nazanin"/>
          <w:sz w:val="28"/>
          <w:szCs w:val="28"/>
          <w:rtl/>
        </w:rPr>
      </w:pPr>
      <w:r w:rsidRPr="00213EDB">
        <w:rPr>
          <w:rFonts w:cs="B Nazanin" w:hint="cs"/>
          <w:sz w:val="28"/>
          <w:szCs w:val="28"/>
          <w:rtl/>
        </w:rPr>
        <w:t xml:space="preserve">محقق خوئی فرموده بودند مراد از «فلم تجدوا» تمام وقت است و عجز از آن در صورتی محقق </w:t>
      </w:r>
      <w:r>
        <w:rPr>
          <w:rFonts w:cs="B Nazanin" w:hint="cs"/>
          <w:sz w:val="28"/>
          <w:szCs w:val="28"/>
          <w:rtl/>
        </w:rPr>
        <w:t>می شوید</w:t>
      </w:r>
      <w:r w:rsidRPr="00213EDB">
        <w:rPr>
          <w:rFonts w:cs="B Nazanin" w:hint="cs"/>
          <w:sz w:val="28"/>
          <w:szCs w:val="28"/>
          <w:rtl/>
        </w:rPr>
        <w:t xml:space="preserve"> که در تمام وقت فاقد الماء باشیم، آیه را هم همینگونه تاویل نمودند، لکن اگر ما باشیم و اطلاق آیه و نخواهیم آیه </w:t>
      </w:r>
      <w:r w:rsidRPr="00213EDB">
        <w:rPr>
          <w:rFonts w:cs="B Nazanin" w:hint="cs"/>
          <w:sz w:val="28"/>
          <w:szCs w:val="28"/>
          <w:rtl/>
        </w:rPr>
        <w:lastRenderedPageBreak/>
        <w:t>را تاویل بکنیم اطلاق آیه شامل همه اوقات می شود و انصرافی به آخر وقت ندارد، اگر ما باشیم و ظاهر دلیل فرمایش محقق خراسانی اقوی است.</w:t>
      </w:r>
    </w:p>
    <w:p w:rsidR="00213EDB" w:rsidRPr="00213EDB" w:rsidRDefault="00213EDB" w:rsidP="00213EDB">
      <w:pPr>
        <w:bidi/>
        <w:ind w:firstLine="288"/>
        <w:jc w:val="both"/>
        <w:rPr>
          <w:rFonts w:cs="B Titr"/>
          <w:sz w:val="28"/>
          <w:szCs w:val="28"/>
          <w:rtl/>
        </w:rPr>
      </w:pPr>
      <w:r w:rsidRPr="00213EDB">
        <w:rPr>
          <w:rFonts w:cs="B Titr" w:hint="cs"/>
          <w:sz w:val="28"/>
          <w:szCs w:val="28"/>
          <w:rtl/>
        </w:rPr>
        <w:t>نتیجه</w:t>
      </w:r>
    </w:p>
    <w:p w:rsidR="00213EDB" w:rsidRPr="00213EDB" w:rsidRDefault="00213EDB" w:rsidP="00213EDB">
      <w:pPr>
        <w:bidi/>
        <w:ind w:firstLine="288"/>
        <w:jc w:val="both"/>
        <w:rPr>
          <w:rFonts w:cs="B Nazanin"/>
          <w:sz w:val="28"/>
          <w:szCs w:val="28"/>
          <w:rtl/>
        </w:rPr>
      </w:pPr>
      <w:r w:rsidRPr="00213EDB">
        <w:rPr>
          <w:rFonts w:cs="B Nazanin" w:hint="cs"/>
          <w:sz w:val="28"/>
          <w:szCs w:val="28"/>
          <w:rtl/>
        </w:rPr>
        <w:t>پس مقتضای قاعده ای که محقق خوئی فرموده اند صحیح است و در مورد تیمم دلیل خاص جلوی آن را می گیرد و اگر در جایی دلیل خاص نداشته باشیم باید حرف ایشان را بپذیریم، مثلا در مورد تقیّه، اگر در اول وقت موضع تقیّه قرار گرفتیم و نماز تقیّه</w:t>
      </w:r>
      <w:r>
        <w:rPr>
          <w:rFonts w:cs="B Nazanin" w:hint="cs"/>
          <w:sz w:val="28"/>
          <w:szCs w:val="28"/>
          <w:rtl/>
        </w:rPr>
        <w:t xml:space="preserve"> </w:t>
      </w:r>
      <w:r w:rsidRPr="00213EDB">
        <w:rPr>
          <w:rFonts w:cs="B Nazanin" w:hint="cs"/>
          <w:sz w:val="28"/>
          <w:szCs w:val="28"/>
          <w:rtl/>
        </w:rPr>
        <w:t>ای و به تکتّف خواندیم، یا وضوی تقیّه ای گرفتیم، این هم مامور به اضطراری است، آیا اجزاء دارد از مامور به اختیاری؟ مقتضای قاعده ای که آقای خوئی فرموده اند عدم اجزاء است اما باز هم محقق خوئی قائل به اجزاء هستند به دلیل ظهور روایاتی که در باب تقیّه داریم، لذا اگر مورد تقیه هم مرتفع بشود باز هم همان نماز و وضوی تقیّه ای اجزاء دارد از مامور به اختیاری.</w:t>
      </w:r>
    </w:p>
    <w:p w:rsidR="00213EDB" w:rsidRPr="00213EDB" w:rsidRDefault="00213EDB" w:rsidP="00213EDB">
      <w:pPr>
        <w:bidi/>
        <w:ind w:firstLine="288"/>
        <w:jc w:val="both"/>
        <w:rPr>
          <w:rFonts w:cs="B Nazanin"/>
          <w:sz w:val="28"/>
          <w:szCs w:val="28"/>
        </w:rPr>
      </w:pPr>
      <w:r w:rsidRPr="00213EDB">
        <w:rPr>
          <w:rFonts w:cs="B Nazanin" w:hint="cs"/>
          <w:sz w:val="28"/>
          <w:szCs w:val="28"/>
          <w:rtl/>
        </w:rPr>
        <w:t>مثال دیگری جبیره است، اگر در اول وقت جبیره داشتیم و وضوی جبیره ای گرفتیم، در اثنای وقت عذرمان برطرف شد و استطاعت بر وضوی بدون جبیره پیدا کردیم، آیا اعاده واجب است؟ ظاهرا بله زیرا در جبیره دلیل خاصی نداریم که دلالت بر اجزاء بکند.</w:t>
      </w:r>
    </w:p>
    <w:p w:rsidR="004B4F38" w:rsidRPr="00213EDB" w:rsidRDefault="004B4F38" w:rsidP="00213EDB">
      <w:pPr>
        <w:bidi/>
        <w:ind w:firstLine="288"/>
        <w:jc w:val="both"/>
        <w:rPr>
          <w:rFonts w:cs="B Nazanin"/>
          <w:sz w:val="28"/>
          <w:szCs w:val="28"/>
          <w:rtl/>
          <w:lang w:bidi="fa-IR"/>
        </w:rPr>
      </w:pPr>
    </w:p>
    <w:sectPr w:rsidR="004B4F38" w:rsidRPr="00213EDB" w:rsidSect="009B007F">
      <w:headerReference w:type="default" r:id="rId8"/>
      <w:footerReference w:type="default" r:id="rId9"/>
      <w:pgSz w:w="12240" w:h="15840"/>
      <w:pgMar w:top="1440" w:right="1440" w:bottom="1440" w:left="1440" w:header="720" w:footer="720" w:gutter="0"/>
      <w:pgNumType w:start="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18" w:rsidRDefault="00762218" w:rsidP="00821F94">
      <w:pPr>
        <w:spacing w:after="0" w:line="240" w:lineRule="auto"/>
      </w:pPr>
      <w:r>
        <w:separator/>
      </w:r>
    </w:p>
  </w:endnote>
  <w:endnote w:type="continuationSeparator" w:id="0">
    <w:p w:rsidR="00762218" w:rsidRDefault="00762218"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A6F2A">
          <w:rPr>
            <w:noProof/>
          </w:rPr>
          <w:t>227</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18" w:rsidRDefault="00762218" w:rsidP="00821F94">
      <w:pPr>
        <w:spacing w:after="0" w:line="240" w:lineRule="auto"/>
      </w:pPr>
      <w:r>
        <w:separator/>
      </w:r>
    </w:p>
  </w:footnote>
  <w:footnote w:type="continuationSeparator" w:id="0">
    <w:p w:rsidR="00762218" w:rsidRDefault="00762218" w:rsidP="00821F94">
      <w:pPr>
        <w:spacing w:after="0" w:line="240" w:lineRule="auto"/>
      </w:pPr>
      <w:r>
        <w:continuationSeparator/>
      </w:r>
    </w:p>
  </w:footnote>
  <w:footnote w:id="1">
    <w:p w:rsidR="004C40E0" w:rsidRPr="003C0722" w:rsidRDefault="004C40E0" w:rsidP="004C40E0">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1" w:history="1">
        <w:r w:rsidRPr="004C40E0">
          <w:rPr>
            <w:rStyle w:val="Hyperlink"/>
            <w:rFonts w:cs="B Nazanin" w:hint="cs"/>
            <w:rtl/>
            <w:lang w:bidi="fa-IR"/>
          </w:rPr>
          <w:t>محاضرات فی الاصول، سید ابوالقاسم خوئی، ج2، ص235.</w:t>
        </w:r>
      </w:hyperlink>
    </w:p>
  </w:footnote>
  <w:footnote w:id="2">
    <w:p w:rsidR="00FA6F2A" w:rsidRDefault="00FA6F2A" w:rsidP="00FA6F2A">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سوره مائده، آیه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213EDB">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مبنای محقق خوئی </w:t>
    </w:r>
    <w:r w:rsidR="00682CC8">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9B007F">
      <w:rPr>
        <w:rFonts w:cs="B Nazanin" w:hint="cs"/>
        <w:rtl/>
        <w:lang w:bidi="fa-IR"/>
      </w:rPr>
      <w:t>18</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40E0"/>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446"/>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2218"/>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6F2A"/>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1740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235/&#1571;&#1582;&#1585;&#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01FC-A859-4502-A67D-B8352AEB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3269</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543</cp:revision>
  <cp:lastPrinted>2016-05-14T08:03:00Z</cp:lastPrinted>
  <dcterms:created xsi:type="dcterms:W3CDTF">2015-12-21T09:10:00Z</dcterms:created>
  <dcterms:modified xsi:type="dcterms:W3CDTF">2016-05-16T11:26:00Z</dcterms:modified>
</cp:coreProperties>
</file>