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9E94" w14:textId="18351D03" w:rsidR="003534CF" w:rsidRPr="00F909BA" w:rsidRDefault="003534CF" w:rsidP="001C7D60">
      <w:pPr>
        <w:pStyle w:val="01"/>
        <w:jc w:val="center"/>
        <w:rPr>
          <w:rtl/>
        </w:rPr>
      </w:pPr>
      <w:bookmarkStart w:id="0" w:name="_Toc467679107"/>
      <w:r>
        <w:rPr>
          <w:rFonts w:hint="cs"/>
          <w:rtl/>
        </w:rPr>
        <w:t xml:space="preserve">بیعت شناسی </w:t>
      </w:r>
      <w:r>
        <w:rPr>
          <w:rStyle w:val="FootnoteReference"/>
          <w:rtl/>
        </w:rPr>
        <w:footnoteReference w:customMarkFollows="1" w:id="1"/>
        <w:t>*</w:t>
      </w:r>
      <w:bookmarkEnd w:id="0"/>
    </w:p>
    <w:p w14:paraId="16A45EEC" w14:textId="77777777" w:rsidR="003534CF" w:rsidRPr="00F909BA" w:rsidRDefault="003534CF" w:rsidP="003534CF">
      <w:pPr>
        <w:pStyle w:val="a0"/>
        <w:rPr>
          <w:rtl/>
        </w:rPr>
      </w:pPr>
      <w:r w:rsidRPr="00F909BA">
        <w:rPr>
          <w:rtl/>
        </w:rPr>
        <w:t>يکي از کارهاي ويژ</w:t>
      </w:r>
      <w:r>
        <w:rPr>
          <w:rFonts w:hint="cs"/>
          <w:rtl/>
        </w:rPr>
        <w:t>ه</w:t>
      </w:r>
      <w:r w:rsidRPr="00F909BA">
        <w:rPr>
          <w:rtl/>
        </w:rPr>
        <w:t xml:space="preserve"> روز نهم ربيع‌الاول، بيعت کردن با حضرت مهدي</w:t>
      </w:r>
      <w:r>
        <w:sym w:font="Abo-thar" w:char="F066"/>
      </w:r>
      <w:r>
        <w:rPr>
          <w:rFonts w:hint="cs"/>
          <w:rtl/>
        </w:rPr>
        <w:t xml:space="preserve"> </w:t>
      </w:r>
      <w:r w:rsidRPr="00F909BA">
        <w:rPr>
          <w:rtl/>
        </w:rPr>
        <w:t>است. واژ</w:t>
      </w:r>
      <w:r>
        <w:rPr>
          <w:rFonts w:hint="cs"/>
          <w:rtl/>
        </w:rPr>
        <w:t>ه</w:t>
      </w:r>
      <w:r w:rsidRPr="00F909BA">
        <w:rPr>
          <w:rtl/>
        </w:rPr>
        <w:t xml:space="preserve"> «بيعت» واژه‌اي عربي است از ريش</w:t>
      </w:r>
      <w:r>
        <w:rPr>
          <w:rFonts w:hint="cs"/>
          <w:rtl/>
        </w:rPr>
        <w:t>ه</w:t>
      </w:r>
      <w:r w:rsidRPr="00F909BA">
        <w:rPr>
          <w:rtl/>
        </w:rPr>
        <w:t xml:space="preserve"> «بيع» به معناي خريد و فروش؛ اما بيعت کردن به معناي اين است که دو طرف خريد و فروش، به نشانه تمام شدن معامله و تسليم، کف دست را</w:t>
      </w:r>
      <w:r w:rsidRPr="00F909BA">
        <w:rPr>
          <w:rFonts w:hint="cs"/>
          <w:rtl/>
        </w:rPr>
        <w:t>ست</w:t>
      </w:r>
      <w:r w:rsidRPr="00F909BA">
        <w:rPr>
          <w:rtl/>
        </w:rPr>
        <w:t xml:space="preserve"> خود را بر هم مي‌زنند.</w:t>
      </w:r>
    </w:p>
    <w:p w14:paraId="3ADA3E54" w14:textId="77777777" w:rsidR="003534CF" w:rsidRPr="00F909BA" w:rsidRDefault="003534CF" w:rsidP="003534CF">
      <w:pPr>
        <w:pStyle w:val="a0"/>
        <w:rPr>
          <w:rtl/>
        </w:rPr>
      </w:pPr>
      <w:r w:rsidRPr="00F909BA">
        <w:rPr>
          <w:rFonts w:hint="cs"/>
          <w:rtl/>
        </w:rPr>
        <w:t>وقتي</w:t>
      </w:r>
      <w:r w:rsidRPr="00F909BA">
        <w:rPr>
          <w:rtl/>
        </w:rPr>
        <w:t xml:space="preserve"> شخصي با کسي بيعت مي‌کند، به اين وسيله، فرمانبرداري خود از آن شخص و سرسپردگي در برابر امر و سلط</w:t>
      </w:r>
      <w:r>
        <w:rPr>
          <w:rFonts w:hint="cs"/>
          <w:rtl/>
        </w:rPr>
        <w:t>ه</w:t>
      </w:r>
      <w:r w:rsidRPr="00F909BA">
        <w:rPr>
          <w:rtl/>
        </w:rPr>
        <w:t xml:space="preserve"> او را نشان مي‌دهد؛ همچنين حاضر مي‏شود تا پاي فدا کردن جان و مال و فرزند، در راه اطاعتِ او بايستد.</w:t>
      </w:r>
    </w:p>
    <w:p w14:paraId="59CEF634" w14:textId="77777777" w:rsidR="003534CF" w:rsidRPr="00F909BA" w:rsidRDefault="003534CF" w:rsidP="003534CF">
      <w:pPr>
        <w:pStyle w:val="a0"/>
        <w:rPr>
          <w:rtl/>
        </w:rPr>
      </w:pPr>
      <w:r w:rsidRPr="00F909BA">
        <w:rPr>
          <w:rFonts w:hint="cs"/>
          <w:rtl/>
        </w:rPr>
        <w:t>قرائن</w:t>
      </w:r>
      <w:r w:rsidRPr="00F909BA">
        <w:rPr>
          <w:rtl/>
        </w:rPr>
        <w:t xml:space="preserve"> نشان مي‏دهد که بيعت از نوآوري‏هاي مسلمانان نيست؛ بلکه سنتي بوده که پيش از اسلام هم در ميان عرب رواج داشت؛ به همين دليل در آغاز اسلام - که طايفه «اوس و خزرج» در ايام حج از مدينه به مکه آمدند و با پيامبر اسلام</w:t>
      </w:r>
      <w:r>
        <w:sym w:font="Abo-thar" w:char="F072"/>
      </w:r>
      <w:r>
        <w:rPr>
          <w:rFonts w:hint="cs"/>
          <w:rtl/>
        </w:rPr>
        <w:t xml:space="preserve"> </w:t>
      </w:r>
      <w:r w:rsidRPr="00F909BA">
        <w:rPr>
          <w:rtl/>
        </w:rPr>
        <w:t>در عقبه بيعت کر</w:t>
      </w:r>
      <w:r w:rsidRPr="00F909BA">
        <w:rPr>
          <w:rFonts w:hint="cs"/>
          <w:rtl/>
        </w:rPr>
        <w:t>دند</w:t>
      </w:r>
      <w:r w:rsidRPr="00F909BA">
        <w:rPr>
          <w:rtl/>
        </w:rPr>
        <w:t xml:space="preserve"> - برخورد آنها با مسئله بيعت، آشنا بود؛ بعد از آن نيز پيغمبر گرامي اسلام</w:t>
      </w:r>
      <w:r>
        <w:sym w:font="Abo-thar" w:char="F072"/>
      </w:r>
      <w:r>
        <w:rPr>
          <w:rFonts w:hint="cs"/>
          <w:rtl/>
        </w:rPr>
        <w:t xml:space="preserve"> </w:t>
      </w:r>
      <w:r w:rsidRPr="00F909BA">
        <w:rPr>
          <w:rtl/>
        </w:rPr>
        <w:t>در فرصت‏هاي مختلف با مسلمانان تجديد بيعت کرد؛ اما مگر اطاعت از پيامبر اسلام</w:t>
      </w:r>
      <w:r>
        <w:sym w:font="Abo-thar" w:char="F072"/>
      </w:r>
      <w:r>
        <w:rPr>
          <w:rFonts w:hint="cs"/>
          <w:rtl/>
        </w:rPr>
        <w:t xml:space="preserve"> </w:t>
      </w:r>
      <w:r w:rsidRPr="00F909BA">
        <w:rPr>
          <w:rtl/>
        </w:rPr>
        <w:t>و امامان معصوم</w:t>
      </w:r>
      <w:r>
        <w:sym w:font="Abo-thar" w:char="F062"/>
      </w:r>
      <w:r>
        <w:rPr>
          <w:rFonts w:hint="cs"/>
          <w:rtl/>
        </w:rPr>
        <w:t xml:space="preserve"> </w:t>
      </w:r>
      <w:r w:rsidRPr="00F909BA">
        <w:rPr>
          <w:rtl/>
        </w:rPr>
        <w:t>که از سوي خداوند</w:t>
      </w:r>
      <w:r>
        <w:rPr>
          <w:rFonts w:hint="cs"/>
          <w:rtl/>
        </w:rPr>
        <w:t xml:space="preserve"> </w:t>
      </w:r>
      <w:r w:rsidRPr="00F909BA">
        <w:rPr>
          <w:rtl/>
        </w:rPr>
        <w:t>منصوب مي‌شوند نيازمند بيعت گرفتن است که چنين امري متداول و عادي بوده است؟ جواب منفي است؛ يعني اطاعت کردن نيازمند بيعت گرفتن نيست؛ بلکه واجب است هم</w:t>
      </w:r>
      <w:r>
        <w:rPr>
          <w:rFonts w:hint="cs"/>
          <w:rtl/>
        </w:rPr>
        <w:t>ه</w:t>
      </w:r>
      <w:r w:rsidRPr="00F909BA">
        <w:rPr>
          <w:rtl/>
        </w:rPr>
        <w:t xml:space="preserve"> مسلمانان فرمان‌هاي امام و پيشواي برگزيد</w:t>
      </w:r>
      <w:r>
        <w:rPr>
          <w:rFonts w:hint="cs"/>
          <w:rtl/>
        </w:rPr>
        <w:t>ه</w:t>
      </w:r>
      <w:r w:rsidRPr="00F909BA">
        <w:rPr>
          <w:rtl/>
        </w:rPr>
        <w:t xml:space="preserve"> خدا را بي چون و چرا اجرا کنند و حتي اگر بيعت هم نکرده باشند موظفند که مط</w:t>
      </w:r>
      <w:r w:rsidRPr="00F909BA">
        <w:rPr>
          <w:rFonts w:hint="cs"/>
          <w:rtl/>
        </w:rPr>
        <w:t>يع</w:t>
      </w:r>
      <w:r w:rsidRPr="00F909BA">
        <w:rPr>
          <w:rtl/>
        </w:rPr>
        <w:t xml:space="preserve"> باشند.</w:t>
      </w:r>
    </w:p>
    <w:p w14:paraId="73C80DD1" w14:textId="77777777" w:rsidR="003534CF" w:rsidRPr="00F909BA" w:rsidRDefault="003534CF" w:rsidP="003534CF">
      <w:pPr>
        <w:pStyle w:val="a0"/>
        <w:rPr>
          <w:rtl/>
        </w:rPr>
      </w:pPr>
      <w:r w:rsidRPr="00F909BA">
        <w:rPr>
          <w:rFonts w:hint="cs"/>
          <w:rtl/>
        </w:rPr>
        <w:t>خب</w:t>
      </w:r>
      <w:r w:rsidRPr="00F909BA">
        <w:rPr>
          <w:rtl/>
        </w:rPr>
        <w:t xml:space="preserve"> اگر چن</w:t>
      </w:r>
      <w:r w:rsidRPr="00F909BA">
        <w:rPr>
          <w:rFonts w:hint="cs"/>
          <w:rtl/>
        </w:rPr>
        <w:t>ین</w:t>
      </w:r>
      <w:r w:rsidRPr="00F909BA">
        <w:rPr>
          <w:rtl/>
        </w:rPr>
        <w:t xml:space="preserve"> است، پس چرا پيامبر اسلام</w:t>
      </w:r>
      <w:r>
        <w:sym w:font="Abo-thar" w:char="F072"/>
      </w:r>
      <w:r>
        <w:rPr>
          <w:rFonts w:hint="cs"/>
          <w:rtl/>
        </w:rPr>
        <w:t xml:space="preserve"> </w:t>
      </w:r>
      <w:r w:rsidRPr="00F909BA">
        <w:rPr>
          <w:rtl/>
        </w:rPr>
        <w:t>از ياران خويش بيعت گرفت؟</w:t>
      </w:r>
    </w:p>
    <w:p w14:paraId="5CC6FE77" w14:textId="77777777" w:rsidR="003534CF" w:rsidRPr="00F909BA" w:rsidRDefault="003534CF" w:rsidP="003534CF">
      <w:pPr>
        <w:pStyle w:val="a0"/>
        <w:rPr>
          <w:rtl/>
        </w:rPr>
      </w:pPr>
      <w:r w:rsidRPr="00F909BA">
        <w:rPr>
          <w:rFonts w:hint="cs"/>
          <w:rtl/>
        </w:rPr>
        <w:t>پاسخ</w:t>
      </w:r>
      <w:r w:rsidRPr="00F909BA">
        <w:rPr>
          <w:rtl/>
        </w:rPr>
        <w:t xml:space="preserve"> اين است که: اين بيعت‏ها يک نوع تأکيد بر وفاداري بوده که در مواقع خاصي صورت مي‏گرفته است؛ به خصوص براي مقابله با بحران‏ها و حوادث سخت از آن استفاده مي‏شد تا در ساي</w:t>
      </w:r>
      <w:r>
        <w:rPr>
          <w:rFonts w:hint="cs"/>
          <w:rtl/>
        </w:rPr>
        <w:t>ه</w:t>
      </w:r>
      <w:r w:rsidRPr="00F909BA">
        <w:rPr>
          <w:rtl/>
        </w:rPr>
        <w:t xml:space="preserve"> آن، روح تازه‏اي در کالبد افراد دميده شود.</w:t>
      </w:r>
    </w:p>
    <w:p w14:paraId="591CF8AA" w14:textId="77777777" w:rsidR="003534CF" w:rsidRPr="00F909BA" w:rsidRDefault="003534CF" w:rsidP="003534CF">
      <w:pPr>
        <w:pStyle w:val="a0"/>
        <w:rPr>
          <w:rtl/>
        </w:rPr>
      </w:pPr>
      <w:r w:rsidRPr="00F909BA">
        <w:rPr>
          <w:rFonts w:hint="cs"/>
          <w:rtl/>
        </w:rPr>
        <w:t>البته</w:t>
      </w:r>
      <w:r w:rsidRPr="00F909BA">
        <w:rPr>
          <w:rtl/>
        </w:rPr>
        <w:t xml:space="preserve"> همين امر در هنگام</w:t>
      </w:r>
      <w:r>
        <w:rPr>
          <w:rFonts w:hint="cs"/>
          <w:rtl/>
        </w:rPr>
        <w:t>ه</w:t>
      </w:r>
      <w:r w:rsidRPr="00F909BA">
        <w:rPr>
          <w:rtl/>
        </w:rPr>
        <w:t xml:space="preserve"> ظهور، در بيعت با حضرت مهدي</w:t>
      </w:r>
      <w:r>
        <w:sym w:font="Abo-thar" w:char="F066"/>
      </w:r>
      <w:r>
        <w:rPr>
          <w:rFonts w:hint="cs"/>
          <w:rtl/>
        </w:rPr>
        <w:t xml:space="preserve"> </w:t>
      </w:r>
      <w:r w:rsidRPr="00F909BA">
        <w:rPr>
          <w:rtl/>
        </w:rPr>
        <w:t>هم خواهد بود، که جنب</w:t>
      </w:r>
      <w:r>
        <w:rPr>
          <w:rFonts w:hint="cs"/>
          <w:rtl/>
        </w:rPr>
        <w:t>ه</w:t>
      </w:r>
      <w:r w:rsidRPr="00F909BA">
        <w:rPr>
          <w:rtl/>
        </w:rPr>
        <w:t xml:space="preserve"> تأکيد بر وفاداري دارد. يکي از کارهاي نخست حضرت مهدي</w:t>
      </w:r>
      <w:r>
        <w:sym w:font="Abo-thar" w:char="F066"/>
      </w:r>
      <w:r>
        <w:rPr>
          <w:rFonts w:hint="cs"/>
          <w:rtl/>
        </w:rPr>
        <w:t xml:space="preserve"> </w:t>
      </w:r>
      <w:r w:rsidRPr="00F909BA">
        <w:rPr>
          <w:rtl/>
        </w:rPr>
        <w:t>در هنگام ظهور، بيعت گرفتن از ياران است. جالب است بدانيم که اين بيعت در مسجدا</w:t>
      </w:r>
      <w:r w:rsidRPr="00F909BA">
        <w:rPr>
          <w:rFonts w:hint="cs"/>
          <w:rtl/>
        </w:rPr>
        <w:t>لحرام</w:t>
      </w:r>
      <w:r w:rsidRPr="00F909BA">
        <w:rPr>
          <w:rtl/>
        </w:rPr>
        <w:t xml:space="preserve"> و بين رکن و مقام صورت مي‏گيرد. همچنين در روايات فراواني نقل شده که اولين بيعت‌کننده با حضرت مهدي</w:t>
      </w:r>
      <w:r>
        <w:sym w:font="Abo-thar" w:char="F066"/>
      </w:r>
      <w:r w:rsidRPr="00F909BA">
        <w:rPr>
          <w:rtl/>
        </w:rPr>
        <w:t>، جبرئيل، فرشته مقرب الهي است؛ چنانکه امام باقر</w:t>
      </w:r>
      <w:r>
        <w:sym w:font="Abo-thar" w:char="F06A"/>
      </w:r>
      <w:r>
        <w:rPr>
          <w:rFonts w:hint="cs"/>
          <w:rtl/>
        </w:rPr>
        <w:t xml:space="preserve"> </w:t>
      </w:r>
      <w:r w:rsidRPr="00F909BA">
        <w:rPr>
          <w:rtl/>
        </w:rPr>
        <w:t>در ضمن روايتي مي‏فرمايد: «... پس نخستين کسي که با او بيعت کند، جب</w:t>
      </w:r>
      <w:r w:rsidRPr="00F909BA">
        <w:rPr>
          <w:rFonts w:hint="cs"/>
          <w:rtl/>
        </w:rPr>
        <w:t>رئيل</w:t>
      </w:r>
      <w:r w:rsidRPr="00F909BA">
        <w:rPr>
          <w:rtl/>
        </w:rPr>
        <w:t xml:space="preserve"> است؛ سپس آن 313 نفر [بيعت مي‏کنند]...».</w:t>
      </w:r>
    </w:p>
    <w:p w14:paraId="477C7F01" w14:textId="40D4BAE1" w:rsidR="003534CF" w:rsidRPr="00F909BA" w:rsidRDefault="003534CF" w:rsidP="003534CF">
      <w:pPr>
        <w:pStyle w:val="a0"/>
        <w:rPr>
          <w:rtl/>
        </w:rPr>
      </w:pPr>
      <w:r w:rsidRPr="00F909BA">
        <w:rPr>
          <w:rFonts w:hint="cs"/>
          <w:rtl/>
        </w:rPr>
        <w:t>اما</w:t>
      </w:r>
      <w:r w:rsidRPr="00F909BA">
        <w:rPr>
          <w:rtl/>
        </w:rPr>
        <w:t xml:space="preserve"> آنچه از بيعت به ذهن مي‌رسد آن است که بايد امامي در جمع حاضر باشد تا ما بتوانيم با ايشان بيعت کنيم؛ ولي در اين شرايطي که امام از نظرها غايب است، چطور بيعت معنا پيدا مي‌کند؟ اگر در معناي بيعت دقت کنيم، در مي‌يابيم که همين حالا </w:t>
      </w:r>
      <w:r w:rsidRPr="00F909BA">
        <w:rPr>
          <w:rtl/>
        </w:rPr>
        <w:lastRenderedPageBreak/>
        <w:t>هم بيعت با امام زمان</w:t>
      </w:r>
      <w:bookmarkStart w:id="1" w:name="_Hlk191197802"/>
      <w:r w:rsidR="001C7D60" w:rsidRPr="00C71273">
        <w:rPr>
          <w:rFonts w:hint="cs"/>
          <w:szCs w:val="24"/>
        </w:rPr>
        <w:sym w:font="Alaem" w:char="F034"/>
      </w:r>
      <w:bookmarkEnd w:id="1"/>
      <w:r w:rsidRPr="00F909BA">
        <w:rPr>
          <w:rtl/>
        </w:rPr>
        <w:t xml:space="preserve"> معنا د</w:t>
      </w:r>
      <w:r w:rsidRPr="00F909BA">
        <w:rPr>
          <w:rFonts w:hint="cs"/>
          <w:rtl/>
        </w:rPr>
        <w:t>ارد؛</w:t>
      </w:r>
      <w:r w:rsidRPr="00F909BA">
        <w:rPr>
          <w:rtl/>
        </w:rPr>
        <w:t xml:space="preserve"> مگر نه اين است که در بيعت بايد بر وفاداري با شخص بيعت ‌شونده تأکيد کنيم و اين پيام را به او بدهيم که مطيع امر شما هستيم و سعي مي‌کنيم رضايت شما را تأمين کنيم؟ هم</w:t>
      </w:r>
      <w:r>
        <w:rPr>
          <w:rFonts w:hint="cs"/>
          <w:rtl/>
        </w:rPr>
        <w:t>ه</w:t>
      </w:r>
      <w:r w:rsidRPr="00F909BA">
        <w:rPr>
          <w:rtl/>
        </w:rPr>
        <w:t xml:space="preserve"> اين موارد در اين زمان</w:t>
      </w:r>
      <w:r>
        <w:rPr>
          <w:rFonts w:hint="cs"/>
          <w:rtl/>
        </w:rPr>
        <w:t>ه</w:t>
      </w:r>
      <w:r w:rsidRPr="00F909BA">
        <w:rPr>
          <w:rtl/>
        </w:rPr>
        <w:t xml:space="preserve"> غيبت هم عملي است.</w:t>
      </w:r>
    </w:p>
    <w:p w14:paraId="504D69BB" w14:textId="0F6E04F9" w:rsidR="007331F3" w:rsidRDefault="003534CF" w:rsidP="003534CF">
      <w:r w:rsidRPr="00F909BA">
        <w:rPr>
          <w:rFonts w:hint="cs"/>
          <w:rtl/>
        </w:rPr>
        <w:t>مي‌توانيم</w:t>
      </w:r>
      <w:r w:rsidRPr="00F909BA">
        <w:rPr>
          <w:rtl/>
        </w:rPr>
        <w:t xml:space="preserve"> بيعت کنيم که يکي از کارهاي زشتمان را ترک کنيم و يا يک کار</w:t>
      </w:r>
      <w:r>
        <w:rPr>
          <w:rFonts w:hint="cs"/>
          <w:rtl/>
        </w:rPr>
        <w:t xml:space="preserve"> </w:t>
      </w:r>
      <w:r w:rsidRPr="00F909BA">
        <w:rPr>
          <w:rtl/>
        </w:rPr>
        <w:t>مثبتي را انجام دهيم و به همين شکل مي‌توانيم دربار</w:t>
      </w:r>
      <w:r>
        <w:rPr>
          <w:rFonts w:hint="cs"/>
          <w:rtl/>
        </w:rPr>
        <w:t>ه</w:t>
      </w:r>
      <w:r w:rsidRPr="00F909BA">
        <w:rPr>
          <w:rtl/>
        </w:rPr>
        <w:t xml:space="preserve"> هزاران کار ديگر با امام زمان</w:t>
      </w:r>
      <w:r>
        <w:sym w:font="Abo-thar" w:char="F066"/>
      </w:r>
      <w:r>
        <w:rPr>
          <w:rFonts w:hint="cs"/>
          <w:rtl/>
        </w:rPr>
        <w:t xml:space="preserve"> </w:t>
      </w:r>
      <w:r w:rsidRPr="00F909BA">
        <w:rPr>
          <w:rtl/>
        </w:rPr>
        <w:t>بيعت کنيم که در جهت آنها تلاش کنيم؛ پس بياييم يکبار ديگر با امام زمانمان</w:t>
      </w:r>
      <w:r w:rsidR="001C7D60" w:rsidRPr="00C71273">
        <w:rPr>
          <w:rFonts w:hint="cs"/>
          <w:szCs w:val="24"/>
        </w:rPr>
        <w:sym w:font="Alaem" w:char="F034"/>
      </w:r>
      <w:r w:rsidR="001C7D60">
        <w:rPr>
          <w:rFonts w:hint="cs"/>
          <w:szCs w:val="24"/>
          <w:rtl/>
        </w:rPr>
        <w:t xml:space="preserve"> </w:t>
      </w:r>
      <w:r w:rsidRPr="00F909BA">
        <w:rPr>
          <w:rtl/>
        </w:rPr>
        <w:t>تجديد بي</w:t>
      </w:r>
      <w:r w:rsidRPr="00F909BA">
        <w:rPr>
          <w:rFonts w:hint="cs"/>
          <w:rtl/>
        </w:rPr>
        <w:t>عت</w:t>
      </w:r>
      <w:r w:rsidRPr="00F909BA">
        <w:rPr>
          <w:rtl/>
        </w:rPr>
        <w:t xml:space="preserve"> و اظهار وفاداري کنيم، باشد که از ياران واقعي ايشان باشيم و چه خوب است که اين بيعت را همه ساله در روز نهم ربيع تجديد و اين امر را به سنتي مستمر تبديل کنيم</w:t>
      </w:r>
      <w:r>
        <w:rPr>
          <w:rFonts w:hint="cs"/>
          <w:rtl/>
        </w:rPr>
        <w:t>.</w:t>
      </w:r>
    </w:p>
    <w:sectPr w:rsidR="007331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4644" w14:textId="77777777" w:rsidR="00880ABB" w:rsidRDefault="00880ABB" w:rsidP="003534CF">
      <w:r>
        <w:separator/>
      </w:r>
    </w:p>
  </w:endnote>
  <w:endnote w:type="continuationSeparator" w:id="0">
    <w:p w14:paraId="7CBC49BC" w14:textId="77777777" w:rsidR="00880ABB" w:rsidRDefault="00880ABB" w:rsidP="0035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Badr">
    <w:altName w:val="Arial"/>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Alaem">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97F9" w14:textId="77777777" w:rsidR="00880ABB" w:rsidRDefault="00880ABB" w:rsidP="003534CF">
      <w:r>
        <w:separator/>
      </w:r>
    </w:p>
  </w:footnote>
  <w:footnote w:type="continuationSeparator" w:id="0">
    <w:p w14:paraId="466FD05E" w14:textId="77777777" w:rsidR="00880ABB" w:rsidRDefault="00880ABB" w:rsidP="003534CF">
      <w:r>
        <w:continuationSeparator/>
      </w:r>
    </w:p>
  </w:footnote>
  <w:footnote w:id="1">
    <w:p w14:paraId="51580FE2" w14:textId="272363D7" w:rsidR="003534CF" w:rsidRPr="00DE748D" w:rsidRDefault="003534CF" w:rsidP="003534CF">
      <w:pPr>
        <w:pStyle w:val="a"/>
        <w:spacing w:line="320" w:lineRule="exact"/>
        <w:jc w:val="both"/>
        <w:rPr>
          <w:rFonts w:cs="2  Badr"/>
          <w:sz w:val="22"/>
          <w:rtl/>
          <w:lang w:bidi="fa-IR"/>
        </w:rPr>
      </w:pPr>
      <w:r w:rsidRPr="00DE748D">
        <w:rPr>
          <w:rStyle w:val="FootnoteReference"/>
          <w:rFonts w:cs="2  Badr"/>
          <w:sz w:val="22"/>
          <w:rtl/>
        </w:rPr>
        <w:t>*</w:t>
      </w:r>
      <w:r>
        <w:rPr>
          <w:rFonts w:cs="2  Badr"/>
          <w:sz w:val="22"/>
          <w:rtl/>
        </w:rPr>
        <w:t xml:space="preserve">. </w:t>
      </w:r>
      <w:r w:rsidR="001C7D60">
        <w:rPr>
          <w:rFonts w:cs="2  Badr" w:hint="cs"/>
          <w:sz w:val="22"/>
          <w:rtl/>
        </w:rPr>
        <w:t xml:space="preserve">حجت الاسلام </w:t>
      </w:r>
      <w:r w:rsidRPr="00DE748D">
        <w:rPr>
          <w:rFonts w:cs="2  Badr" w:hint="cs"/>
          <w:sz w:val="22"/>
          <w:rtl/>
        </w:rPr>
        <w:t>خدامراد سلیمیان.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CF"/>
    <w:rsid w:val="000B5B8A"/>
    <w:rsid w:val="001B45C4"/>
    <w:rsid w:val="001C7D60"/>
    <w:rsid w:val="001D66A2"/>
    <w:rsid w:val="003534CF"/>
    <w:rsid w:val="003F75CE"/>
    <w:rsid w:val="00410266"/>
    <w:rsid w:val="007331F3"/>
    <w:rsid w:val="00880ABB"/>
    <w:rsid w:val="009A59CE"/>
    <w:rsid w:val="00B30EC2"/>
    <w:rsid w:val="00CE5EFD"/>
    <w:rsid w:val="00D71B5A"/>
    <w:rsid w:val="00DE1578"/>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162E"/>
  <w15:chartTrackingRefBased/>
  <w15:docId w15:val="{DEBD3C18-1495-4DB9-8CC5-F3C31B2D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CF"/>
    <w:pPr>
      <w:bidi/>
      <w:spacing w:after="0" w:line="240" w:lineRule="auto"/>
    </w:pPr>
    <w:rPr>
      <w:rFonts w:ascii="Times New Roman" w:eastAsia="Times New Roman" w:hAnsi="Times New Roman" w:cs="B Mitra"/>
      <w:kern w:val="0"/>
      <w:szCs w:val="28"/>
      <w14:ligatures w14:val="none"/>
    </w:rPr>
  </w:style>
  <w:style w:type="paragraph" w:styleId="Heading1">
    <w:name w:val="heading 1"/>
    <w:basedOn w:val="Normal"/>
    <w:next w:val="Normal"/>
    <w:link w:val="Heading1Char"/>
    <w:uiPriority w:val="9"/>
    <w:qFormat/>
    <w:rsid w:val="003534CF"/>
    <w:pPr>
      <w:keepNext/>
      <w:keepLines/>
      <w:bidi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34CF"/>
    <w:pPr>
      <w:keepNext/>
      <w:keepLines/>
      <w:bidi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34CF"/>
    <w:pPr>
      <w:keepNext/>
      <w:keepLines/>
      <w:bidi w:val="0"/>
      <w:spacing w:before="160" w:after="80" w:line="278" w:lineRule="auto"/>
      <w:outlineLvl w:val="2"/>
    </w:pPr>
    <w:rPr>
      <w:rFonts w:asciiTheme="minorHAnsi" w:eastAsiaTheme="majorEastAsia" w:hAnsiTheme="minorHAnsi" w:cstheme="majorBidi"/>
      <w:color w:val="2F5496" w:themeColor="accent1" w:themeShade="BF"/>
      <w:kern w:val="2"/>
      <w:sz w:val="28"/>
      <w14:ligatures w14:val="standardContextual"/>
    </w:rPr>
  </w:style>
  <w:style w:type="paragraph" w:styleId="Heading4">
    <w:name w:val="heading 4"/>
    <w:basedOn w:val="Normal"/>
    <w:next w:val="Normal"/>
    <w:link w:val="Heading4Char"/>
    <w:uiPriority w:val="9"/>
    <w:semiHidden/>
    <w:unhideWhenUsed/>
    <w:qFormat/>
    <w:rsid w:val="003534CF"/>
    <w:pPr>
      <w:keepNext/>
      <w:keepLines/>
      <w:bidi w:val="0"/>
      <w:spacing w:before="80" w:after="40" w:line="278"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534CF"/>
    <w:pPr>
      <w:keepNext/>
      <w:keepLines/>
      <w:bidi w:val="0"/>
      <w:spacing w:before="80" w:after="40" w:line="278"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534CF"/>
    <w:pPr>
      <w:keepNext/>
      <w:keepLines/>
      <w:bidi w:val="0"/>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534CF"/>
    <w:pPr>
      <w:keepNext/>
      <w:keepLines/>
      <w:bidi w:val="0"/>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534CF"/>
    <w:pPr>
      <w:keepNext/>
      <w:keepLines/>
      <w:bidi w:val="0"/>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534CF"/>
    <w:pPr>
      <w:keepNext/>
      <w:keepLines/>
      <w:bidi w:val="0"/>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4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4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4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4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4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4CF"/>
    <w:rPr>
      <w:rFonts w:eastAsiaTheme="majorEastAsia" w:cstheme="majorBidi"/>
      <w:color w:val="272727" w:themeColor="text1" w:themeTint="D8"/>
    </w:rPr>
  </w:style>
  <w:style w:type="paragraph" w:styleId="Title">
    <w:name w:val="Title"/>
    <w:basedOn w:val="Normal"/>
    <w:next w:val="Normal"/>
    <w:link w:val="TitleChar"/>
    <w:uiPriority w:val="10"/>
    <w:qFormat/>
    <w:rsid w:val="003534CF"/>
    <w:pPr>
      <w:bidi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3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4CF"/>
    <w:pPr>
      <w:numPr>
        <w:ilvl w:val="1"/>
      </w:numPr>
      <w:bidi w:val="0"/>
      <w:spacing w:after="160" w:line="278" w:lineRule="auto"/>
    </w:pPr>
    <w:rPr>
      <w:rFonts w:asciiTheme="minorHAnsi" w:eastAsiaTheme="majorEastAsia" w:hAnsiTheme="minorHAnsi" w:cstheme="majorBidi"/>
      <w:color w:val="595959" w:themeColor="text1" w:themeTint="A6"/>
      <w:spacing w:val="15"/>
      <w:kern w:val="2"/>
      <w:sz w:val="28"/>
      <w14:ligatures w14:val="standardContextual"/>
    </w:rPr>
  </w:style>
  <w:style w:type="character" w:customStyle="1" w:styleId="SubtitleChar">
    <w:name w:val="Subtitle Char"/>
    <w:basedOn w:val="DefaultParagraphFont"/>
    <w:link w:val="Subtitle"/>
    <w:uiPriority w:val="11"/>
    <w:rsid w:val="00353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4CF"/>
    <w:pPr>
      <w:bidi w:val="0"/>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534CF"/>
    <w:rPr>
      <w:i/>
      <w:iCs/>
      <w:color w:val="404040" w:themeColor="text1" w:themeTint="BF"/>
    </w:rPr>
  </w:style>
  <w:style w:type="paragraph" w:styleId="ListParagraph">
    <w:name w:val="List Paragraph"/>
    <w:basedOn w:val="Normal"/>
    <w:uiPriority w:val="34"/>
    <w:qFormat/>
    <w:rsid w:val="003534CF"/>
    <w:pPr>
      <w:bidi w:val="0"/>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534CF"/>
    <w:rPr>
      <w:i/>
      <w:iCs/>
      <w:color w:val="2F5496" w:themeColor="accent1" w:themeShade="BF"/>
    </w:rPr>
  </w:style>
  <w:style w:type="paragraph" w:styleId="IntenseQuote">
    <w:name w:val="Intense Quote"/>
    <w:basedOn w:val="Normal"/>
    <w:next w:val="Normal"/>
    <w:link w:val="IntenseQuoteChar"/>
    <w:uiPriority w:val="30"/>
    <w:qFormat/>
    <w:rsid w:val="003534CF"/>
    <w:pPr>
      <w:pBdr>
        <w:top w:val="single" w:sz="4" w:space="10" w:color="2F5496" w:themeColor="accent1" w:themeShade="BF"/>
        <w:bottom w:val="single" w:sz="4" w:space="10" w:color="2F5496" w:themeColor="accent1" w:themeShade="BF"/>
      </w:pBdr>
      <w:bidi w:val="0"/>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534CF"/>
    <w:rPr>
      <w:i/>
      <w:iCs/>
      <w:color w:val="2F5496" w:themeColor="accent1" w:themeShade="BF"/>
    </w:rPr>
  </w:style>
  <w:style w:type="character" w:styleId="IntenseReference">
    <w:name w:val="Intense Reference"/>
    <w:basedOn w:val="DefaultParagraphFont"/>
    <w:uiPriority w:val="32"/>
    <w:qFormat/>
    <w:rsid w:val="003534CF"/>
    <w:rPr>
      <w:b/>
      <w:bCs/>
      <w:smallCaps/>
      <w:color w:val="2F5496" w:themeColor="accent1" w:themeShade="BF"/>
      <w:spacing w:val="5"/>
    </w:rPr>
  </w:style>
  <w:style w:type="paragraph" w:customStyle="1" w:styleId="a">
    <w:name w:val="پاورقی"/>
    <w:basedOn w:val="Normal"/>
    <w:rsid w:val="003534CF"/>
    <w:pPr>
      <w:spacing w:line="192" w:lineRule="auto"/>
    </w:pPr>
    <w:rPr>
      <w:rFonts w:ascii="Adobe Arabic" w:hAnsi="Adobe Arabic" w:cs="B Lotus"/>
      <w:sz w:val="20"/>
      <w:szCs w:val="22"/>
    </w:rPr>
  </w:style>
  <w:style w:type="character" w:styleId="FootnoteReference">
    <w:name w:val="footnote reference"/>
    <w:basedOn w:val="DefaultParagraphFont"/>
    <w:semiHidden/>
    <w:rsid w:val="003534CF"/>
    <w:rPr>
      <w:rFonts w:cs="Times New Roman"/>
      <w:vertAlign w:val="superscript"/>
    </w:rPr>
  </w:style>
  <w:style w:type="paragraph" w:customStyle="1" w:styleId="01">
    <w:name w:val="01"/>
    <w:basedOn w:val="Normal"/>
    <w:rsid w:val="003534CF"/>
    <w:pPr>
      <w:spacing w:before="2600" w:line="360" w:lineRule="auto"/>
    </w:pPr>
    <w:rPr>
      <w:rFonts w:cs="B Zar"/>
      <w:b/>
      <w:bCs/>
    </w:rPr>
  </w:style>
  <w:style w:type="paragraph" w:customStyle="1" w:styleId="a0">
    <w:name w:val="متن"/>
    <w:basedOn w:val="Normal"/>
    <w:link w:val="Char"/>
    <w:qFormat/>
    <w:rsid w:val="003534CF"/>
    <w:pPr>
      <w:widowControl w:val="0"/>
      <w:autoSpaceDE w:val="0"/>
      <w:autoSpaceDN w:val="0"/>
      <w:adjustRightInd w:val="0"/>
      <w:spacing w:line="400" w:lineRule="exact"/>
      <w:ind w:firstLine="170"/>
      <w:jc w:val="lowKashida"/>
    </w:pPr>
    <w:rPr>
      <w:szCs w:val="27"/>
      <w:lang w:bidi="fa-IR"/>
    </w:rPr>
  </w:style>
  <w:style w:type="character" w:customStyle="1" w:styleId="Char">
    <w:name w:val="متن Char"/>
    <w:basedOn w:val="DefaultParagraphFont"/>
    <w:link w:val="a0"/>
    <w:rsid w:val="003534CF"/>
    <w:rPr>
      <w:rFonts w:ascii="Times New Roman" w:eastAsia="Times New Roman" w:hAnsi="Times New Roman" w:cs="B Mitra"/>
      <w:kern w:val="0"/>
      <w:szCs w:val="27"/>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2025-07-22T07:04:00Z</dcterms:created>
  <dcterms:modified xsi:type="dcterms:W3CDTF">2025-07-27T12:07:00Z</dcterms:modified>
</cp:coreProperties>
</file>