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42E4F82A"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64D2D0D7"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904E3B" w:rsidRPr="00DC419C">
        <w:rPr>
          <w:rFonts w:ascii="Times New Roman" w:eastAsia="Times New Roman" w:hAnsi="Times New Roman" w:cs="B Titr" w:hint="cs"/>
          <w:rtl/>
          <w:lang w:bidi="fa-IR"/>
        </w:rPr>
        <w:t>هشتاد</w:t>
      </w:r>
      <w:r w:rsidR="00E240DA" w:rsidRPr="00DC419C">
        <w:rPr>
          <w:rFonts w:ascii="Times New Roman" w:eastAsia="Times New Roman" w:hAnsi="Times New Roman" w:cs="B Titr" w:hint="cs"/>
          <w:rtl/>
          <w:lang w:bidi="fa-IR"/>
        </w:rPr>
        <w:t xml:space="preserve"> و </w:t>
      </w:r>
      <w:r w:rsidR="00C76A8A" w:rsidRPr="00DC419C">
        <w:rPr>
          <w:rFonts w:ascii="Times New Roman" w:eastAsia="Times New Roman" w:hAnsi="Times New Roman" w:cs="B Titr" w:hint="cs"/>
          <w:rtl/>
          <w:lang w:bidi="fa-IR"/>
        </w:rPr>
        <w:t>پنج</w:t>
      </w:r>
      <w:r w:rsidR="00904E3B" w:rsidRPr="00DC419C">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755940" w:rsidRPr="00DC419C">
        <w:rPr>
          <w:rFonts w:ascii="Times New Roman" w:eastAsia="Times New Roman" w:hAnsi="Times New Roman" w:cs="B Titr" w:hint="cs"/>
          <w:rtl/>
          <w:lang w:bidi="fa-IR"/>
        </w:rPr>
        <w:t>2</w:t>
      </w:r>
      <w:r w:rsidR="00C76A8A" w:rsidRPr="00DC419C">
        <w:rPr>
          <w:rFonts w:ascii="Times New Roman" w:eastAsia="Times New Roman" w:hAnsi="Times New Roman" w:cs="B Titr" w:hint="cs"/>
          <w:rtl/>
          <w:lang w:bidi="fa-IR"/>
        </w:rPr>
        <w:t>7</w:t>
      </w:r>
      <w:r w:rsidR="00A103F3" w:rsidRPr="00DC419C">
        <w:rPr>
          <w:rFonts w:ascii="Times New Roman" w:eastAsia="Times New Roman" w:hAnsi="Times New Roman" w:cs="B Titr" w:hint="cs"/>
          <w:rtl/>
          <w:lang w:bidi="fa-IR"/>
        </w:rPr>
        <w:t xml:space="preserve"> </w:t>
      </w:r>
      <w:r w:rsidR="000624E0" w:rsidRPr="00DC419C">
        <w:rPr>
          <w:rFonts w:ascii="Times New Roman" w:eastAsia="Times New Roman" w:hAnsi="Times New Roman" w:cs="B Titr" w:hint="cs"/>
          <w:rtl/>
          <w:lang w:bidi="fa-IR"/>
        </w:rPr>
        <w:t>ا</w:t>
      </w:r>
      <w:r w:rsidR="005253C9" w:rsidRPr="00DC419C">
        <w:rPr>
          <w:rFonts w:ascii="Times New Roman" w:eastAsia="Times New Roman" w:hAnsi="Times New Roman" w:cs="B Titr" w:hint="cs"/>
          <w:rtl/>
          <w:lang w:bidi="fa-IR"/>
        </w:rPr>
        <w:t>ردیبهشت</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126BDA5C"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E15B29">
        <w:rPr>
          <w:rFonts w:ascii="Times New Roman" w:eastAsia="Times New Roman" w:hAnsi="Times New Roman" w:cs="B Titr" w:hint="cs"/>
          <w:rtl/>
          <w:lang w:bidi="fa-IR"/>
        </w:rPr>
        <w:t>ادامۀ بحث در مقدمۀ سوم</w:t>
      </w:r>
      <w:r w:rsidRPr="00DC419C">
        <w:rPr>
          <w:rFonts w:ascii="Times New Roman" w:eastAsia="Times New Roman" w:hAnsi="Times New Roman" w:cs="B Titr" w:hint="cs"/>
          <w:rtl/>
          <w:lang w:bidi="fa-IR"/>
        </w:rPr>
        <w:t>]</w:t>
      </w:r>
    </w:p>
    <w:p w14:paraId="216F766B" w14:textId="3C1C4152" w:rsidR="00C76A8A" w:rsidRDefault="00DC419C" w:rsidP="004204C4">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برخورد با روایات متعارض چهار منهج بوده که شاید بتوان منهجی جدا هم از آن چهار منهج تصور کرد که مجموعا 5 منهج بشود.</w:t>
      </w:r>
    </w:p>
    <w:p w14:paraId="2302B4A4" w14:textId="0B6E8E36" w:rsidR="00E15B29" w:rsidRPr="00E15B29" w:rsidRDefault="00E15B29" w:rsidP="00E15B29">
      <w:pPr>
        <w:pStyle w:val="NormalWeb"/>
        <w:bidi/>
        <w:jc w:val="lowKashida"/>
        <w:rPr>
          <w:rFonts w:asciiTheme="minorHAnsi" w:eastAsiaTheme="minorHAnsi" w:hAnsiTheme="minorHAnsi" w:cs="B Lotus"/>
          <w:sz w:val="28"/>
          <w:szCs w:val="28"/>
          <w:rtl/>
          <w:lang w:bidi="fa-IR"/>
        </w:rPr>
      </w:pPr>
      <w:r w:rsidRPr="00E84850">
        <w:rPr>
          <w:rFonts w:asciiTheme="minorHAnsi" w:eastAsiaTheme="minorHAnsi" w:hAnsiTheme="minorHAnsi" w:cs="B Titr" w:hint="cs"/>
          <w:sz w:val="28"/>
          <w:szCs w:val="28"/>
          <w:rtl/>
          <w:lang w:bidi="fa-IR"/>
        </w:rPr>
        <w:t>[</w:t>
      </w:r>
      <w:r>
        <w:rPr>
          <w:rFonts w:asciiTheme="minorHAnsi" w:eastAsiaTheme="minorHAnsi" w:hAnsiTheme="minorHAnsi" w:cs="B Titr" w:hint="cs"/>
          <w:sz w:val="28"/>
          <w:szCs w:val="28"/>
          <w:rtl/>
          <w:lang w:bidi="fa-IR"/>
        </w:rPr>
        <w:t>ادامۀ بحث در منهج سوم</w:t>
      </w:r>
      <w:r w:rsidRPr="00E84850">
        <w:rPr>
          <w:rFonts w:asciiTheme="minorHAnsi" w:eastAsiaTheme="minorHAnsi" w:hAnsiTheme="minorHAnsi" w:cs="B Titr" w:hint="cs"/>
          <w:sz w:val="28"/>
          <w:szCs w:val="28"/>
          <w:rtl/>
          <w:lang w:bidi="fa-IR"/>
        </w:rPr>
        <w:t>]</w:t>
      </w:r>
    </w:p>
    <w:p w14:paraId="41D30C83" w14:textId="043C9BC3" w:rsidR="00E15B29" w:rsidRPr="00E15B29" w:rsidRDefault="00E15B29" w:rsidP="00DC419C">
      <w:pPr>
        <w:bidi/>
        <w:spacing w:before="100" w:beforeAutospacing="1" w:after="100" w:afterAutospacing="1" w:line="240" w:lineRule="auto"/>
        <w:jc w:val="lowKashida"/>
        <w:rPr>
          <w:rFonts w:asciiTheme="minorHAnsi" w:hAnsiTheme="minorHAnsi" w:cs="B Titr"/>
          <w:rtl/>
          <w:lang w:bidi="fa-IR"/>
        </w:rPr>
      </w:pPr>
      <w:r w:rsidRPr="00E15B29">
        <w:rPr>
          <w:rFonts w:asciiTheme="minorHAnsi" w:hAnsiTheme="minorHAnsi" w:cs="B Titr" w:hint="cs"/>
          <w:rtl/>
          <w:lang w:bidi="fa-IR"/>
        </w:rPr>
        <w:t>[2تأمّل در عبارت کلینی در مقدمۀ کافی]</w:t>
      </w:r>
    </w:p>
    <w:p w14:paraId="5ECF1F2C" w14:textId="52DEA0FE" w:rsidR="00DC419C" w:rsidRDefault="00DC419C" w:rsidP="00E15B2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منهج سوم از محدثین و اخباریین بود و عبارت جناب کلینی خوانده شد. حال دو تأمل در عبارت ایش</w:t>
      </w:r>
      <w:r w:rsidR="00E15B29">
        <w:rPr>
          <w:rFonts w:ascii="Times New Roman" w:eastAsia="Times New Roman" w:hAnsi="Times New Roman" w:hint="cs"/>
          <w:rtl/>
          <w:lang w:bidi="fa-IR"/>
        </w:rPr>
        <w:t>ا</w:t>
      </w:r>
      <w:r>
        <w:rPr>
          <w:rFonts w:ascii="Times New Roman" w:eastAsia="Times New Roman" w:hAnsi="Times New Roman" w:hint="cs"/>
          <w:rtl/>
          <w:lang w:bidi="fa-IR"/>
        </w:rPr>
        <w:t>ن داریم.</w:t>
      </w:r>
    </w:p>
    <w:p w14:paraId="31D82D99" w14:textId="588E1559" w:rsidR="00DC419C" w:rsidRDefault="00DC419C" w:rsidP="00DC419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اول این‌که فرمود ما از آن راه‌هایی که گفته شده است برای حل تعارض مثل عرضه به قرآن، اخذ به مخالف عامه و اخذ به مجمع علیه الا قلیلی را آگاهی نداریم. این الا قلیل به چه معناست؟ </w:t>
      </w:r>
    </w:p>
    <w:p w14:paraId="5DD5DC55" w14:textId="1BDA257A" w:rsidR="00DC419C" w:rsidRDefault="00DC419C" w:rsidP="00DC419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دو احتمال در این عبارت داده می‌شود:</w:t>
      </w:r>
    </w:p>
    <w:p w14:paraId="1ADC86E0" w14:textId="7C72C4AA" w:rsidR="00DC419C" w:rsidRDefault="00DC419C" w:rsidP="00DC419C">
      <w:pPr>
        <w:pStyle w:val="ListParagraph"/>
        <w:numPr>
          <w:ilvl w:val="0"/>
          <w:numId w:val="39"/>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یعنی ما اصلا نمی‌دانیم مراد از این سه معیار چیست؟ خود این سه معیار تفسیر واضحی برای ما ندارد.</w:t>
      </w:r>
    </w:p>
    <w:p w14:paraId="59EFA45E" w14:textId="27910316" w:rsidR="00DC419C" w:rsidRDefault="00DC419C" w:rsidP="00DC419C">
      <w:pPr>
        <w:pStyle w:val="ListParagraph"/>
        <w:numPr>
          <w:ilvl w:val="0"/>
          <w:numId w:val="39"/>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می‌دانیم منظور چیست. موردش را کم می‌شناسیم که بتوانیم این ها را بر آن مورد تطبیق بدهیم</w:t>
      </w:r>
    </w:p>
    <w:p w14:paraId="01302F33" w14:textId="24E2FCED" w:rsidR="00DC419C" w:rsidRDefault="00DC419C" w:rsidP="00DC419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احتمال اول توضیح می‌دهد مثلا در مورد موافقت و مخالفت با کتاب منظور چیست؟ دو احتمال است:</w:t>
      </w:r>
    </w:p>
    <w:p w14:paraId="330DDD20" w14:textId="39A44CFD" w:rsidR="00DC419C" w:rsidRDefault="00DC419C" w:rsidP="00DC419C">
      <w:pPr>
        <w:pStyle w:val="ListParagraph"/>
        <w:numPr>
          <w:ilvl w:val="0"/>
          <w:numId w:val="40"/>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موافق با کتاب شرط حجیت روایت باشد، یعنی اگر موافق نبود، اصلا روایت حجت نیست.</w:t>
      </w:r>
    </w:p>
    <w:p w14:paraId="6F2A69F0" w14:textId="3B8320A3" w:rsidR="00DC419C" w:rsidRDefault="00DC419C" w:rsidP="00DC419C">
      <w:pPr>
        <w:pStyle w:val="ListParagraph"/>
        <w:numPr>
          <w:ilvl w:val="0"/>
          <w:numId w:val="40"/>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موافقت با کتاب مرجح باشد.</w:t>
      </w:r>
    </w:p>
    <w:p w14:paraId="3087E09C" w14:textId="4B03A120" w:rsidR="00DC419C" w:rsidRDefault="00DC419C" w:rsidP="00DC419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این‌ها با هم متفاوت است. بحث ترجیح وقتی مطرح است که دو حجت لولائی باشد، دو صادر باشند و با هم تع</w:t>
      </w:r>
      <w:r w:rsidR="00E15B29">
        <w:rPr>
          <w:rFonts w:ascii="Times New Roman" w:eastAsia="Times New Roman" w:hAnsi="Times New Roman" w:hint="cs"/>
          <w:rtl/>
          <w:lang w:bidi="fa-IR"/>
        </w:rPr>
        <w:t>ار</w:t>
      </w:r>
      <w:r>
        <w:rPr>
          <w:rFonts w:ascii="Times New Roman" w:eastAsia="Times New Roman" w:hAnsi="Times New Roman" w:hint="cs"/>
          <w:rtl/>
          <w:lang w:bidi="fa-IR"/>
        </w:rPr>
        <w:t xml:space="preserve">ض دارند. آیا اینجا مطرح شود؟ </w:t>
      </w:r>
    </w:p>
    <w:p w14:paraId="4D3C2FA8" w14:textId="1142C617" w:rsidR="003A7E85" w:rsidRDefault="003A7E85" w:rsidP="003A7E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در مورد اخذ به مخالفت با عامه باز دو احتمال است:</w:t>
      </w:r>
    </w:p>
    <w:p w14:paraId="49B61B66" w14:textId="45C4D70C" w:rsidR="003A7E85" w:rsidRDefault="003A7E85" w:rsidP="003A7E85">
      <w:pPr>
        <w:pStyle w:val="ListParagraph"/>
        <w:numPr>
          <w:ilvl w:val="0"/>
          <w:numId w:val="41"/>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اصلا مخالفت با عامه موضوعیت دارد، هر جا دیدید دو روایت بود، یکی موافق و دیگری مخالف، آنی که مخالف بود را عمل کنید.</w:t>
      </w:r>
    </w:p>
    <w:p w14:paraId="6CC2075D" w14:textId="17BC4C64" w:rsidR="003A7E85" w:rsidRDefault="003A7E85" w:rsidP="003A7E85">
      <w:pPr>
        <w:pStyle w:val="ListParagraph"/>
        <w:numPr>
          <w:ilvl w:val="0"/>
          <w:numId w:val="41"/>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 xml:space="preserve">طریقیت دارد. شما می‌خواهید تشخیص دهید کدام روایت صدرت عن تقیة، کدام روایة مدلول جدی دارد و تقیةً صادر نشده است. چه راهی دارید تشخیص بدهید این دو را از یکدیگر. مخالفت با عامه موضوعیت ندارد طبق این معنا. طریق است برای تشخیص احکام و روایاتی که مدلول جدی ندارد، از روایاتی که مدلول جدی دارد یعنی تقیة صادر نشده است؛ لهذا دیگر سراغ همۀ عامه نمی‌روید، آن عامه‌ایی را مد نظر دراید که معاصر با سلاطین و حکام جور بوده است. </w:t>
      </w:r>
    </w:p>
    <w:p w14:paraId="2DCB4DFA" w14:textId="6A482A0C" w:rsidR="003A7E85" w:rsidRDefault="003A7E85" w:rsidP="003A7E85">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کدام است؟</w:t>
      </w:r>
    </w:p>
    <w:p w14:paraId="6D81F35C" w14:textId="18EA2C5B" w:rsidR="003A7E85" w:rsidRDefault="003A7E85" w:rsidP="003A7E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سوم فرمود روایات است</w:t>
      </w:r>
      <w:r w:rsidR="00AE52D2">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روایات می گوید به </w:t>
      </w:r>
      <w:r w:rsidR="00E15B29">
        <w:rPr>
          <w:rFonts w:ascii="Times New Roman" w:eastAsia="Times New Roman" w:hAnsi="Times New Roman" w:hint="cs"/>
          <w:rtl/>
          <w:lang w:bidi="fa-IR"/>
        </w:rPr>
        <w:t>آ</w:t>
      </w:r>
      <w:r>
        <w:rPr>
          <w:rFonts w:ascii="Times New Roman" w:eastAsia="Times New Roman" w:hAnsi="Times New Roman" w:hint="cs"/>
          <w:rtl/>
          <w:lang w:bidi="fa-IR"/>
        </w:rPr>
        <w:t>ن</w:t>
      </w:r>
      <w:r w:rsidR="00E15B29">
        <w:rPr>
          <w:rFonts w:ascii="Times New Roman" w:eastAsia="Times New Roman" w:hAnsi="Times New Roman" w:hint="cs"/>
          <w:rtl/>
          <w:lang w:bidi="fa-IR"/>
        </w:rPr>
        <w:t xml:space="preserve"> </w:t>
      </w:r>
      <w:r>
        <w:rPr>
          <w:rFonts w:ascii="Times New Roman" w:eastAsia="Times New Roman" w:hAnsi="Times New Roman" w:hint="cs"/>
          <w:rtl/>
          <w:lang w:bidi="fa-IR"/>
        </w:rPr>
        <w:t>چیزی که مجمع علیه است اخذ کنید دو احتمال باز در آن است،</w:t>
      </w:r>
    </w:p>
    <w:p w14:paraId="17967861" w14:textId="0A60DC18" w:rsidR="003A7E85" w:rsidRDefault="003A7E85" w:rsidP="003A7E85">
      <w:pPr>
        <w:pStyle w:val="ListParagraph"/>
        <w:numPr>
          <w:ilvl w:val="0"/>
          <w:numId w:val="42"/>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 xml:space="preserve">آیا مراد مجمع علیه است من حیث الروایة یعنی شهرت روایی </w:t>
      </w:r>
    </w:p>
    <w:p w14:paraId="52779B21" w14:textId="1C10980E" w:rsidR="003A7E85" w:rsidRDefault="003A7E85" w:rsidP="003A7E85">
      <w:pPr>
        <w:pStyle w:val="ListParagraph"/>
        <w:numPr>
          <w:ilvl w:val="0"/>
          <w:numId w:val="42"/>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یا مجمع علیه من حیث الفتوا که شهرت فتوائی باشد</w:t>
      </w:r>
    </w:p>
    <w:p w14:paraId="43A60948" w14:textId="3A89CA1A" w:rsidR="003A7E85" w:rsidRDefault="003A7E85" w:rsidP="003A7E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این‌ها همه زیر مجموعۀ احتمال اول است که بگوییم حرف کلینی این است که این سه معیار مجمل است و خودش در آن احتمالاتی دارد و</w:t>
      </w:r>
      <w:r w:rsidR="0061479D">
        <w:rPr>
          <w:rFonts w:ascii="Times New Roman" w:eastAsia="Times New Roman" w:hAnsi="Times New Roman" w:hint="cs"/>
          <w:rtl/>
          <w:lang w:bidi="fa-IR"/>
        </w:rPr>
        <w:t xml:space="preserve"> </w:t>
      </w:r>
      <w:r>
        <w:rPr>
          <w:rFonts w:ascii="Times New Roman" w:eastAsia="Times New Roman" w:hAnsi="Times New Roman" w:hint="cs"/>
          <w:rtl/>
          <w:lang w:bidi="fa-IR"/>
        </w:rPr>
        <w:t>وقتی معیار مجمل بود، نمی توانیم عمل کنیم</w:t>
      </w:r>
    </w:p>
    <w:p w14:paraId="1BAE0977" w14:textId="6D3F7ADD" w:rsidR="003A7E85" w:rsidRDefault="003A7E85" w:rsidP="003A7E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احتمال دوم این بود که می دانیم معنا چیست اما این که مصداقش را بخواهیم تطبیق بدهیم را نمی توانیم. تطبیق مشکل است، مخصوصا در مورد مخالفت با عامه. شما باید تمام کتب مهم عامه را مطلع باشید و موارد اختلافشان رابدانید تا بیایید تطبیق دهید. پس کلام </w:t>
      </w:r>
      <w:r w:rsidR="00435A0E">
        <w:rPr>
          <w:rFonts w:ascii="Times New Roman" w:eastAsia="Times New Roman" w:hAnsi="Times New Roman" w:hint="cs"/>
          <w:rtl/>
          <w:lang w:bidi="fa-IR"/>
        </w:rPr>
        <w:t>کلینی این احتمالات درش هست</w:t>
      </w:r>
    </w:p>
    <w:p w14:paraId="37596E17" w14:textId="1C501A45" w:rsidR="00435A0E" w:rsidRDefault="00435A0E" w:rsidP="00435A0E">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عرض بنده این است که ظاهرا ایشان این احتمال دوم مرادش باشد. فرمود: </w:t>
      </w:r>
      <w:r w:rsidRPr="00E06136">
        <w:rPr>
          <w:rFonts w:asciiTheme="minorHAnsi" w:hAnsiTheme="minorHAnsi" w:hint="cs"/>
          <w:b/>
          <w:bCs/>
          <w:rtl/>
          <w:lang w:bidi="fa-IR"/>
        </w:rPr>
        <w:t>و نحن لا نعرف من جمیع ذلک کله الا اقله</w:t>
      </w:r>
      <w:r>
        <w:rPr>
          <w:rFonts w:ascii="Times New Roman" w:eastAsia="Times New Roman" w:hAnsi="Times New Roman" w:hint="cs"/>
          <w:rtl/>
          <w:lang w:bidi="fa-IR"/>
        </w:rPr>
        <w:t>.</w:t>
      </w:r>
    </w:p>
    <w:p w14:paraId="480C8BE7" w14:textId="470589F1" w:rsidR="00E45C38" w:rsidRDefault="00E45C38" w:rsidP="00E45C3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موضع دوم از عبارت کلینی</w:t>
      </w:r>
      <w:r w:rsidR="0061479D">
        <w:rPr>
          <w:rFonts w:ascii="Times New Roman" w:eastAsia="Times New Roman" w:hAnsi="Times New Roman" w:hint="cs"/>
          <w:rtl/>
          <w:lang w:bidi="fa-IR"/>
        </w:rPr>
        <w:t>:</w:t>
      </w:r>
      <w:r>
        <w:rPr>
          <w:rFonts w:ascii="Times New Roman" w:eastAsia="Times New Roman" w:hAnsi="Times New Roman" w:hint="cs"/>
          <w:rtl/>
          <w:lang w:bidi="fa-IR"/>
        </w:rPr>
        <w:t xml:space="preserve"> </w:t>
      </w:r>
    </w:p>
    <w:p w14:paraId="295891AE" w14:textId="6AB4583A" w:rsidR="00E45C38" w:rsidRDefault="00E45C38" w:rsidP="00E45C3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مورد آنجایی که گفت به تخییر مراجعه می</w:t>
      </w:r>
      <w:r w:rsidR="00E15B29">
        <w:rPr>
          <w:rFonts w:ascii="Times New Roman" w:eastAsia="Times New Roman" w:hAnsi="Times New Roman" w:hint="eastAsia"/>
          <w:rtl/>
          <w:lang w:bidi="fa-IR"/>
        </w:rPr>
        <w:t>‌</w:t>
      </w:r>
      <w:r>
        <w:rPr>
          <w:rFonts w:ascii="Times New Roman" w:eastAsia="Times New Roman" w:hAnsi="Times New Roman" w:hint="cs"/>
          <w:rtl/>
          <w:lang w:bidi="fa-IR"/>
        </w:rPr>
        <w:t>کنیم، این هم صریح نیست که منظور ایشان چیست.</w:t>
      </w:r>
    </w:p>
    <w:p w14:paraId="6F383727" w14:textId="52CD9F92" w:rsidR="00E45C38" w:rsidRDefault="00E45C38" w:rsidP="00E45C3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یک احتمال این است که و لو مرجحی هست و فهمیدیم که مرجح است، مرجح را کنار میزنیم و احوط و</w:t>
      </w:r>
      <w:r w:rsidR="005F137C">
        <w:rPr>
          <w:rFonts w:ascii="Times New Roman" w:eastAsia="Times New Roman" w:hAnsi="Times New Roman" w:hint="cs"/>
          <w:rtl/>
          <w:lang w:bidi="fa-IR"/>
        </w:rPr>
        <w:t xml:space="preserve"> </w:t>
      </w:r>
      <w:r>
        <w:rPr>
          <w:rFonts w:ascii="Times New Roman" w:eastAsia="Times New Roman" w:hAnsi="Times New Roman" w:hint="cs"/>
          <w:rtl/>
          <w:lang w:bidi="fa-IR"/>
        </w:rPr>
        <w:t>اوسع تخییر است. این</w:t>
      </w:r>
      <w:r w:rsidR="005F137C">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است معنایش </w:t>
      </w:r>
      <w:r w:rsidR="005F137C">
        <w:rPr>
          <w:rFonts w:ascii="Times New Roman" w:eastAsia="Times New Roman" w:hAnsi="Times New Roman" w:hint="cs"/>
          <w:rtl/>
          <w:lang w:bidi="fa-IR"/>
        </w:rPr>
        <w:t>یا</w:t>
      </w:r>
      <w:r>
        <w:rPr>
          <w:rFonts w:ascii="Times New Roman" w:eastAsia="Times New Roman" w:hAnsi="Times New Roman" w:hint="cs"/>
          <w:rtl/>
          <w:lang w:bidi="fa-IR"/>
        </w:rPr>
        <w:t xml:space="preserve"> نه برو سراغ مرجحات ولی بدان که مرجحات کم است پس احوط و اوسع مراجعه به تخییر</w:t>
      </w:r>
      <w:r w:rsidR="005F137C">
        <w:rPr>
          <w:rFonts w:ascii="Times New Roman" w:eastAsia="Times New Roman" w:hAnsi="Times New Roman" w:hint="cs"/>
          <w:rtl/>
          <w:lang w:bidi="fa-IR"/>
        </w:rPr>
        <w:t xml:space="preserve"> </w:t>
      </w:r>
      <w:r>
        <w:rPr>
          <w:rFonts w:ascii="Times New Roman" w:eastAsia="Times New Roman" w:hAnsi="Times New Roman" w:hint="cs"/>
          <w:rtl/>
          <w:lang w:bidi="fa-IR"/>
        </w:rPr>
        <w:t>است. کدام منظور است؟ ا</w:t>
      </w:r>
      <w:r w:rsidR="005F137C">
        <w:rPr>
          <w:rFonts w:ascii="Times New Roman" w:eastAsia="Times New Roman" w:hAnsi="Times New Roman" w:hint="cs"/>
          <w:rtl/>
          <w:lang w:bidi="fa-IR"/>
        </w:rPr>
        <w:t>تفاقا</w:t>
      </w:r>
      <w:r>
        <w:rPr>
          <w:rFonts w:ascii="Times New Roman" w:eastAsia="Times New Roman" w:hAnsi="Times New Roman" w:hint="cs"/>
          <w:rtl/>
          <w:lang w:bidi="fa-IR"/>
        </w:rPr>
        <w:t xml:space="preserve"> در هر دو تفسیر قائل داریم که تخییر که می</w:t>
      </w:r>
      <w:r w:rsidR="005F137C">
        <w:rPr>
          <w:rFonts w:ascii="Times New Roman" w:eastAsia="Times New Roman" w:hAnsi="Times New Roman" w:hint="eastAsia"/>
          <w:rtl/>
          <w:lang w:bidi="fa-IR"/>
        </w:rPr>
        <w:t>‌</w:t>
      </w:r>
      <w:r>
        <w:rPr>
          <w:rFonts w:ascii="Times New Roman" w:eastAsia="Times New Roman" w:hAnsi="Times New Roman" w:hint="cs"/>
          <w:rtl/>
          <w:lang w:bidi="fa-IR"/>
        </w:rPr>
        <w:t xml:space="preserve">گوییم کی باید سراغ تخییر بریم، عند فقد المرجحات </w:t>
      </w:r>
      <w:r w:rsidR="005F137C">
        <w:rPr>
          <w:rFonts w:ascii="Times New Roman" w:eastAsia="Times New Roman" w:hAnsi="Times New Roman" w:hint="cs"/>
          <w:rtl/>
          <w:lang w:bidi="fa-IR"/>
        </w:rPr>
        <w:t>یا</w:t>
      </w:r>
      <w:r>
        <w:rPr>
          <w:rFonts w:ascii="Times New Roman" w:eastAsia="Times New Roman" w:hAnsi="Times New Roman" w:hint="cs"/>
          <w:rtl/>
          <w:lang w:bidi="fa-IR"/>
        </w:rPr>
        <w:t xml:space="preserve"> مع وجود </w:t>
      </w:r>
      <w:r>
        <w:rPr>
          <w:rFonts w:ascii="Times New Roman" w:eastAsia="Times New Roman" w:hAnsi="Times New Roman" w:hint="cs"/>
          <w:rtl/>
          <w:lang w:bidi="fa-IR"/>
        </w:rPr>
        <w:lastRenderedPageBreak/>
        <w:t xml:space="preserve">المرجحات. در هر دو احتمال قائل داریم. تفسیر اول را </w:t>
      </w:r>
      <w:r w:rsidR="0061479D">
        <w:rPr>
          <w:rFonts w:ascii="Times New Roman" w:eastAsia="Times New Roman" w:hAnsi="Times New Roman" w:hint="cs"/>
          <w:rtl/>
          <w:lang w:bidi="fa-IR"/>
        </w:rPr>
        <w:t>صاحب حدائق و صاحب کفایه اختیار کرده</w:t>
      </w:r>
      <w:r w:rsidR="0061479D">
        <w:rPr>
          <w:rFonts w:ascii="Times New Roman" w:eastAsia="Times New Roman" w:hAnsi="Times New Roman" w:hint="eastAsia"/>
          <w:rtl/>
          <w:lang w:bidi="fa-IR"/>
        </w:rPr>
        <w:t>‌</w:t>
      </w:r>
      <w:r w:rsidR="0061479D">
        <w:rPr>
          <w:rFonts w:ascii="Times New Roman" w:eastAsia="Times New Roman" w:hAnsi="Times New Roman" w:hint="cs"/>
          <w:rtl/>
          <w:lang w:bidi="fa-IR"/>
        </w:rPr>
        <w:t>اند. و علامه مجلسی هم ترجیح داده است.</w:t>
      </w:r>
      <w:r w:rsidR="004B25AD">
        <w:rPr>
          <w:rFonts w:ascii="Times New Roman" w:eastAsia="Times New Roman" w:hAnsi="Times New Roman" w:hint="cs"/>
          <w:rtl/>
          <w:lang w:bidi="fa-IR"/>
        </w:rPr>
        <w:t xml:space="preserve"> در احتمال دوم، صاحب عروة، محقق اصفهانی احتمال دوم را ترجیح داده‌اند.</w:t>
      </w:r>
    </w:p>
    <w:p w14:paraId="356F9076" w14:textId="4CD7DDC6" w:rsidR="0061479D" w:rsidRDefault="0061479D" w:rsidP="0061479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[عبارت مرحوم ملاصدرا و </w:t>
      </w:r>
      <w:r w:rsidR="00751FDC">
        <w:rPr>
          <w:rFonts w:ascii="Times New Roman" w:eastAsia="Times New Roman" w:hAnsi="Times New Roman" w:hint="cs"/>
          <w:rtl/>
          <w:lang w:bidi="fa-IR"/>
        </w:rPr>
        <w:t>تحلیل آیت الله سیستانی از این عبارت</w:t>
      </w:r>
      <w:r>
        <w:rPr>
          <w:rFonts w:ascii="Times New Roman" w:eastAsia="Times New Roman" w:hAnsi="Times New Roman" w:hint="cs"/>
          <w:rtl/>
          <w:lang w:bidi="fa-IR"/>
        </w:rPr>
        <w:t>]</w:t>
      </w:r>
    </w:p>
    <w:p w14:paraId="66A53E2A" w14:textId="377B87B0" w:rsidR="004B25AD" w:rsidRDefault="004B25AD" w:rsidP="004B25A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همین منهج سوم</w:t>
      </w:r>
      <w:r w:rsidR="0061479D">
        <w:rPr>
          <w:rFonts w:ascii="Times New Roman" w:eastAsia="Times New Roman" w:hAnsi="Times New Roman" w:hint="cs"/>
          <w:rtl/>
          <w:lang w:bidi="fa-IR"/>
        </w:rPr>
        <w:t xml:space="preserve"> یک</w:t>
      </w:r>
      <w:r>
        <w:rPr>
          <w:rFonts w:ascii="Times New Roman" w:eastAsia="Times New Roman" w:hAnsi="Times New Roman" w:hint="cs"/>
          <w:rtl/>
          <w:lang w:bidi="fa-IR"/>
        </w:rPr>
        <w:t xml:space="preserve"> را عبارتی را از مرحوم ملاصدرا رضوان الله تعالی علیه در شرح اصول کافی</w:t>
      </w:r>
      <w:r w:rsidR="0061479D">
        <w:rPr>
          <w:rFonts w:ascii="Times New Roman" w:eastAsia="Times New Roman" w:hAnsi="Times New Roman" w:hint="cs"/>
          <w:rtl/>
          <w:lang w:bidi="fa-IR"/>
        </w:rPr>
        <w:t xml:space="preserve"> ایشان</w:t>
      </w:r>
      <w:r>
        <w:rPr>
          <w:rFonts w:ascii="Times New Roman" w:eastAsia="Times New Roman" w:hAnsi="Times New Roman" w:hint="cs"/>
          <w:rtl/>
          <w:lang w:bidi="fa-IR"/>
        </w:rPr>
        <w:t xml:space="preserve"> نقل می</w:t>
      </w:r>
      <w:r w:rsidR="0061479D">
        <w:rPr>
          <w:rFonts w:ascii="Times New Roman" w:eastAsia="Times New Roman" w:hAnsi="Times New Roman" w:hint="eastAsia"/>
          <w:rtl/>
          <w:lang w:bidi="fa-IR"/>
        </w:rPr>
        <w:t>‌</w:t>
      </w:r>
      <w:r>
        <w:rPr>
          <w:rFonts w:ascii="Times New Roman" w:eastAsia="Times New Roman" w:hAnsi="Times New Roman" w:hint="cs"/>
          <w:rtl/>
          <w:lang w:bidi="fa-IR"/>
        </w:rPr>
        <w:t>کند</w:t>
      </w:r>
      <w:r w:rsidR="0061479D">
        <w:rPr>
          <w:rFonts w:ascii="Times New Roman" w:eastAsia="Times New Roman" w:hAnsi="Times New Roman" w:hint="cs"/>
          <w:rtl/>
          <w:lang w:bidi="fa-IR"/>
        </w:rPr>
        <w:t>:</w:t>
      </w:r>
      <w:r>
        <w:rPr>
          <w:rFonts w:ascii="Times New Roman" w:eastAsia="Times New Roman" w:hAnsi="Times New Roman" w:hint="cs"/>
          <w:rtl/>
          <w:lang w:bidi="fa-IR"/>
        </w:rPr>
        <w:t xml:space="preserve"> </w:t>
      </w:r>
    </w:p>
    <w:p w14:paraId="0F492610" w14:textId="65E33B58" w:rsidR="004B25AD" w:rsidRDefault="004B25AD" w:rsidP="004B25A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مرحوم</w:t>
      </w:r>
      <w:r w:rsidR="0061479D">
        <w:rPr>
          <w:rFonts w:ascii="Times New Roman" w:eastAsia="Times New Roman" w:hAnsi="Times New Roman" w:hint="cs"/>
          <w:rtl/>
          <w:lang w:bidi="fa-IR"/>
        </w:rPr>
        <w:t xml:space="preserve"> </w:t>
      </w:r>
      <w:r>
        <w:rPr>
          <w:rFonts w:ascii="Times New Roman" w:eastAsia="Times New Roman" w:hAnsi="Times New Roman" w:hint="cs"/>
          <w:rtl/>
          <w:lang w:bidi="fa-IR"/>
        </w:rPr>
        <w:t>ملاصدرا در ذیل</w:t>
      </w:r>
      <w:r w:rsidR="0061479D">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روایت </w:t>
      </w:r>
      <w:r w:rsidR="0061479D" w:rsidRPr="00EE6585">
        <w:rPr>
          <w:rFonts w:asciiTheme="minorHAnsi" w:hAnsiTheme="minorHAnsi" w:hint="cs"/>
          <w:b/>
          <w:bCs/>
          <w:rtl/>
          <w:lang w:bidi="fa-IR"/>
        </w:rPr>
        <w:t xml:space="preserve">بأیّما أخذت </w:t>
      </w:r>
      <w:r w:rsidR="0061479D">
        <w:rPr>
          <w:rFonts w:asciiTheme="minorHAnsi" w:hAnsiTheme="minorHAnsi" w:hint="cs"/>
          <w:b/>
          <w:bCs/>
          <w:rtl/>
          <w:lang w:bidi="fa-IR"/>
        </w:rPr>
        <w:t>من باب التسلیم وسعکم</w:t>
      </w:r>
      <w:r w:rsidR="0061479D">
        <w:rPr>
          <w:rStyle w:val="FootnoteReference"/>
          <w:rFonts w:asciiTheme="minorHAnsi" w:hAnsiTheme="minorHAnsi"/>
          <w:b/>
          <w:bCs/>
          <w:rtl/>
          <w:lang w:bidi="fa-IR"/>
        </w:rPr>
        <w:footnoteReference w:id="1"/>
      </w:r>
      <w:r w:rsidR="0061479D">
        <w:rPr>
          <w:rFonts w:asciiTheme="minorHAnsi" w:hAnsiTheme="minorHAnsi" w:hint="cs"/>
          <w:rtl/>
          <w:lang w:bidi="fa-IR"/>
        </w:rPr>
        <w:t>، -به تعبیر بنده- می‌گوید ا</w:t>
      </w:r>
      <w:r w:rsidR="0061479D">
        <w:rPr>
          <w:rFonts w:ascii="Times New Roman" w:eastAsia="Times New Roman" w:hAnsi="Times New Roman" w:hint="cs"/>
          <w:rtl/>
          <w:lang w:bidi="fa-IR"/>
        </w:rPr>
        <w:t>خبار ما در دو دسته است، یک دسته در مسائل عظیمۀ اصول اعتقادات است</w:t>
      </w:r>
      <w:r>
        <w:rPr>
          <w:rFonts w:ascii="Times New Roman" w:eastAsia="Times New Roman" w:hAnsi="Times New Roman" w:hint="cs"/>
          <w:rtl/>
          <w:lang w:bidi="fa-IR"/>
        </w:rPr>
        <w:t>، در این‌ها اختلاف‌ها زیاد به چشم نمی</w:t>
      </w:r>
      <w:r w:rsidR="0061479D">
        <w:rPr>
          <w:rFonts w:ascii="Times New Roman" w:eastAsia="Times New Roman" w:hAnsi="Times New Roman" w:hint="eastAsia"/>
          <w:rtl/>
          <w:lang w:bidi="fa-IR"/>
        </w:rPr>
        <w:t>‌</w:t>
      </w:r>
      <w:r>
        <w:rPr>
          <w:rFonts w:ascii="Times New Roman" w:eastAsia="Times New Roman" w:hAnsi="Times New Roman" w:hint="cs"/>
          <w:rtl/>
          <w:lang w:bidi="fa-IR"/>
        </w:rPr>
        <w:t>خورد، آن‌چه اختلاف</w:t>
      </w:r>
      <w:r>
        <w:rPr>
          <w:rFonts w:ascii="Times New Roman" w:eastAsia="Times New Roman" w:hAnsi="Times New Roman" w:hint="eastAsia"/>
          <w:rtl/>
          <w:lang w:bidi="fa-IR"/>
        </w:rPr>
        <w:t>‌</w:t>
      </w:r>
      <w:r>
        <w:rPr>
          <w:rFonts w:ascii="Times New Roman" w:eastAsia="Times New Roman" w:hAnsi="Times New Roman" w:hint="cs"/>
          <w:rtl/>
          <w:lang w:bidi="fa-IR"/>
        </w:rPr>
        <w:t>ها بیشتر است قسم دوم است که در فروع فقهیۀ عملیه است، و در این</w:t>
      </w:r>
      <w:r>
        <w:rPr>
          <w:rFonts w:ascii="Times New Roman" w:eastAsia="Times New Roman" w:hAnsi="Times New Roman" w:hint="eastAsia"/>
          <w:rtl/>
          <w:lang w:bidi="fa-IR"/>
        </w:rPr>
        <w:t>‌</w:t>
      </w:r>
      <w:r>
        <w:rPr>
          <w:rFonts w:ascii="Times New Roman" w:eastAsia="Times New Roman" w:hAnsi="Times New Roman" w:hint="cs"/>
          <w:rtl/>
          <w:lang w:bidi="fa-IR"/>
        </w:rPr>
        <w:t>ها هیچ اشکالی ندارد که ما قائل به تخییر شویم، در اصول اعتقادی، تخییر معنا ندارد، یا این است یا آن است. تخییر مربوط به عمل است. آنهایی که استیحاش از تخییر دارند از تخییر به</w:t>
      </w:r>
      <w:r w:rsidR="0061479D">
        <w:rPr>
          <w:rFonts w:ascii="Times New Roman" w:eastAsia="Times New Roman" w:hAnsi="Times New Roman" w:hint="cs"/>
          <w:rtl/>
          <w:lang w:bidi="fa-IR"/>
        </w:rPr>
        <w:t xml:space="preserve"> </w:t>
      </w:r>
      <w:r>
        <w:rPr>
          <w:rFonts w:ascii="Times New Roman" w:eastAsia="Times New Roman" w:hAnsi="Times New Roman" w:hint="cs"/>
          <w:rtl/>
          <w:lang w:bidi="fa-IR"/>
        </w:rPr>
        <w:t>این علت است که از لسان ائمه آشنایی ندارند. استیحاش دارند چون</w:t>
      </w:r>
      <w:r w:rsidR="0061479D">
        <w:rPr>
          <w:rFonts w:ascii="Times New Roman" w:eastAsia="Times New Roman" w:hAnsi="Times New Roman" w:hint="cs"/>
          <w:rtl/>
          <w:lang w:bidi="fa-IR"/>
        </w:rPr>
        <w:t xml:space="preserve"> </w:t>
      </w:r>
      <w:r>
        <w:rPr>
          <w:rFonts w:ascii="Times New Roman" w:eastAsia="Times New Roman" w:hAnsi="Times New Roman" w:hint="cs"/>
          <w:rtl/>
          <w:lang w:bidi="fa-IR"/>
        </w:rPr>
        <w:t>قبلش مسائل اعتقادیشان را درست نکردند اگر امام را بشناسند و امام را حکیم و معصوم را بدانند و این دو دستور را هم از امام بدانند، می گوید هر دو را عمل می کنم. نمی آیند سراغ اخذ به مرجحات و قس علی هذا.</w:t>
      </w:r>
      <w:r w:rsidR="0061479D">
        <w:rPr>
          <w:rStyle w:val="FootnoteReference"/>
          <w:rFonts w:ascii="Times New Roman" w:eastAsia="Times New Roman" w:hAnsi="Times New Roman"/>
          <w:rtl/>
          <w:lang w:bidi="fa-IR"/>
        </w:rPr>
        <w:footnoteReference w:id="2"/>
      </w:r>
    </w:p>
    <w:p w14:paraId="5E982516" w14:textId="1005FEE4" w:rsidR="004B25AD" w:rsidRDefault="004B25AD" w:rsidP="004B25A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حضرت آقای سیستانی از این عبارت ملاصدرا استفاده کرده است که کانه می خواهد بگوید فقه مهم </w:t>
      </w:r>
      <w:r w:rsidR="0061479D">
        <w:rPr>
          <w:rFonts w:ascii="Times New Roman" w:eastAsia="Times New Roman" w:hAnsi="Times New Roman" w:hint="cs"/>
          <w:rtl/>
          <w:lang w:bidi="fa-IR"/>
        </w:rPr>
        <w:t>نی</w:t>
      </w:r>
      <w:r>
        <w:rPr>
          <w:rFonts w:ascii="Times New Roman" w:eastAsia="Times New Roman" w:hAnsi="Times New Roman" w:hint="cs"/>
          <w:rtl/>
          <w:lang w:bidi="fa-IR"/>
        </w:rPr>
        <w:t xml:space="preserve">ست اعتقادات مهم است. </w:t>
      </w:r>
      <w:r w:rsidRPr="00751FDC">
        <w:rPr>
          <w:rFonts w:ascii="Times New Roman" w:eastAsia="Times New Roman" w:hAnsi="Times New Roman" w:hint="cs"/>
          <w:b/>
          <w:bCs/>
          <w:rtl/>
          <w:lang w:bidi="fa-IR"/>
        </w:rPr>
        <w:t>و یلاحظ</w:t>
      </w:r>
      <w:r w:rsidR="00751FDC" w:rsidRPr="00751FDC">
        <w:rPr>
          <w:rFonts w:ascii="Times New Roman" w:eastAsia="Times New Roman" w:hAnsi="Times New Roman" w:hint="cs"/>
          <w:b/>
          <w:bCs/>
          <w:rtl/>
          <w:lang w:bidi="fa-IR"/>
        </w:rPr>
        <w:t xml:space="preserve"> أن ما ذکره</w:t>
      </w:r>
      <w:r w:rsidRPr="00751FDC">
        <w:rPr>
          <w:rFonts w:ascii="Times New Roman" w:eastAsia="Times New Roman" w:hAnsi="Times New Roman" w:hint="cs"/>
          <w:b/>
          <w:bCs/>
          <w:rtl/>
          <w:lang w:bidi="fa-IR"/>
        </w:rPr>
        <w:t xml:space="preserve"> من ان الامور العملیة غیر مهمة</w:t>
      </w:r>
      <w:r>
        <w:rPr>
          <w:rFonts w:ascii="Times New Roman" w:eastAsia="Times New Roman" w:hAnsi="Times New Roman" w:hint="cs"/>
          <w:rtl/>
          <w:lang w:bidi="fa-IR"/>
        </w:rPr>
        <w:t xml:space="preserve">. این که از عبارت ایشان برداشت می شود فقه درست نیست </w:t>
      </w:r>
      <w:r w:rsidRPr="00751FDC">
        <w:rPr>
          <w:rFonts w:ascii="Times New Roman" w:eastAsia="Times New Roman" w:hAnsi="Times New Roman" w:hint="cs"/>
          <w:b/>
          <w:bCs/>
          <w:rtl/>
          <w:lang w:bidi="fa-IR"/>
        </w:rPr>
        <w:t>کان نتیجة لعزلته عن الناس</w:t>
      </w:r>
      <w:r>
        <w:rPr>
          <w:rFonts w:ascii="Times New Roman" w:eastAsia="Times New Roman" w:hAnsi="Times New Roman" w:hint="cs"/>
          <w:rtl/>
          <w:lang w:bidi="fa-IR"/>
        </w:rPr>
        <w:t>، برای</w:t>
      </w:r>
      <w:r w:rsidR="00751FDC">
        <w:rPr>
          <w:rFonts w:ascii="Times New Roman" w:eastAsia="Times New Roman" w:hAnsi="Times New Roman" w:hint="cs"/>
          <w:rtl/>
          <w:lang w:bidi="fa-IR"/>
        </w:rPr>
        <w:t xml:space="preserve"> </w:t>
      </w:r>
      <w:r>
        <w:rPr>
          <w:rFonts w:ascii="Times New Roman" w:eastAsia="Times New Roman" w:hAnsi="Times New Roman" w:hint="cs"/>
          <w:rtl/>
          <w:lang w:bidi="fa-IR"/>
        </w:rPr>
        <w:t>ا</w:t>
      </w:r>
      <w:r w:rsidR="00751FDC">
        <w:rPr>
          <w:rFonts w:ascii="Times New Roman" w:eastAsia="Times New Roman" w:hAnsi="Times New Roman" w:hint="cs"/>
          <w:rtl/>
          <w:lang w:bidi="fa-IR"/>
        </w:rPr>
        <w:t>ین</w:t>
      </w:r>
      <w:r>
        <w:rPr>
          <w:rFonts w:ascii="Times New Roman" w:eastAsia="Times New Roman" w:hAnsi="Times New Roman" w:hint="cs"/>
          <w:rtl/>
          <w:lang w:bidi="fa-IR"/>
        </w:rPr>
        <w:t xml:space="preserve"> بود که مرحوم ملاصدرا از مردم عزلت گزیده است </w:t>
      </w:r>
      <w:r w:rsidRPr="00751FDC">
        <w:rPr>
          <w:rFonts w:ascii="Times New Roman" w:eastAsia="Times New Roman" w:hAnsi="Times New Roman" w:hint="cs"/>
          <w:b/>
          <w:bCs/>
          <w:rtl/>
          <w:lang w:bidi="fa-IR"/>
        </w:rPr>
        <w:t>و اهتمامه اکثر بمسائل اصول الدین و الا کیف یمکن القول بعدم الاهمیة لمسائل العملیة الم</w:t>
      </w:r>
      <w:r w:rsidR="00751FDC" w:rsidRPr="00751FDC">
        <w:rPr>
          <w:rFonts w:ascii="Times New Roman" w:eastAsia="Times New Roman" w:hAnsi="Times New Roman" w:hint="cs"/>
          <w:b/>
          <w:bCs/>
          <w:rtl/>
          <w:lang w:bidi="fa-IR"/>
        </w:rPr>
        <w:t>تعلق بالاعراض و النفوس و الاموال.</w:t>
      </w:r>
      <w:r w:rsidRPr="00751FDC">
        <w:rPr>
          <w:rFonts w:ascii="Times New Roman" w:eastAsia="Times New Roman" w:hAnsi="Times New Roman" w:hint="cs"/>
          <w:b/>
          <w:bCs/>
          <w:rtl/>
          <w:lang w:bidi="fa-IR"/>
        </w:rPr>
        <w:t xml:space="preserve"> </w:t>
      </w:r>
      <w:r>
        <w:rPr>
          <w:rFonts w:ascii="Times New Roman" w:eastAsia="Times New Roman" w:hAnsi="Times New Roman" w:hint="cs"/>
          <w:rtl/>
          <w:lang w:bidi="fa-IR"/>
        </w:rPr>
        <w:t xml:space="preserve">این ها را بگوییم مهم </w:t>
      </w:r>
      <w:r w:rsidR="00751FDC">
        <w:rPr>
          <w:rFonts w:ascii="Times New Roman" w:eastAsia="Times New Roman" w:hAnsi="Times New Roman" w:hint="cs"/>
          <w:rtl/>
          <w:lang w:bidi="fa-IR"/>
        </w:rPr>
        <w:t>نی</w:t>
      </w:r>
      <w:r>
        <w:rPr>
          <w:rFonts w:ascii="Times New Roman" w:eastAsia="Times New Roman" w:hAnsi="Times New Roman" w:hint="cs"/>
          <w:rtl/>
          <w:lang w:bidi="fa-IR"/>
        </w:rPr>
        <w:t>ست؟</w:t>
      </w:r>
      <w:r w:rsidR="00751FDC">
        <w:rPr>
          <w:rStyle w:val="FootnoteReference"/>
          <w:rFonts w:ascii="Times New Roman" w:eastAsia="Times New Roman" w:hAnsi="Times New Roman"/>
          <w:rtl/>
          <w:lang w:bidi="fa-IR"/>
        </w:rPr>
        <w:footnoteReference w:id="3"/>
      </w:r>
    </w:p>
    <w:p w14:paraId="4E89997B" w14:textId="1830681A" w:rsidR="00751FDC" w:rsidRPr="00751FDC" w:rsidRDefault="00751FDC" w:rsidP="004B25AD">
      <w:pPr>
        <w:bidi/>
        <w:spacing w:before="100" w:beforeAutospacing="1" w:after="100" w:afterAutospacing="1" w:line="240" w:lineRule="auto"/>
        <w:jc w:val="lowKashida"/>
        <w:rPr>
          <w:rFonts w:asciiTheme="minorHAnsi" w:hAnsiTheme="minorHAnsi" w:cs="B Titr"/>
          <w:rtl/>
          <w:lang w:bidi="fa-IR"/>
        </w:rPr>
      </w:pPr>
      <w:r w:rsidRPr="00751FDC">
        <w:rPr>
          <w:rFonts w:asciiTheme="minorHAnsi" w:hAnsiTheme="minorHAnsi" w:cs="B Titr" w:hint="cs"/>
          <w:rtl/>
          <w:lang w:bidi="fa-IR"/>
        </w:rPr>
        <w:t>[تعلیقه‌ایی بر فرمایش آیت الله سیستانی]</w:t>
      </w:r>
    </w:p>
    <w:p w14:paraId="699DABCB" w14:textId="39ECDA90" w:rsidR="004B25AD" w:rsidRDefault="004B25AD" w:rsidP="00751FD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عرض ما به محضر مبارک ایشان این است که که ملاصدرا نگفت فقه مهم نیست. گفت اصول اعتقادات در برابر فقه </w:t>
      </w:r>
      <w:r w:rsidR="000D1720">
        <w:rPr>
          <w:rFonts w:ascii="Times New Roman" w:eastAsia="Times New Roman" w:hAnsi="Times New Roman" w:hint="cs"/>
          <w:rtl/>
          <w:lang w:bidi="fa-IR"/>
        </w:rPr>
        <w:t>مهم است و واقعیت هم همین است نمی خواهد بگوید این مهم نیست آن اساس است و فقه فرع بر آن اساس است.</w:t>
      </w:r>
    </w:p>
    <w:p w14:paraId="0CEEF469" w14:textId="3591CDB0" w:rsidR="000D1720" w:rsidRDefault="000D1720" w:rsidP="000D1720">
      <w:pPr>
        <w:bidi/>
        <w:spacing w:before="100" w:beforeAutospacing="1" w:after="100" w:afterAutospacing="1" w:line="240" w:lineRule="auto"/>
        <w:jc w:val="lowKashida"/>
        <w:rPr>
          <w:rFonts w:ascii="Times New Roman" w:eastAsia="Times New Roman" w:hAnsi="Times New Roman"/>
          <w:i/>
          <w:iCs/>
          <w:rtl/>
          <w:lang w:bidi="fa-IR"/>
        </w:rPr>
      </w:pPr>
      <w:r>
        <w:rPr>
          <w:rFonts w:ascii="Times New Roman" w:eastAsia="Times New Roman" w:hAnsi="Times New Roman" w:hint="cs"/>
          <w:rtl/>
          <w:lang w:bidi="fa-IR"/>
        </w:rPr>
        <w:t>علاوه آن چه ما عرض ک</w:t>
      </w:r>
      <w:r w:rsidR="00751FDC">
        <w:rPr>
          <w:rFonts w:ascii="Times New Roman" w:eastAsia="Times New Roman" w:hAnsi="Times New Roman" w:hint="cs"/>
          <w:rtl/>
          <w:lang w:bidi="fa-IR"/>
        </w:rPr>
        <w:t>ر</w:t>
      </w:r>
      <w:r>
        <w:rPr>
          <w:rFonts w:ascii="Times New Roman" w:eastAsia="Times New Roman" w:hAnsi="Times New Roman" w:hint="cs"/>
          <w:rtl/>
          <w:lang w:bidi="fa-IR"/>
        </w:rPr>
        <w:t>دیم و منظور ملاصدرا هم</w:t>
      </w:r>
      <w:r w:rsidR="003C047F">
        <w:rPr>
          <w:rFonts w:ascii="Times New Roman" w:eastAsia="Times New Roman" w:hAnsi="Times New Roman" w:hint="cs"/>
          <w:rtl/>
          <w:lang w:bidi="fa-IR"/>
        </w:rPr>
        <w:t xml:space="preserve"> احتمالا</w:t>
      </w:r>
      <w:r>
        <w:rPr>
          <w:rFonts w:ascii="Times New Roman" w:eastAsia="Times New Roman" w:hAnsi="Times New Roman" w:hint="cs"/>
          <w:rtl/>
          <w:lang w:bidi="fa-IR"/>
        </w:rPr>
        <w:t xml:space="preserve"> هست، که در اصول اعتقادات تخییر معنا ندارد.</w:t>
      </w:r>
      <w:r w:rsidR="00CA2707">
        <w:rPr>
          <w:rFonts w:ascii="Times New Roman" w:eastAsia="Times New Roman" w:hAnsi="Times New Roman" w:hint="cs"/>
          <w:i/>
          <w:iCs/>
          <w:rtl/>
          <w:lang w:bidi="fa-IR"/>
        </w:rPr>
        <w:t xml:space="preserve"> </w:t>
      </w:r>
    </w:p>
    <w:p w14:paraId="139605F0" w14:textId="77777777" w:rsidR="00751FDC" w:rsidRDefault="00751FDC">
      <w:pPr>
        <w:rPr>
          <w:rFonts w:ascii="Times New Roman" w:eastAsia="Times New Roman" w:hAnsi="Times New Roman"/>
          <w:rtl/>
          <w:lang w:bidi="fa-IR"/>
        </w:rPr>
      </w:pPr>
      <w:r>
        <w:rPr>
          <w:rFonts w:ascii="Times New Roman" w:eastAsia="Times New Roman" w:hAnsi="Times New Roman"/>
          <w:rtl/>
          <w:lang w:bidi="fa-IR"/>
        </w:rPr>
        <w:br w:type="page"/>
      </w:r>
    </w:p>
    <w:p w14:paraId="6DAE3C43" w14:textId="3295334C" w:rsidR="00751FDC" w:rsidRPr="00751FDC" w:rsidRDefault="00751FDC" w:rsidP="00CA2707">
      <w:pPr>
        <w:bidi/>
        <w:spacing w:before="100" w:beforeAutospacing="1" w:after="100" w:afterAutospacing="1" w:line="240" w:lineRule="auto"/>
        <w:jc w:val="lowKashida"/>
        <w:rPr>
          <w:rFonts w:asciiTheme="minorHAnsi" w:hAnsiTheme="minorHAnsi" w:cs="B Titr"/>
          <w:rtl/>
          <w:lang w:bidi="fa-IR"/>
        </w:rPr>
      </w:pPr>
      <w:r w:rsidRPr="00751FDC">
        <w:rPr>
          <w:rFonts w:asciiTheme="minorHAnsi" w:hAnsiTheme="minorHAnsi" w:cs="B Titr" w:hint="cs"/>
          <w:rtl/>
          <w:lang w:bidi="fa-IR"/>
        </w:rPr>
        <w:lastRenderedPageBreak/>
        <w:t>[منهج چهارم]</w:t>
      </w:r>
    </w:p>
    <w:p w14:paraId="5D643195" w14:textId="2A09FF30" w:rsidR="00CA2707" w:rsidRPr="0061479D" w:rsidRDefault="00CA2707" w:rsidP="00751FDC">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می آییم سراغ منهج چهارم که منهج جمع است منتها به تاریخ که نگاه می کنیم یک جمعی را می بین</w:t>
      </w:r>
      <w:r w:rsidR="00751FDC">
        <w:rPr>
          <w:rFonts w:ascii="Times New Roman" w:eastAsia="Times New Roman" w:hAnsi="Times New Roman" w:hint="cs"/>
          <w:rtl/>
          <w:lang w:bidi="fa-IR"/>
        </w:rPr>
        <w:t>یم</w:t>
      </w:r>
      <w:r w:rsidRPr="0061479D">
        <w:rPr>
          <w:rFonts w:ascii="Times New Roman" w:eastAsia="Times New Roman" w:hAnsi="Times New Roman" w:hint="cs"/>
          <w:rtl/>
          <w:lang w:bidi="fa-IR"/>
        </w:rPr>
        <w:t xml:space="preserve"> که ما اسمش را جمع تبرعی گذاشتیم این ها کأنه کاری به سند و شاهد جمع ندارند، ولی می</w:t>
      </w:r>
      <w:r w:rsidR="00C660F3">
        <w:rPr>
          <w:rFonts w:ascii="Times New Roman" w:eastAsia="Times New Roman" w:hAnsi="Times New Roman" w:hint="eastAsia"/>
          <w:rtl/>
          <w:lang w:bidi="fa-IR"/>
        </w:rPr>
        <w:t>‌</w:t>
      </w:r>
      <w:r w:rsidRPr="0061479D">
        <w:rPr>
          <w:rFonts w:ascii="Times New Roman" w:eastAsia="Times New Roman" w:hAnsi="Times New Roman" w:hint="cs"/>
          <w:rtl/>
          <w:lang w:bidi="fa-IR"/>
        </w:rPr>
        <w:t xml:space="preserve">خواهند تا آنجا </w:t>
      </w:r>
      <w:r w:rsidR="00C660F3">
        <w:rPr>
          <w:rFonts w:ascii="Times New Roman" w:eastAsia="Times New Roman" w:hAnsi="Times New Roman" w:hint="cs"/>
          <w:rtl/>
          <w:lang w:bidi="fa-IR"/>
        </w:rPr>
        <w:t>ک</w:t>
      </w:r>
      <w:r w:rsidRPr="0061479D">
        <w:rPr>
          <w:rFonts w:ascii="Times New Roman" w:eastAsia="Times New Roman" w:hAnsi="Times New Roman" w:hint="cs"/>
          <w:rtl/>
          <w:lang w:bidi="fa-IR"/>
        </w:rPr>
        <w:t xml:space="preserve">ه ممکن </w:t>
      </w:r>
      <w:r w:rsidR="00C660F3">
        <w:rPr>
          <w:rFonts w:ascii="Times New Roman" w:eastAsia="Times New Roman" w:hAnsi="Times New Roman" w:hint="cs"/>
          <w:rtl/>
          <w:lang w:bidi="fa-IR"/>
        </w:rPr>
        <w:t>است بین</w:t>
      </w:r>
      <w:r w:rsidRPr="0061479D">
        <w:rPr>
          <w:rFonts w:ascii="Times New Roman" w:eastAsia="Times New Roman" w:hAnsi="Times New Roman" w:hint="cs"/>
          <w:rtl/>
          <w:lang w:bidi="fa-IR"/>
        </w:rPr>
        <w:t xml:space="preserve"> دو طائفه</w:t>
      </w:r>
      <w:r w:rsidR="00C660F3">
        <w:rPr>
          <w:rFonts w:ascii="Times New Roman" w:eastAsia="Times New Roman" w:hAnsi="Times New Roman" w:hint="cs"/>
          <w:rtl/>
          <w:lang w:bidi="fa-IR"/>
        </w:rPr>
        <w:t xml:space="preserve"> روایات صلح ایجاد کنند. </w:t>
      </w:r>
      <w:r w:rsidRPr="0061479D">
        <w:rPr>
          <w:rFonts w:ascii="Times New Roman" w:eastAsia="Times New Roman" w:hAnsi="Times New Roman" w:hint="cs"/>
          <w:rtl/>
          <w:lang w:bidi="fa-IR"/>
        </w:rPr>
        <w:t>از آنها ابن قتیبه در کتاب تاویل مختلف الحدیث، و شیخ در مقدمۀ تهذیب است.</w:t>
      </w:r>
    </w:p>
    <w:p w14:paraId="78B11225" w14:textId="22ABC5B6" w:rsidR="00CA2707" w:rsidRDefault="00CA2707" w:rsidP="00CA2707">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می گوید مهما تمکنتُ تا آنجا که توانستم احادیث را تأویل کردم و کاری هم با سند نداشتم و کوششم هم این بوده</w:t>
      </w:r>
      <w:r w:rsidR="005A7B42">
        <w:rPr>
          <w:rFonts w:ascii="Times New Roman" w:eastAsia="Times New Roman" w:hAnsi="Times New Roman" w:hint="cs"/>
          <w:rtl/>
          <w:lang w:bidi="fa-IR"/>
        </w:rPr>
        <w:t xml:space="preserve"> </w:t>
      </w:r>
      <w:r w:rsidRPr="0061479D">
        <w:rPr>
          <w:rFonts w:ascii="Times New Roman" w:eastAsia="Times New Roman" w:hAnsi="Times New Roman" w:hint="cs"/>
          <w:rtl/>
          <w:lang w:bidi="fa-IR"/>
        </w:rPr>
        <w:t xml:space="preserve">است که برای آن معنایی که برای روایات در نظر گرفته ام از روایات دیگر شاهد بیاورم، </w:t>
      </w:r>
      <w:r w:rsidR="002C06DE" w:rsidRPr="0061479D">
        <w:rPr>
          <w:rFonts w:ascii="Times New Roman" w:eastAsia="Times New Roman" w:hAnsi="Times New Roman" w:hint="cs"/>
          <w:rtl/>
          <w:lang w:bidi="fa-IR"/>
        </w:rPr>
        <w:t>یا از صریح روایات دیگر، یا از فحوای روایات دیگر تا من نشان بدهم با نص</w:t>
      </w:r>
      <w:r w:rsidR="005A7B42">
        <w:rPr>
          <w:rFonts w:ascii="Times New Roman" w:eastAsia="Times New Roman" w:hAnsi="Times New Roman" w:hint="cs"/>
          <w:rtl/>
          <w:lang w:bidi="fa-IR"/>
        </w:rPr>
        <w:t xml:space="preserve"> </w:t>
      </w:r>
      <w:r w:rsidR="002C06DE" w:rsidRPr="0061479D">
        <w:rPr>
          <w:rFonts w:ascii="Times New Roman" w:eastAsia="Times New Roman" w:hAnsi="Times New Roman" w:hint="cs"/>
          <w:rtl/>
          <w:lang w:bidi="fa-IR"/>
        </w:rPr>
        <w:t>و اثر و نقل دارم فتوا می</w:t>
      </w:r>
      <w:r w:rsidR="005A7B42">
        <w:rPr>
          <w:rFonts w:ascii="Times New Roman" w:eastAsia="Times New Roman" w:hAnsi="Times New Roman" w:hint="eastAsia"/>
          <w:rtl/>
          <w:lang w:bidi="fa-IR"/>
        </w:rPr>
        <w:t>‌</w:t>
      </w:r>
      <w:r w:rsidR="002C06DE" w:rsidRPr="0061479D">
        <w:rPr>
          <w:rFonts w:ascii="Times New Roman" w:eastAsia="Times New Roman" w:hAnsi="Times New Roman" w:hint="cs"/>
          <w:rtl/>
          <w:lang w:bidi="fa-IR"/>
        </w:rPr>
        <w:t xml:space="preserve">دهم </w:t>
      </w:r>
      <w:r w:rsidR="002C06DE" w:rsidRPr="005A7B42">
        <w:rPr>
          <w:rFonts w:ascii="Times New Roman" w:eastAsia="Times New Roman" w:hAnsi="Times New Roman" w:hint="cs"/>
          <w:b/>
          <w:bCs/>
          <w:rtl/>
          <w:lang w:bidi="fa-IR"/>
        </w:rPr>
        <w:t>و ان کان هذا مما لا یجب علینا</w:t>
      </w:r>
      <w:r w:rsidR="002C06DE" w:rsidRPr="0061479D">
        <w:rPr>
          <w:rFonts w:ascii="Times New Roman" w:eastAsia="Times New Roman" w:hAnsi="Times New Roman" w:hint="cs"/>
          <w:rtl/>
          <w:lang w:bidi="fa-IR"/>
        </w:rPr>
        <w:t xml:space="preserve">، در جمع بر واجب نبوده است که تک تک این ها را شاهد بیاورم ولی این را کرده ام که نگویند </w:t>
      </w:r>
      <w:r w:rsidR="005A7B42">
        <w:rPr>
          <w:rFonts w:ascii="Times New Roman" w:eastAsia="Times New Roman" w:hAnsi="Times New Roman" w:hint="cs"/>
          <w:rtl/>
          <w:lang w:bidi="fa-IR"/>
        </w:rPr>
        <w:t>به احادیث تمسک نشده است.</w:t>
      </w:r>
      <w:r w:rsidR="005A7B42">
        <w:rPr>
          <w:rStyle w:val="FootnoteReference"/>
          <w:rFonts w:ascii="Times New Roman" w:eastAsia="Times New Roman" w:hAnsi="Times New Roman"/>
          <w:rtl/>
          <w:lang w:bidi="fa-IR"/>
        </w:rPr>
        <w:footnoteReference w:id="4"/>
      </w:r>
    </w:p>
    <w:p w14:paraId="78682C40" w14:textId="5D196487" w:rsidR="002C06DE" w:rsidRPr="0061479D" w:rsidRDefault="005A7B42" w:rsidP="005A7B4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از کسانی که این طریق را دارد ابن ابی جمهور الاحسائی است. </w:t>
      </w:r>
      <w:r w:rsidR="002C06DE" w:rsidRPr="0061479D">
        <w:rPr>
          <w:rFonts w:ascii="Times New Roman" w:eastAsia="Times New Roman" w:hAnsi="Times New Roman" w:hint="cs"/>
          <w:rtl/>
          <w:lang w:bidi="fa-IR"/>
        </w:rPr>
        <w:t>او می گوید اجماع</w:t>
      </w:r>
      <w:r w:rsidR="002C06DE" w:rsidRPr="005A7B42">
        <w:rPr>
          <w:rFonts w:ascii="Times New Roman" w:eastAsia="Times New Roman" w:hAnsi="Times New Roman" w:hint="cs"/>
          <w:rtl/>
          <w:lang w:bidi="fa-IR"/>
        </w:rPr>
        <w:t xml:space="preserve"> داریم</w:t>
      </w:r>
      <w:r w:rsidR="002C06DE" w:rsidRPr="005A7B42">
        <w:rPr>
          <w:rFonts w:ascii="Times New Roman" w:eastAsia="Times New Roman" w:hAnsi="Times New Roman" w:hint="cs"/>
          <w:b/>
          <w:bCs/>
          <w:rtl/>
          <w:lang w:bidi="fa-IR"/>
        </w:rPr>
        <w:t xml:space="preserve">  ان الجمع مهما </w:t>
      </w:r>
      <w:r w:rsidRPr="005A7B42">
        <w:rPr>
          <w:rFonts w:ascii="Times New Roman" w:eastAsia="Times New Roman" w:hAnsi="Times New Roman" w:hint="cs"/>
          <w:b/>
          <w:bCs/>
          <w:rtl/>
          <w:lang w:bidi="fa-IR"/>
        </w:rPr>
        <w:t>امکن اولی من الطرح</w:t>
      </w:r>
      <w:r w:rsidR="002C06DE" w:rsidRPr="0061479D">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که در رسائل خواندید این مدرک درستی ندارد. </w:t>
      </w:r>
      <w:r w:rsidR="002C06DE" w:rsidRPr="0061479D">
        <w:rPr>
          <w:rFonts w:ascii="Times New Roman" w:eastAsia="Times New Roman" w:hAnsi="Times New Roman" w:hint="cs"/>
          <w:rtl/>
          <w:lang w:bidi="fa-IR"/>
        </w:rPr>
        <w:t>این‌ها احادیث را به نهایت مقدس می‌شمردند به صورتی که حاضر بودند برای رفع تناقض و تهافت بین روایات جمع تبرعی انجام بدهند. یعنی جمع بلا شاهد. خیلی از جمع</w:t>
      </w:r>
      <w:r>
        <w:rPr>
          <w:rFonts w:ascii="Times New Roman" w:eastAsia="Times New Roman" w:hAnsi="Times New Roman" w:hint="eastAsia"/>
          <w:rtl/>
          <w:lang w:bidi="fa-IR"/>
        </w:rPr>
        <w:t>‌</w:t>
      </w:r>
      <w:r w:rsidR="002C06DE" w:rsidRPr="0061479D">
        <w:rPr>
          <w:rFonts w:ascii="Times New Roman" w:eastAsia="Times New Roman" w:hAnsi="Times New Roman" w:hint="cs"/>
          <w:rtl/>
          <w:lang w:bidi="fa-IR"/>
        </w:rPr>
        <w:t>های تهذیب شاهد ندارد.</w:t>
      </w:r>
      <w:r w:rsidR="00306942">
        <w:rPr>
          <w:rStyle w:val="FootnoteReference"/>
          <w:rFonts w:ascii="Times New Roman" w:eastAsia="Times New Roman" w:hAnsi="Times New Roman"/>
          <w:rtl/>
          <w:lang w:bidi="fa-IR"/>
        </w:rPr>
        <w:footnoteReference w:id="5"/>
      </w:r>
    </w:p>
    <w:p w14:paraId="38CFEDB7" w14:textId="00AA5444" w:rsidR="00DA0022" w:rsidRPr="0061479D" w:rsidRDefault="00CF3F04" w:rsidP="00C76A8A">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B882F" w14:textId="77777777" w:rsidR="0065529E" w:rsidRDefault="0065529E" w:rsidP="00C44E32">
      <w:pPr>
        <w:spacing w:after="0" w:line="240" w:lineRule="auto"/>
      </w:pPr>
      <w:r>
        <w:separator/>
      </w:r>
    </w:p>
  </w:endnote>
  <w:endnote w:type="continuationSeparator" w:id="0">
    <w:p w14:paraId="04F49469" w14:textId="77777777" w:rsidR="0065529E" w:rsidRDefault="0065529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B4B78" w14:textId="77777777" w:rsidR="0065529E" w:rsidRDefault="0065529E" w:rsidP="00BF0E10">
      <w:pPr>
        <w:spacing w:after="0" w:line="240" w:lineRule="auto"/>
        <w:jc w:val="right"/>
      </w:pPr>
      <w:r>
        <w:separator/>
      </w:r>
    </w:p>
  </w:footnote>
  <w:footnote w:type="continuationSeparator" w:id="0">
    <w:p w14:paraId="08C16D57" w14:textId="77777777" w:rsidR="0065529E" w:rsidRDefault="0065529E" w:rsidP="00C44E32">
      <w:pPr>
        <w:spacing w:after="0" w:line="240" w:lineRule="auto"/>
      </w:pPr>
      <w:r>
        <w:continuationSeparator/>
      </w:r>
    </w:p>
  </w:footnote>
  <w:footnote w:id="1">
    <w:p w14:paraId="218248E6" w14:textId="77777777" w:rsidR="0061479D" w:rsidRPr="00E06136" w:rsidRDefault="0061479D" w:rsidP="0061479D">
      <w:pPr>
        <w:pStyle w:val="FootnoteText"/>
        <w:jc w:val="lowKashida"/>
        <w:rPr>
          <w:rFonts w:cs="B Lotus"/>
          <w:sz w:val="24"/>
          <w:szCs w:val="24"/>
          <w:rtl/>
          <w:lang w:bidi="fa-IR"/>
        </w:rPr>
      </w:pPr>
      <w:r w:rsidRPr="00E06136">
        <w:rPr>
          <w:rStyle w:val="FootnoteReference"/>
          <w:rFonts w:cs="B Lotus"/>
          <w:sz w:val="24"/>
          <w:szCs w:val="24"/>
        </w:rPr>
        <w:footnoteRef/>
      </w:r>
      <w:r w:rsidRPr="00E06136">
        <w:rPr>
          <w:rFonts w:cs="B Lotus"/>
          <w:sz w:val="24"/>
          <w:szCs w:val="24"/>
        </w:rPr>
        <w:t xml:space="preserve"> </w:t>
      </w:r>
      <w:r w:rsidRPr="00E06136">
        <w:rPr>
          <w:rFonts w:cs="B Lotus" w:hint="cs"/>
          <w:sz w:val="24"/>
          <w:szCs w:val="24"/>
          <w:rtl/>
          <w:lang w:bidi="fa-IR"/>
        </w:rPr>
        <w:t>کافی، ج 1، ص 9.</w:t>
      </w:r>
    </w:p>
  </w:footnote>
  <w:footnote w:id="2">
    <w:p w14:paraId="59689701" w14:textId="681F6112" w:rsidR="0061479D" w:rsidRDefault="0061479D">
      <w:pPr>
        <w:pStyle w:val="FootnoteText"/>
        <w:rPr>
          <w:rFonts w:hint="cs"/>
          <w:rtl/>
          <w:lang w:bidi="fa-IR"/>
        </w:rPr>
      </w:pPr>
      <w:r>
        <w:rPr>
          <w:rStyle w:val="FootnoteReference"/>
        </w:rPr>
        <w:footnoteRef/>
      </w:r>
      <w:r>
        <w:rPr>
          <w:rtl/>
        </w:rPr>
        <w:t xml:space="preserve"> </w:t>
      </w:r>
      <w:r>
        <w:rPr>
          <w:rFonts w:hint="cs"/>
          <w:rtl/>
          <w:lang w:bidi="fa-IR"/>
        </w:rPr>
        <w:t>رک: شرح اصول الکافی، ج 2، ص 370 و 371.</w:t>
      </w:r>
    </w:p>
  </w:footnote>
  <w:footnote w:id="3">
    <w:p w14:paraId="511018FD" w14:textId="49E038B9" w:rsidR="00751FDC" w:rsidRDefault="00751FDC">
      <w:pPr>
        <w:pStyle w:val="FootnoteText"/>
        <w:rPr>
          <w:rFonts w:hint="cs"/>
          <w:rtl/>
          <w:lang w:bidi="fa-IR"/>
        </w:rPr>
      </w:pPr>
      <w:r>
        <w:rPr>
          <w:rStyle w:val="FootnoteReference"/>
        </w:rPr>
        <w:footnoteRef/>
      </w:r>
      <w:r>
        <w:rPr>
          <w:rtl/>
        </w:rPr>
        <w:t xml:space="preserve"> </w:t>
      </w:r>
      <w:r>
        <w:rPr>
          <w:rFonts w:hint="cs"/>
          <w:rtl/>
          <w:lang w:bidi="fa-IR"/>
        </w:rPr>
        <w:t>رک: تقریرات تعارض الادلة و اختلاف الحدیث،  ص 183.</w:t>
      </w:r>
    </w:p>
  </w:footnote>
  <w:footnote w:id="4">
    <w:p w14:paraId="32CC98FB" w14:textId="4C411419" w:rsidR="005A7B42" w:rsidRDefault="005A7B42">
      <w:pPr>
        <w:pStyle w:val="FootnoteText"/>
        <w:rPr>
          <w:rFonts w:hint="cs"/>
          <w:rtl/>
          <w:lang w:bidi="fa-IR"/>
        </w:rPr>
      </w:pPr>
      <w:r>
        <w:rPr>
          <w:rStyle w:val="FootnoteReference"/>
        </w:rPr>
        <w:footnoteRef/>
      </w:r>
      <w:r>
        <w:rPr>
          <w:rtl/>
        </w:rPr>
        <w:t xml:space="preserve"> </w:t>
      </w:r>
      <w:r>
        <w:rPr>
          <w:rFonts w:hint="cs"/>
          <w:rtl/>
          <w:lang w:bidi="fa-IR"/>
        </w:rPr>
        <w:t>تهذیب، ج 1، ص 3.</w:t>
      </w:r>
    </w:p>
  </w:footnote>
  <w:footnote w:id="5">
    <w:p w14:paraId="323264C3" w14:textId="3EC35FB5" w:rsidR="00306942" w:rsidRDefault="00306942">
      <w:pPr>
        <w:pStyle w:val="FootnoteText"/>
        <w:rPr>
          <w:rFonts w:hint="cs"/>
          <w:rtl/>
          <w:lang w:bidi="fa-IR"/>
        </w:rPr>
      </w:pPr>
      <w:r>
        <w:rPr>
          <w:rStyle w:val="FootnoteReference"/>
        </w:rPr>
        <w:footnoteRef/>
      </w:r>
      <w:r>
        <w:rPr>
          <w:rtl/>
        </w:rPr>
        <w:t xml:space="preserve"> </w:t>
      </w:r>
      <w:r>
        <w:rPr>
          <w:rFonts w:hint="cs"/>
          <w:rtl/>
          <w:lang w:bidi="fa-IR"/>
        </w:rPr>
        <w:t>رک: تقریرات تعارض الادلة و اختلاف الحدیث، ص 180 تا 184.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36"/>
  </w:num>
  <w:num w:numId="2" w16cid:durableId="651952810">
    <w:abstractNumId w:val="38"/>
  </w:num>
  <w:num w:numId="3" w16cid:durableId="1427270384">
    <w:abstractNumId w:val="2"/>
  </w:num>
  <w:num w:numId="4" w16cid:durableId="347876183">
    <w:abstractNumId w:val="35"/>
  </w:num>
  <w:num w:numId="5" w16cid:durableId="1626814295">
    <w:abstractNumId w:val="0"/>
  </w:num>
  <w:num w:numId="6" w16cid:durableId="1019509719">
    <w:abstractNumId w:val="32"/>
  </w:num>
  <w:num w:numId="7" w16cid:durableId="1564872762">
    <w:abstractNumId w:val="4"/>
  </w:num>
  <w:num w:numId="8" w16cid:durableId="1255749138">
    <w:abstractNumId w:val="26"/>
  </w:num>
  <w:num w:numId="9" w16cid:durableId="98334478">
    <w:abstractNumId w:val="41"/>
  </w:num>
  <w:num w:numId="10" w16cid:durableId="1443382816">
    <w:abstractNumId w:val="19"/>
  </w:num>
  <w:num w:numId="11" w16cid:durableId="1439716480">
    <w:abstractNumId w:val="5"/>
  </w:num>
  <w:num w:numId="12" w16cid:durableId="780951600">
    <w:abstractNumId w:val="37"/>
  </w:num>
  <w:num w:numId="13" w16cid:durableId="1769110747">
    <w:abstractNumId w:val="28"/>
  </w:num>
  <w:num w:numId="14" w16cid:durableId="297344257">
    <w:abstractNumId w:val="16"/>
  </w:num>
  <w:num w:numId="15" w16cid:durableId="2078749237">
    <w:abstractNumId w:val="22"/>
  </w:num>
  <w:num w:numId="16" w16cid:durableId="510725528">
    <w:abstractNumId w:val="3"/>
  </w:num>
  <w:num w:numId="17" w16cid:durableId="2118983042">
    <w:abstractNumId w:val="30"/>
  </w:num>
  <w:num w:numId="18" w16cid:durableId="303236798">
    <w:abstractNumId w:val="29"/>
  </w:num>
  <w:num w:numId="19" w16cid:durableId="627904062">
    <w:abstractNumId w:val="20"/>
  </w:num>
  <w:num w:numId="20" w16cid:durableId="2056997930">
    <w:abstractNumId w:val="10"/>
  </w:num>
  <w:num w:numId="21" w16cid:durableId="1463377550">
    <w:abstractNumId w:val="31"/>
  </w:num>
  <w:num w:numId="22" w16cid:durableId="1274510599">
    <w:abstractNumId w:val="24"/>
  </w:num>
  <w:num w:numId="23" w16cid:durableId="1368291845">
    <w:abstractNumId w:val="23"/>
  </w:num>
  <w:num w:numId="24" w16cid:durableId="797987647">
    <w:abstractNumId w:val="1"/>
  </w:num>
  <w:num w:numId="25" w16cid:durableId="1093891103">
    <w:abstractNumId w:val="8"/>
  </w:num>
  <w:num w:numId="26" w16cid:durableId="543833814">
    <w:abstractNumId w:val="13"/>
  </w:num>
  <w:num w:numId="27" w16cid:durableId="477263427">
    <w:abstractNumId w:val="33"/>
  </w:num>
  <w:num w:numId="28" w16cid:durableId="33503989">
    <w:abstractNumId w:val="34"/>
  </w:num>
  <w:num w:numId="29" w16cid:durableId="1168254736">
    <w:abstractNumId w:val="27"/>
  </w:num>
  <w:num w:numId="30" w16cid:durableId="1891652193">
    <w:abstractNumId w:val="15"/>
  </w:num>
  <w:num w:numId="31" w16cid:durableId="1003899577">
    <w:abstractNumId w:val="12"/>
  </w:num>
  <w:num w:numId="32" w16cid:durableId="1739161393">
    <w:abstractNumId w:val="14"/>
  </w:num>
  <w:num w:numId="33" w16cid:durableId="1207064551">
    <w:abstractNumId w:val="11"/>
  </w:num>
  <w:num w:numId="34" w16cid:durableId="221210404">
    <w:abstractNumId w:val="25"/>
  </w:num>
  <w:num w:numId="35" w16cid:durableId="199321409">
    <w:abstractNumId w:val="21"/>
  </w:num>
  <w:num w:numId="36" w16cid:durableId="1750423702">
    <w:abstractNumId w:val="9"/>
  </w:num>
  <w:num w:numId="37" w16cid:durableId="1766997354">
    <w:abstractNumId w:val="40"/>
  </w:num>
  <w:num w:numId="38" w16cid:durableId="253709876">
    <w:abstractNumId w:val="39"/>
  </w:num>
  <w:num w:numId="39" w16cid:durableId="11997833">
    <w:abstractNumId w:val="17"/>
  </w:num>
  <w:num w:numId="40" w16cid:durableId="1801875346">
    <w:abstractNumId w:val="6"/>
  </w:num>
  <w:num w:numId="41" w16cid:durableId="369690268">
    <w:abstractNumId w:val="18"/>
  </w:num>
  <w:num w:numId="42" w16cid:durableId="2111780813">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8F"/>
    <w:rsid w:val="00003EAE"/>
    <w:rsid w:val="00004B7C"/>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709E"/>
    <w:rsid w:val="000A718D"/>
    <w:rsid w:val="000B1483"/>
    <w:rsid w:val="000B15B3"/>
    <w:rsid w:val="000B1CC2"/>
    <w:rsid w:val="000B1EAA"/>
    <w:rsid w:val="000B2079"/>
    <w:rsid w:val="000B36CB"/>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216B"/>
    <w:rsid w:val="0035277F"/>
    <w:rsid w:val="00353BB4"/>
    <w:rsid w:val="00354270"/>
    <w:rsid w:val="00354BE6"/>
    <w:rsid w:val="00354D19"/>
    <w:rsid w:val="003553DF"/>
    <w:rsid w:val="00355DCD"/>
    <w:rsid w:val="00356114"/>
    <w:rsid w:val="0035707F"/>
    <w:rsid w:val="00357A46"/>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A97"/>
    <w:rsid w:val="003B73AA"/>
    <w:rsid w:val="003C047F"/>
    <w:rsid w:val="003C1B28"/>
    <w:rsid w:val="003C1F0A"/>
    <w:rsid w:val="003C24C6"/>
    <w:rsid w:val="003C2F96"/>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7064"/>
    <w:rsid w:val="004803A5"/>
    <w:rsid w:val="00480B25"/>
    <w:rsid w:val="00480B4D"/>
    <w:rsid w:val="0048453C"/>
    <w:rsid w:val="00485358"/>
    <w:rsid w:val="00485496"/>
    <w:rsid w:val="00486296"/>
    <w:rsid w:val="004865EE"/>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7E7"/>
    <w:rsid w:val="00606CB7"/>
    <w:rsid w:val="00606D5C"/>
    <w:rsid w:val="00607494"/>
    <w:rsid w:val="00607606"/>
    <w:rsid w:val="006077BB"/>
    <w:rsid w:val="00610129"/>
    <w:rsid w:val="00610D3A"/>
    <w:rsid w:val="00610F2B"/>
    <w:rsid w:val="00611876"/>
    <w:rsid w:val="00611DCA"/>
    <w:rsid w:val="0061479D"/>
    <w:rsid w:val="00614897"/>
    <w:rsid w:val="00616B07"/>
    <w:rsid w:val="006177F2"/>
    <w:rsid w:val="00617B63"/>
    <w:rsid w:val="0062015E"/>
    <w:rsid w:val="00620C72"/>
    <w:rsid w:val="00622EB1"/>
    <w:rsid w:val="006235F8"/>
    <w:rsid w:val="00623C49"/>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57C8"/>
    <w:rsid w:val="00845EDD"/>
    <w:rsid w:val="00846447"/>
    <w:rsid w:val="00846518"/>
    <w:rsid w:val="008469B0"/>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7614"/>
    <w:rsid w:val="00877FB5"/>
    <w:rsid w:val="008809F8"/>
    <w:rsid w:val="00880BEF"/>
    <w:rsid w:val="00881A2B"/>
    <w:rsid w:val="00881DDB"/>
    <w:rsid w:val="00881F73"/>
    <w:rsid w:val="00882D23"/>
    <w:rsid w:val="00883221"/>
    <w:rsid w:val="0088350F"/>
    <w:rsid w:val="0088495B"/>
    <w:rsid w:val="00884F53"/>
    <w:rsid w:val="008850B0"/>
    <w:rsid w:val="00887A42"/>
    <w:rsid w:val="00891277"/>
    <w:rsid w:val="008912F5"/>
    <w:rsid w:val="008915A8"/>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BE7"/>
    <w:rsid w:val="008B4AD7"/>
    <w:rsid w:val="008B53D6"/>
    <w:rsid w:val="008B5460"/>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7E71"/>
    <w:rsid w:val="00967F7A"/>
    <w:rsid w:val="009709F8"/>
    <w:rsid w:val="00970B4B"/>
    <w:rsid w:val="00971176"/>
    <w:rsid w:val="009722C8"/>
    <w:rsid w:val="00972B1C"/>
    <w:rsid w:val="00972D33"/>
    <w:rsid w:val="00973339"/>
    <w:rsid w:val="009733E4"/>
    <w:rsid w:val="009736DA"/>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311F"/>
    <w:rsid w:val="00AA3B11"/>
    <w:rsid w:val="00AA5635"/>
    <w:rsid w:val="00AA5E09"/>
    <w:rsid w:val="00AA6B7E"/>
    <w:rsid w:val="00AA73DF"/>
    <w:rsid w:val="00AB12A1"/>
    <w:rsid w:val="00AB171B"/>
    <w:rsid w:val="00AB1C64"/>
    <w:rsid w:val="00AB1CDF"/>
    <w:rsid w:val="00AB23DD"/>
    <w:rsid w:val="00AB278F"/>
    <w:rsid w:val="00AB3137"/>
    <w:rsid w:val="00AB32D5"/>
    <w:rsid w:val="00AB3378"/>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41C2"/>
    <w:rsid w:val="00B041E0"/>
    <w:rsid w:val="00B04342"/>
    <w:rsid w:val="00B04593"/>
    <w:rsid w:val="00B04605"/>
    <w:rsid w:val="00B0483B"/>
    <w:rsid w:val="00B06CE4"/>
    <w:rsid w:val="00B06D2C"/>
    <w:rsid w:val="00B10945"/>
    <w:rsid w:val="00B10C89"/>
    <w:rsid w:val="00B132A1"/>
    <w:rsid w:val="00B140D7"/>
    <w:rsid w:val="00B14B64"/>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43B6"/>
    <w:rsid w:val="00C04436"/>
    <w:rsid w:val="00C04DD9"/>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1C0F"/>
    <w:rsid w:val="00CA2707"/>
    <w:rsid w:val="00CA39FC"/>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C38"/>
    <w:rsid w:val="00CE3EB7"/>
    <w:rsid w:val="00CE55F4"/>
    <w:rsid w:val="00CF0EA8"/>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3963"/>
    <w:rsid w:val="00D03F7E"/>
    <w:rsid w:val="00D04654"/>
    <w:rsid w:val="00D046C0"/>
    <w:rsid w:val="00D05E34"/>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99C"/>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FD0"/>
    <w:rsid w:val="00E76080"/>
    <w:rsid w:val="00E768D5"/>
    <w:rsid w:val="00E76936"/>
    <w:rsid w:val="00E76D83"/>
    <w:rsid w:val="00E76FA2"/>
    <w:rsid w:val="00E77FEC"/>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19DD"/>
    <w:rsid w:val="00EF2314"/>
    <w:rsid w:val="00EF2631"/>
    <w:rsid w:val="00EF2ADE"/>
    <w:rsid w:val="00EF4744"/>
    <w:rsid w:val="00EF55E9"/>
    <w:rsid w:val="00EF6D5E"/>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965"/>
    <w:rsid w:val="00F92B1B"/>
    <w:rsid w:val="00F945DD"/>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4F3"/>
    <w:rsid w:val="00FD468E"/>
    <w:rsid w:val="00FD5333"/>
    <w:rsid w:val="00FD53E6"/>
    <w:rsid w:val="00FD5A9D"/>
    <w:rsid w:val="00FD6DB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E21"/>
    <w:rsid w:val="002814B3"/>
    <w:rsid w:val="002819EE"/>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B332F"/>
    <w:rsid w:val="008B42CD"/>
    <w:rsid w:val="008B68BC"/>
    <w:rsid w:val="008C14F9"/>
    <w:rsid w:val="008C407A"/>
    <w:rsid w:val="008C6869"/>
    <w:rsid w:val="008C7AC0"/>
    <w:rsid w:val="008D0427"/>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8362</TotalTime>
  <Pages>4</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424</cp:revision>
  <dcterms:created xsi:type="dcterms:W3CDTF">2021-11-01T05:15:00Z</dcterms:created>
  <dcterms:modified xsi:type="dcterms:W3CDTF">2022-05-17T18:33:00Z</dcterms:modified>
</cp:coreProperties>
</file>