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3"/>
        <w:tblpPr w:leftFromText="180" w:rightFromText="180" w:vertAnchor="text" w:horzAnchor="margin" w:tblpXSpec="center" w:tblpY="455"/>
        <w:tblOverlap w:val="never"/>
        <w:bidiVisual/>
        <w:tblW w:w="1020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83"/>
        <w:gridCol w:w="951"/>
        <w:gridCol w:w="389"/>
        <w:gridCol w:w="878"/>
        <w:gridCol w:w="422"/>
        <w:gridCol w:w="398"/>
        <w:gridCol w:w="832"/>
        <w:gridCol w:w="777"/>
        <w:gridCol w:w="625"/>
        <w:gridCol w:w="887"/>
        <w:gridCol w:w="275"/>
        <w:gridCol w:w="893"/>
        <w:gridCol w:w="521"/>
        <w:gridCol w:w="462"/>
        <w:gridCol w:w="805"/>
      </w:tblGrid>
      <w:tr w:rsidR="00317804" w:rsidRPr="00C1436D" w:rsidTr="005E2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16"/>
            <w:tcBorders>
              <w:top w:val="double" w:sz="24" w:space="0" w:color="auto"/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17804" w:rsidRPr="00C1436D" w:rsidRDefault="0030154C" w:rsidP="00453F82">
            <w:pPr>
              <w:bidi/>
              <w:jc w:val="center"/>
              <w:rPr>
                <w:rFonts w:ascii="Tahoma" w:hAnsi="Tahoma" w:cs="Mitra"/>
                <w:rtl/>
                <w:lang w:bidi="fa-IR"/>
              </w:rPr>
            </w:pPr>
            <w:r>
              <w:rPr>
                <w:rFonts w:ascii="Tahoma" w:hAnsi="Tahoma" w:cs="Mitra" w:hint="cs"/>
                <w:sz w:val="40"/>
                <w:szCs w:val="40"/>
                <w:rtl/>
                <w:lang w:bidi="fa-IR"/>
              </w:rPr>
              <w:t>دستاوردها</w:t>
            </w:r>
            <w:r w:rsidR="00254F53">
              <w:rPr>
                <w:rFonts w:ascii="Tahoma" w:hAnsi="Tahoma" w:cs="Mitra" w:hint="cs"/>
                <w:sz w:val="40"/>
                <w:szCs w:val="40"/>
                <w:rtl/>
                <w:lang w:bidi="fa-IR"/>
              </w:rPr>
              <w:t>ي</w:t>
            </w:r>
            <w:r w:rsidR="00317804" w:rsidRPr="00C1436D">
              <w:rPr>
                <w:rFonts w:ascii="Tahoma" w:hAnsi="Tahoma" w:cs="Mitra" w:hint="cs"/>
                <w:sz w:val="40"/>
                <w:szCs w:val="40"/>
                <w:rtl/>
                <w:lang w:bidi="fa-IR"/>
              </w:rPr>
              <w:t xml:space="preserve"> لوزان در يک نگاه</w:t>
            </w:r>
            <w:r w:rsidR="00453F82">
              <w:rPr>
                <w:rStyle w:val="FootnoteReference"/>
                <w:rFonts w:ascii="Tahoma" w:hAnsi="Tahoma" w:cs="Mitra"/>
                <w:rtl/>
                <w:lang w:bidi="fa-IR"/>
              </w:rPr>
              <w:footnoteReference w:id="1"/>
            </w:r>
          </w:p>
        </w:tc>
      </w:tr>
      <w:tr w:rsidR="00317804" w:rsidRPr="00C1436D" w:rsidTr="005E2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16"/>
            <w:tcBorders>
              <w:left w:val="double" w:sz="24" w:space="0" w:color="auto"/>
              <w:bottom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17804" w:rsidRPr="00C1436D" w:rsidRDefault="00317804" w:rsidP="00C43C6E">
            <w:pPr>
              <w:bidi/>
              <w:jc w:val="center"/>
              <w:rPr>
                <w:rFonts w:ascii="Tahoma" w:hAnsi="Tahoma" w:cs="Mitra"/>
                <w:rtl/>
                <w:lang w:bidi="fa-IR"/>
              </w:rPr>
            </w:pPr>
            <w:r w:rsidRPr="00C1436D">
              <w:rPr>
                <w:rFonts w:ascii="Tahoma" w:hAnsi="Tahoma" w:cs="Mitra" w:hint="cs"/>
                <w:sz w:val="36"/>
                <w:szCs w:val="36"/>
                <w:rtl/>
                <w:lang w:bidi="fa-IR"/>
              </w:rPr>
              <w:t>از نظر شکلي</w:t>
            </w:r>
          </w:p>
        </w:tc>
      </w:tr>
      <w:tr w:rsidR="00E560CF" w:rsidRPr="00C1436D" w:rsidTr="005E29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8"/>
            <w:tcBorders>
              <w:top w:val="double" w:sz="24" w:space="0" w:color="auto"/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60CF" w:rsidRPr="00A95B52" w:rsidRDefault="00E560CF" w:rsidP="00C43C6E">
            <w:pPr>
              <w:bidi/>
              <w:jc w:val="center"/>
              <w:rPr>
                <w:rFonts w:ascii="Tahoma" w:hAnsi="Tahoma" w:cs="Mitra"/>
                <w:sz w:val="30"/>
                <w:szCs w:val="30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sz w:val="30"/>
                <w:szCs w:val="30"/>
                <w:rtl/>
                <w:lang w:bidi="fa-IR"/>
              </w:rPr>
              <w:t>کارنامه ايران</w:t>
            </w:r>
          </w:p>
        </w:tc>
        <w:tc>
          <w:tcPr>
            <w:tcW w:w="5245" w:type="dxa"/>
            <w:gridSpan w:val="8"/>
            <w:tcBorders>
              <w:top w:val="double" w:sz="24" w:space="0" w:color="auto"/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60CF" w:rsidRPr="00A95B52" w:rsidRDefault="00E560CF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30"/>
                <w:szCs w:val="30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30"/>
                <w:szCs w:val="30"/>
                <w:rtl/>
                <w:lang w:bidi="fa-IR"/>
              </w:rPr>
              <w:t>کارنامه 1+5</w:t>
            </w:r>
            <w:bookmarkStart w:id="0" w:name="_GoBack"/>
            <w:bookmarkEnd w:id="0"/>
          </w:p>
        </w:tc>
      </w:tr>
      <w:tr w:rsidR="00233C74" w:rsidRPr="00C1436D" w:rsidTr="00233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rPr>
                <w:rFonts w:ascii="Tahoma" w:hAnsi="Tahoma" w:cs="Mitra"/>
                <w:sz w:val="24"/>
                <w:szCs w:val="24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334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ملاک ها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560CF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دستاورد</w:t>
            </w:r>
          </w:p>
          <w:p w:rsidR="00EE4E17" w:rsidRPr="00A95B52" w:rsidRDefault="00EE4E17" w:rsidP="00E5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 xml:space="preserve"> ايران</w:t>
            </w:r>
          </w:p>
        </w:tc>
        <w:tc>
          <w:tcPr>
            <w:tcW w:w="1230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نمره ايران</w:t>
            </w:r>
          </w:p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از 20</w:t>
            </w:r>
          </w:p>
        </w:tc>
        <w:tc>
          <w:tcPr>
            <w:tcW w:w="777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ملاک ها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دستاورد</w:t>
            </w:r>
          </w:p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  <w:t>1+5</w:t>
            </w:r>
          </w:p>
        </w:tc>
        <w:tc>
          <w:tcPr>
            <w:tcW w:w="1267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نمره 1+5</w:t>
            </w:r>
          </w:p>
          <w:p w:rsidR="00EE4E17" w:rsidRPr="00A95B52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از 20</w:t>
            </w:r>
          </w:p>
        </w:tc>
      </w:tr>
      <w:tr w:rsidR="00EE4E17" w:rsidRPr="00C1436D" w:rsidTr="00233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rPr>
                <w:rFonts w:ascii="Tahoma" w:hAnsi="Tahoma" w:cs="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4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بازگشت پذيري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560CF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در 20% موارد</w:t>
            </w:r>
          </w:p>
          <w:p w:rsidR="00EE4E17" w:rsidRPr="00181815" w:rsidRDefault="00EE4E17" w:rsidP="00E560C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وجود دارد</w:t>
            </w:r>
          </w:p>
        </w:tc>
        <w:tc>
          <w:tcPr>
            <w:tcW w:w="1230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77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EE4E17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EE4E17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بازگشت پذيري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560CF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% موارد </w:t>
            </w:r>
          </w:p>
          <w:p w:rsidR="00EE4E17" w:rsidRPr="00181815" w:rsidRDefault="00EE4E17" w:rsidP="00E560C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1267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33C74" w:rsidRPr="00C1436D" w:rsidTr="00233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rPr>
                <w:rFonts w:ascii="Tahoma" w:hAnsi="Tahoma" w:cs="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4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ضمانت اجرا</w:t>
            </w:r>
            <w:r w:rsidR="00DA7500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ي تعهدات 1+5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بسيار ضعيف</w:t>
            </w:r>
          </w:p>
        </w:tc>
        <w:tc>
          <w:tcPr>
            <w:tcW w:w="1230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Default="00A95B52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77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EE4E17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EE4E17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ضمانت اجرا</w:t>
            </w:r>
            <w:r w:rsidR="00DA7500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ي تعهدات ايران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بسيار قوي</w:t>
            </w:r>
          </w:p>
        </w:tc>
        <w:tc>
          <w:tcPr>
            <w:tcW w:w="1267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EE4E17" w:rsidRPr="00C1436D" w:rsidTr="00233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rPr>
                <w:rFonts w:ascii="Tahoma" w:hAnsi="Tahoma" w:cs="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4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DA7500" w:rsidP="00E560C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تفسير </w:t>
            </w:r>
            <w:r w:rsidR="00EE4E17"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پذيري تعهدات</w:t>
            </w: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ايران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1230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A95B52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77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EE4E17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EE4E17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DA7500" w:rsidP="00E560C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تفسير </w:t>
            </w:r>
            <w:r w:rsidR="00EE4E17"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پذيري تعهدات</w:t>
            </w: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1+5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زياد</w:t>
            </w:r>
          </w:p>
        </w:tc>
        <w:tc>
          <w:tcPr>
            <w:tcW w:w="1267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233C74" w:rsidRPr="00C1436D" w:rsidTr="00233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rPr>
                <w:rFonts w:ascii="Tahoma" w:hAnsi="Tahoma" w:cs="Mitr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34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وجود ناظر</w:t>
            </w:r>
          </w:p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براي تعهدات</w:t>
            </w:r>
            <w:r w:rsidR="00DA7500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1+5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E5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بسيار ضعيف</w:t>
            </w:r>
          </w:p>
        </w:tc>
        <w:tc>
          <w:tcPr>
            <w:tcW w:w="1230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77" w:type="dxa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EE4E17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EE4E17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وجود ناظر</w:t>
            </w:r>
          </w:p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براي تعهدات</w:t>
            </w:r>
            <w:r w:rsidR="00DA7500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ايران</w:t>
            </w:r>
          </w:p>
        </w:tc>
        <w:tc>
          <w:tcPr>
            <w:tcW w:w="1689" w:type="dxa"/>
            <w:gridSpan w:val="3"/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E560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بسيار</w:t>
            </w:r>
            <w:r w:rsidR="00E560CF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قوي</w:t>
            </w:r>
          </w:p>
        </w:tc>
        <w:tc>
          <w:tcPr>
            <w:tcW w:w="1267" w:type="dxa"/>
            <w:gridSpan w:val="2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181815" w:rsidRDefault="00EE4E17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E4E17" w:rsidRPr="00C1436D" w:rsidTr="00A86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8"/>
            <w:tcBorders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4F30A8" w:rsidRDefault="00EE4E17" w:rsidP="00A95B52">
            <w:pPr>
              <w:bidi/>
              <w:jc w:val="center"/>
              <w:rPr>
                <w:rFonts w:ascii="Tahoma" w:hAnsi="Tahoma" w:cs="Mitra"/>
                <w:sz w:val="28"/>
                <w:szCs w:val="28"/>
                <w:rtl/>
                <w:lang w:bidi="fa-IR"/>
              </w:rPr>
            </w:pPr>
            <w:r w:rsidRPr="004F30A8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ميانگين نمره ايران:</w:t>
            </w:r>
            <w:r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F30A8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B52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245" w:type="dxa"/>
            <w:gridSpan w:val="8"/>
            <w:tcBorders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4F30A8" w:rsidRDefault="00EE4E17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4F30A8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ميانگين نمره 1+5:</w:t>
            </w:r>
            <w:r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F30A8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 xml:space="preserve"> 17.5</w:t>
            </w:r>
          </w:p>
        </w:tc>
      </w:tr>
      <w:tr w:rsidR="00EE4E17" w:rsidRPr="00C1436D" w:rsidTr="005E2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16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C1436D" w:rsidRDefault="00EE4E17" w:rsidP="00C43C6E">
            <w:pPr>
              <w:bidi/>
              <w:jc w:val="center"/>
              <w:rPr>
                <w:rFonts w:ascii="Tahoma" w:hAnsi="Tahoma" w:cs="Mitra"/>
                <w:rtl/>
                <w:lang w:bidi="fa-IR"/>
              </w:rPr>
            </w:pPr>
            <w:r w:rsidRPr="007B04CD">
              <w:rPr>
                <w:rFonts w:ascii="Tahoma" w:hAnsi="Tahoma" w:cs="Mitra" w:hint="cs"/>
                <w:sz w:val="36"/>
                <w:szCs w:val="36"/>
                <w:rtl/>
                <w:lang w:bidi="fa-IR"/>
              </w:rPr>
              <w:t>از نظر محتوايي</w:t>
            </w:r>
          </w:p>
        </w:tc>
      </w:tr>
      <w:tr w:rsidR="00E560CF" w:rsidRPr="00C1436D" w:rsidTr="00DB5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8"/>
            <w:tcBorders>
              <w:top w:val="double" w:sz="24" w:space="0" w:color="auto"/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60CF" w:rsidRPr="00A95B52" w:rsidRDefault="00E560CF" w:rsidP="00C43C6E">
            <w:pPr>
              <w:bidi/>
              <w:jc w:val="center"/>
              <w:rPr>
                <w:rFonts w:ascii="Tahoma" w:hAnsi="Tahoma" w:cs="Mitra"/>
                <w:sz w:val="30"/>
                <w:szCs w:val="30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sz w:val="30"/>
                <w:szCs w:val="30"/>
                <w:rtl/>
                <w:lang w:bidi="fa-IR"/>
              </w:rPr>
              <w:t>کارنامه ايران</w:t>
            </w:r>
          </w:p>
        </w:tc>
        <w:tc>
          <w:tcPr>
            <w:tcW w:w="5245" w:type="dxa"/>
            <w:gridSpan w:val="8"/>
            <w:tcBorders>
              <w:top w:val="double" w:sz="24" w:space="0" w:color="auto"/>
              <w:left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60CF" w:rsidRPr="00A95B52" w:rsidRDefault="00E560CF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30"/>
                <w:szCs w:val="30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30"/>
                <w:szCs w:val="30"/>
                <w:rtl/>
                <w:lang w:bidi="fa-IR"/>
              </w:rPr>
              <w:t>کارنامه 1+5</w:t>
            </w:r>
          </w:p>
        </w:tc>
      </w:tr>
      <w:tr w:rsidR="005E299F" w:rsidRPr="00C1436D" w:rsidTr="005E2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gridSpan w:val="2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rPr>
                <w:rFonts w:ascii="Tahoma" w:hAnsi="Tahoma" w:cs="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داده</w:t>
            </w:r>
          </w:p>
          <w:p w:rsidR="006B3378" w:rsidRPr="00A95B52" w:rsidRDefault="006B3378" w:rsidP="00C43C6E">
            <w:pPr>
              <w:bidi/>
              <w:jc w:val="center"/>
              <w:rPr>
                <w:rFonts w:ascii="Tahoma" w:hAnsi="Tahoma" w:cs="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ايران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ستانده</w:t>
            </w:r>
          </w:p>
          <w:p w:rsidR="006B3378" w:rsidRPr="00A95B52" w:rsidRDefault="006B3378" w:rsidP="003078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 xml:space="preserve"> ايران</w:t>
            </w:r>
          </w:p>
        </w:tc>
        <w:tc>
          <w:tcPr>
            <w:tcW w:w="878" w:type="dxa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وضعيت</w:t>
            </w:r>
          </w:p>
        </w:tc>
        <w:tc>
          <w:tcPr>
            <w:tcW w:w="820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وضعيت ايران</w:t>
            </w:r>
          </w:p>
        </w:tc>
        <w:tc>
          <w:tcPr>
            <w:tcW w:w="832" w:type="dxa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نمره ايران از 20</w:t>
            </w:r>
          </w:p>
        </w:tc>
        <w:tc>
          <w:tcPr>
            <w:tcW w:w="1402" w:type="dxa"/>
            <w:gridSpan w:val="2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داده</w:t>
            </w:r>
          </w:p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1+5</w:t>
            </w:r>
          </w:p>
        </w:tc>
        <w:tc>
          <w:tcPr>
            <w:tcW w:w="1162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ستانده</w:t>
            </w:r>
          </w:p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1+5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وضعيت</w:t>
            </w:r>
          </w:p>
        </w:tc>
        <w:tc>
          <w:tcPr>
            <w:tcW w:w="983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وضعيت 1+5</w:t>
            </w:r>
          </w:p>
        </w:tc>
        <w:tc>
          <w:tcPr>
            <w:tcW w:w="805" w:type="dxa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نمره 1+5</w:t>
            </w:r>
          </w:p>
          <w:p w:rsidR="006B3378" w:rsidRPr="00A95B52" w:rsidRDefault="006B3378" w:rsidP="00C43C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A95B52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از20</w:t>
            </w:r>
          </w:p>
        </w:tc>
      </w:tr>
      <w:tr w:rsidR="005E299F" w:rsidRPr="00C1436D" w:rsidTr="005E29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gridSpan w:val="2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bidi/>
              <w:jc w:val="center"/>
              <w:rPr>
                <w:rFonts w:ascii="Tahoma" w:hAnsi="Tahoma" w:cs="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sz w:val="24"/>
                <w:szCs w:val="24"/>
                <w:rtl/>
                <w:lang w:bidi="fa-IR"/>
              </w:rPr>
              <w:t xml:space="preserve">بخش مهمي از صنعت هسته اي و حقوق امنيتي </w:t>
            </w:r>
            <w:r w:rsidRPr="00A95B52">
              <w:rPr>
                <w:rFonts w:ascii="Tahoma" w:hAnsi="Tahoma" w:cs="Mitra" w:hint="cs"/>
                <w:sz w:val="24"/>
                <w:szCs w:val="24"/>
                <w:u w:val="single"/>
                <w:rtl/>
                <w:lang w:bidi="fa-IR"/>
              </w:rPr>
              <w:t>خود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بخشي از پول نفت خود، اجازه فروش محصولات </w:t>
            </w:r>
            <w:r w:rsidRPr="00A95B52">
              <w:rPr>
                <w:rFonts w:ascii="Tahoma" w:hAnsi="Tahoma" w:cs="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خود </w:t>
            </w: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و ...</w:t>
            </w:r>
          </w:p>
        </w:tc>
        <w:tc>
          <w:tcPr>
            <w:tcW w:w="878" w:type="dxa"/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ارزش </w:t>
            </w: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داده</w:t>
            </w:r>
          </w:p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بيش از ستانده</w:t>
            </w:r>
          </w:p>
        </w:tc>
        <w:tc>
          <w:tcPr>
            <w:tcW w:w="820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بسيار</w:t>
            </w:r>
          </w:p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ضعيف</w:t>
            </w:r>
          </w:p>
        </w:tc>
        <w:tc>
          <w:tcPr>
            <w:tcW w:w="832" w:type="dxa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BA4C42" w:rsidRDefault="00A95B52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02" w:type="dxa"/>
            <w:gridSpan w:val="2"/>
            <w:tcBorders>
              <w:lef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E56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بخشي از پول نفت ايران، مجوز فروش محصولات </w:t>
            </w:r>
            <w:r w:rsidRPr="00A95B52">
              <w:rPr>
                <w:rFonts w:ascii="Tahoma" w:hAnsi="Tahoma" w:cs="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ايران</w:t>
            </w: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 و ... </w:t>
            </w:r>
          </w:p>
        </w:tc>
        <w:tc>
          <w:tcPr>
            <w:tcW w:w="1162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b/>
                <w:bCs/>
                <w:sz w:val="24"/>
                <w:szCs w:val="24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بخش مهمي از صنعت هسته اي و حقوق امنيتي </w:t>
            </w:r>
            <w:r w:rsidRPr="00A95B52">
              <w:rPr>
                <w:rFonts w:ascii="Tahoma" w:hAnsi="Tahoma" w:cs="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ايران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 xml:space="preserve">ارزش </w:t>
            </w: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داده</w:t>
            </w:r>
          </w:p>
          <w:p w:rsidR="006B3378" w:rsidRPr="00181815" w:rsidRDefault="006B3378" w:rsidP="00C43C6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rtl/>
                <w:lang w:bidi="fa-IR"/>
              </w:rPr>
            </w:pPr>
            <w:r w:rsidRPr="00181815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کمتر از ستانده</w:t>
            </w:r>
          </w:p>
        </w:tc>
        <w:tc>
          <w:tcPr>
            <w:tcW w:w="983" w:type="dxa"/>
            <w:gridSpan w:val="2"/>
            <w:tcMar>
              <w:left w:w="0" w:type="dxa"/>
              <w:right w:w="0" w:type="dxa"/>
            </w:tcMar>
            <w:vAlign w:val="center"/>
          </w:tcPr>
          <w:p w:rsidR="006B3378" w:rsidRPr="00236609" w:rsidRDefault="006B3378" w:rsidP="00C43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6"/>
                <w:szCs w:val="26"/>
                <w:rtl/>
                <w:lang w:bidi="fa-IR"/>
              </w:rPr>
            </w:pPr>
            <w:r w:rsidRPr="00236609">
              <w:rPr>
                <w:rFonts w:ascii="Tahoma" w:hAnsi="Tahoma" w:cs="Mitra" w:hint="cs"/>
                <w:b/>
                <w:bCs/>
                <w:sz w:val="26"/>
                <w:szCs w:val="26"/>
                <w:rtl/>
                <w:lang w:bidi="fa-IR"/>
              </w:rPr>
              <w:t>بسيار</w:t>
            </w:r>
          </w:p>
          <w:p w:rsidR="006B3378" w:rsidRPr="00236609" w:rsidRDefault="006B3378" w:rsidP="00C43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b/>
                <w:bCs/>
                <w:sz w:val="26"/>
                <w:szCs w:val="26"/>
              </w:rPr>
            </w:pPr>
            <w:r>
              <w:rPr>
                <w:rFonts w:ascii="Tahoma" w:hAnsi="Tahoma" w:cs="Mitra" w:hint="cs"/>
                <w:b/>
                <w:bCs/>
                <w:sz w:val="26"/>
                <w:szCs w:val="26"/>
                <w:rtl/>
                <w:lang w:bidi="fa-IR"/>
              </w:rPr>
              <w:t>خوب</w:t>
            </w:r>
          </w:p>
        </w:tc>
        <w:tc>
          <w:tcPr>
            <w:tcW w:w="805" w:type="dxa"/>
            <w:tcBorders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378" w:rsidRPr="00BA4C42" w:rsidRDefault="006B3378" w:rsidP="00BA4C4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Mitra"/>
                <w:b/>
                <w:bCs/>
                <w:sz w:val="24"/>
                <w:szCs w:val="24"/>
                <w:lang w:bidi="fa-IR"/>
              </w:rPr>
            </w:pPr>
            <w:r w:rsidRPr="00BA4C42">
              <w:rPr>
                <w:rFonts w:ascii="Tahoma" w:hAnsi="Tahoma" w:cs="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E4E17" w:rsidRPr="00C1436D" w:rsidTr="005E2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8"/>
            <w:tcBorders>
              <w:left w:val="double" w:sz="24" w:space="0" w:color="auto"/>
              <w:bottom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4F30A8" w:rsidRDefault="00EE4E17" w:rsidP="00A95B52">
            <w:pPr>
              <w:bidi/>
              <w:jc w:val="center"/>
              <w:rPr>
                <w:rFonts w:ascii="Tahoma" w:hAnsi="Tahoma" w:cs="Mitra"/>
                <w:sz w:val="28"/>
                <w:szCs w:val="28"/>
                <w:rtl/>
                <w:lang w:bidi="fa-IR"/>
              </w:rPr>
            </w:pPr>
            <w:r w:rsidRPr="004F30A8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نمره ا</w:t>
            </w:r>
            <w:r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ي</w:t>
            </w:r>
            <w:r w:rsidRPr="004F30A8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 xml:space="preserve">ران: </w:t>
            </w:r>
            <w:r w:rsidR="00A95B52">
              <w:rPr>
                <w:rFonts w:ascii="Tahoma" w:hAnsi="Tahoma"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245" w:type="dxa"/>
            <w:gridSpan w:val="8"/>
            <w:tcBorders>
              <w:left w:val="double" w:sz="24" w:space="0" w:color="auto"/>
              <w:bottom w:val="double" w:sz="24" w:space="0" w:color="auto"/>
              <w:right w:val="doub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4E17" w:rsidRPr="004F30A8" w:rsidRDefault="00EE4E17" w:rsidP="00C43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Mitra"/>
                <w:b/>
                <w:bCs/>
                <w:sz w:val="28"/>
                <w:szCs w:val="28"/>
                <w:rtl/>
                <w:lang w:bidi="fa-IR"/>
              </w:rPr>
            </w:pPr>
            <w:r w:rsidRPr="004F30A8">
              <w:rPr>
                <w:rFonts w:ascii="Tahoma" w:hAnsi="Tahoma" w:cs="Mitra" w:hint="cs"/>
                <w:b/>
                <w:bCs/>
                <w:sz w:val="28"/>
                <w:szCs w:val="28"/>
                <w:rtl/>
                <w:lang w:bidi="fa-IR"/>
              </w:rPr>
              <w:t>نمره 1+5:  20</w:t>
            </w:r>
          </w:p>
        </w:tc>
      </w:tr>
    </w:tbl>
    <w:p w:rsidR="00677A1E" w:rsidRDefault="00677A1E" w:rsidP="00317804">
      <w:pPr>
        <w:bidi/>
        <w:rPr>
          <w:rtl/>
        </w:rPr>
      </w:pPr>
    </w:p>
    <w:p w:rsidR="00317804" w:rsidRPr="00F760E8" w:rsidRDefault="00317804" w:rsidP="00AB5D56">
      <w:pPr>
        <w:bidi/>
        <w:jc w:val="center"/>
        <w:rPr>
          <w:rFonts w:cs="Mitra"/>
          <w:b/>
          <w:bCs/>
          <w:color w:val="000000" w:themeColor="text1"/>
          <w:sz w:val="32"/>
          <w:szCs w:val="32"/>
          <w:rtl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32"/>
          <w:szCs w:val="32"/>
          <w:rtl/>
          <w:lang w:bidi="fa-IR"/>
        </w:rPr>
        <w:t>دستاوردها</w:t>
      </w:r>
      <w:r>
        <w:rPr>
          <w:rFonts w:cs="Mitra" w:hint="cs"/>
          <w:b/>
          <w:bCs/>
          <w:color w:val="000000" w:themeColor="text1"/>
          <w:sz w:val="32"/>
          <w:szCs w:val="32"/>
          <w:rtl/>
          <w:lang w:bidi="fa-IR"/>
        </w:rPr>
        <w:t>ي</w:t>
      </w:r>
      <w:r w:rsidRPr="00F760E8">
        <w:rPr>
          <w:rFonts w:cs="Mitra" w:hint="cs"/>
          <w:b/>
          <w:bCs/>
          <w:color w:val="000000" w:themeColor="text1"/>
          <w:sz w:val="32"/>
          <w:szCs w:val="32"/>
          <w:rtl/>
          <w:lang w:bidi="fa-IR"/>
        </w:rPr>
        <w:t xml:space="preserve"> لوزان</w:t>
      </w:r>
    </w:p>
    <w:p w:rsidR="00A863E1" w:rsidRPr="00CB2428" w:rsidRDefault="00A863E1" w:rsidP="00CB2428">
      <w:pPr>
        <w:bidi/>
        <w:rPr>
          <w:rFonts w:cs="Mitra"/>
          <w:b/>
          <w:bCs/>
          <w:sz w:val="36"/>
          <w:szCs w:val="28"/>
          <w:lang w:bidi="fa-IR"/>
        </w:rPr>
      </w:pPr>
      <w:r w:rsidRPr="00A863E1">
        <w:rPr>
          <w:rFonts w:cs="Mitra" w:hint="cs"/>
          <w:b/>
          <w:bCs/>
          <w:sz w:val="36"/>
          <w:szCs w:val="28"/>
          <w:rtl/>
          <w:lang w:bidi="fa-IR"/>
        </w:rPr>
        <w:t>معيارهاي ارزيابي يک توافق:</w:t>
      </w:r>
      <w:r w:rsidR="00CB2428">
        <w:rPr>
          <w:rFonts w:cs="Mitra" w:hint="cs"/>
          <w:b/>
          <w:bCs/>
          <w:sz w:val="36"/>
          <w:szCs w:val="28"/>
          <w:rtl/>
          <w:lang w:bidi="fa-IR"/>
        </w:rPr>
        <w:t xml:space="preserve">      1. </w:t>
      </w:r>
      <w:r w:rsidR="00AF58D7">
        <w:rPr>
          <w:rFonts w:cs="Mitra" w:hint="cs"/>
          <w:b/>
          <w:bCs/>
          <w:sz w:val="36"/>
          <w:szCs w:val="28"/>
          <w:rtl/>
          <w:lang w:bidi="fa-IR"/>
        </w:rPr>
        <w:t xml:space="preserve">معيارهاي </w:t>
      </w:r>
      <w:r w:rsidRPr="00CB2428">
        <w:rPr>
          <w:rFonts w:cs="Mitra" w:hint="cs"/>
          <w:b/>
          <w:bCs/>
          <w:sz w:val="36"/>
          <w:szCs w:val="28"/>
          <w:rtl/>
          <w:lang w:bidi="fa-IR"/>
        </w:rPr>
        <w:t xml:space="preserve">شکلي           2. </w:t>
      </w:r>
      <w:r w:rsidR="00AF58D7">
        <w:rPr>
          <w:rFonts w:cs="Mitra" w:hint="cs"/>
          <w:b/>
          <w:bCs/>
          <w:sz w:val="36"/>
          <w:szCs w:val="28"/>
          <w:rtl/>
          <w:lang w:bidi="fa-IR"/>
        </w:rPr>
        <w:t xml:space="preserve">معيارهاي </w:t>
      </w:r>
      <w:r w:rsidRPr="00CB2428">
        <w:rPr>
          <w:rFonts w:cs="Mitra" w:hint="cs"/>
          <w:b/>
          <w:bCs/>
          <w:sz w:val="36"/>
          <w:szCs w:val="28"/>
          <w:rtl/>
          <w:lang w:bidi="fa-IR"/>
        </w:rPr>
        <w:t>محتوايي</w:t>
      </w:r>
    </w:p>
    <w:p w:rsidR="00A863E1" w:rsidRPr="00A863E1" w:rsidRDefault="00A863E1" w:rsidP="00A863E1">
      <w:pPr>
        <w:pStyle w:val="ListParagraph"/>
        <w:numPr>
          <w:ilvl w:val="0"/>
          <w:numId w:val="12"/>
        </w:numPr>
        <w:bidi/>
        <w:spacing w:after="0"/>
        <w:rPr>
          <w:rFonts w:cs="Mitra"/>
          <w:b/>
          <w:bCs/>
          <w:sz w:val="36"/>
          <w:szCs w:val="28"/>
          <w:lang w:bidi="fa-IR"/>
        </w:rPr>
      </w:pPr>
      <w:r>
        <w:rPr>
          <w:rFonts w:cs="Mitra" w:hint="cs"/>
          <w:b/>
          <w:bCs/>
          <w:sz w:val="36"/>
          <w:szCs w:val="28"/>
          <w:rtl/>
          <w:lang w:bidi="fa-IR"/>
        </w:rPr>
        <w:t>مع</w:t>
      </w:r>
      <w:r w:rsidR="00254F53">
        <w:rPr>
          <w:rFonts w:cs="Mitra" w:hint="cs"/>
          <w:b/>
          <w:bCs/>
          <w:sz w:val="36"/>
          <w:szCs w:val="28"/>
          <w:rtl/>
          <w:lang w:bidi="fa-IR"/>
        </w:rPr>
        <w:t>ي</w:t>
      </w:r>
      <w:r>
        <w:rPr>
          <w:rFonts w:cs="Mitra" w:hint="cs"/>
          <w:b/>
          <w:bCs/>
          <w:sz w:val="36"/>
          <w:szCs w:val="28"/>
          <w:rtl/>
          <w:lang w:bidi="fa-IR"/>
        </w:rPr>
        <w:t>ارها</w:t>
      </w:r>
      <w:r w:rsidR="00254F53">
        <w:rPr>
          <w:rFonts w:cs="Mitra" w:hint="cs"/>
          <w:b/>
          <w:bCs/>
          <w:sz w:val="36"/>
          <w:szCs w:val="28"/>
          <w:rtl/>
          <w:lang w:bidi="fa-IR"/>
        </w:rPr>
        <w:t>ي</w:t>
      </w:r>
      <w:r>
        <w:rPr>
          <w:rFonts w:cs="Mitra" w:hint="cs"/>
          <w:b/>
          <w:bCs/>
          <w:sz w:val="36"/>
          <w:szCs w:val="28"/>
          <w:rtl/>
          <w:lang w:bidi="fa-IR"/>
        </w:rPr>
        <w:t xml:space="preserve"> </w:t>
      </w:r>
      <w:r w:rsidRPr="00A863E1">
        <w:rPr>
          <w:rFonts w:cs="Mitra" w:hint="cs"/>
          <w:b/>
          <w:bCs/>
          <w:sz w:val="36"/>
          <w:szCs w:val="28"/>
          <w:rtl/>
          <w:lang w:bidi="fa-IR"/>
        </w:rPr>
        <w:t>شکلي</w:t>
      </w:r>
      <w:r>
        <w:rPr>
          <w:rFonts w:cs="Mitra" w:hint="cs"/>
          <w:b/>
          <w:bCs/>
          <w:sz w:val="36"/>
          <w:szCs w:val="28"/>
          <w:rtl/>
          <w:lang w:bidi="fa-IR"/>
        </w:rPr>
        <w:t>:</w:t>
      </w:r>
    </w:p>
    <w:p w:rsidR="00A863E1" w:rsidRDefault="00A863E1" w:rsidP="00D11C04">
      <w:pPr>
        <w:pStyle w:val="ListParagraph"/>
        <w:numPr>
          <w:ilvl w:val="1"/>
          <w:numId w:val="13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 w:rsidRPr="00FF722E">
        <w:rPr>
          <w:rFonts w:cs="Mitra" w:hint="cs"/>
          <w:b/>
          <w:bCs/>
          <w:sz w:val="36"/>
          <w:szCs w:val="28"/>
          <w:rtl/>
          <w:lang w:bidi="fa-IR"/>
        </w:rPr>
        <w:t>ضمانت اجرا: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 وجود ضمانت قو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 برا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 وادار کردن طرف مقابل به انجام تعهدات خود. </w:t>
      </w:r>
      <w:r w:rsidR="00B92BDF">
        <w:rPr>
          <w:rFonts w:cs="Mitra" w:hint="cs"/>
          <w:sz w:val="36"/>
          <w:szCs w:val="28"/>
          <w:rtl/>
          <w:lang w:bidi="fa-IR"/>
        </w:rPr>
        <w:t>ضمانت اجراي 1+5</w:t>
      </w:r>
      <w:r w:rsidR="00EE4E17">
        <w:rPr>
          <w:rFonts w:cs="Mitra" w:hint="cs"/>
          <w:sz w:val="36"/>
          <w:szCs w:val="28"/>
          <w:rtl/>
          <w:lang w:bidi="fa-IR"/>
        </w:rPr>
        <w:t>،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</w:t>
      </w:r>
      <w:r w:rsidR="00B92BDF" w:rsidRPr="00FF722E">
        <w:rPr>
          <w:rFonts w:cs="Mitra" w:hint="cs"/>
          <w:b/>
          <w:bCs/>
          <w:sz w:val="36"/>
          <w:szCs w:val="28"/>
          <w:u w:val="single"/>
          <w:rtl/>
          <w:lang w:bidi="fa-IR"/>
        </w:rPr>
        <w:t>تحريمها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و </w:t>
      </w:r>
      <w:r w:rsidR="00B92BDF" w:rsidRPr="00FF722E">
        <w:rPr>
          <w:rFonts w:cs="Mitra" w:hint="cs"/>
          <w:b/>
          <w:bCs/>
          <w:sz w:val="36"/>
          <w:szCs w:val="28"/>
          <w:u w:val="single"/>
          <w:rtl/>
          <w:lang w:bidi="fa-IR"/>
        </w:rPr>
        <w:t>قطعنامه هاي شوراي امنيت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است اما ايران ضمانت اجراي موثري ندارد.</w:t>
      </w:r>
    </w:p>
    <w:p w:rsidR="00A863E1" w:rsidRPr="00A863E1" w:rsidRDefault="00A863E1" w:rsidP="00B92BDF">
      <w:pPr>
        <w:pStyle w:val="ListParagraph"/>
        <w:numPr>
          <w:ilvl w:val="1"/>
          <w:numId w:val="13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 w:rsidRPr="00FF722E">
        <w:rPr>
          <w:rFonts w:cs="Mitra" w:hint="cs"/>
          <w:b/>
          <w:bCs/>
          <w:sz w:val="36"/>
          <w:szCs w:val="28"/>
          <w:rtl/>
          <w:lang w:bidi="fa-IR"/>
        </w:rPr>
        <w:t>بازگشت پذيري: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 امکان بازگشت به وضع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 w:rsidRPr="00A863E1">
        <w:rPr>
          <w:rFonts w:cs="Mitra" w:hint="cs"/>
          <w:sz w:val="36"/>
          <w:szCs w:val="28"/>
          <w:rtl/>
          <w:lang w:bidi="fa-IR"/>
        </w:rPr>
        <w:t>ت اول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ه در صورت نقض طرف مقابل در 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کمتر</w:t>
      </w:r>
      <w:r w:rsidR="00254F53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ي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ن زمان</w:t>
      </w:r>
      <w:r w:rsidRPr="00A863E1">
        <w:rPr>
          <w:rFonts w:cs="Mitra" w:hint="cs"/>
          <w:sz w:val="36"/>
          <w:szCs w:val="28"/>
          <w:rtl/>
          <w:lang w:bidi="fa-IR"/>
        </w:rPr>
        <w:t xml:space="preserve"> و با 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کمتر</w:t>
      </w:r>
      <w:r w:rsidR="00254F53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ي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ن هز</w:t>
      </w:r>
      <w:r w:rsidR="00254F53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ي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نه</w:t>
      </w:r>
      <w:r w:rsidR="004F30A8">
        <w:rPr>
          <w:rFonts w:cs="Mitra" w:hint="cs"/>
          <w:sz w:val="36"/>
          <w:szCs w:val="28"/>
          <w:rtl/>
          <w:lang w:bidi="fa-IR"/>
        </w:rPr>
        <w:t xml:space="preserve"> وجود داشته باشد</w:t>
      </w:r>
      <w:r w:rsidR="00B92BDF">
        <w:rPr>
          <w:rFonts w:cs="Mitra"/>
          <w:sz w:val="36"/>
          <w:szCs w:val="28"/>
          <w:lang w:bidi="fa-IR"/>
        </w:rPr>
        <w:t xml:space="preserve"> </w:t>
      </w:r>
      <w:r w:rsidR="00D11C04">
        <w:rPr>
          <w:rFonts w:cs="Mitra" w:hint="cs"/>
          <w:sz w:val="36"/>
          <w:szCs w:val="28"/>
          <w:rtl/>
          <w:lang w:bidi="fa-IR"/>
        </w:rPr>
        <w:t xml:space="preserve">که در </w:t>
      </w:r>
      <w:r w:rsidR="00D11C04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فردو</w:t>
      </w:r>
      <w:r w:rsidR="00D11C04">
        <w:rPr>
          <w:rFonts w:cs="Mitra" w:hint="cs"/>
          <w:sz w:val="36"/>
          <w:szCs w:val="28"/>
          <w:rtl/>
          <w:lang w:bidi="fa-IR"/>
        </w:rPr>
        <w:t xml:space="preserve">، </w:t>
      </w:r>
      <w:r w:rsidR="00D11C04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نطنز</w:t>
      </w:r>
      <w:r w:rsidR="00D11C04">
        <w:rPr>
          <w:rFonts w:cs="Mitra" w:hint="cs"/>
          <w:sz w:val="36"/>
          <w:szCs w:val="28"/>
          <w:rtl/>
          <w:lang w:bidi="fa-IR"/>
        </w:rPr>
        <w:t xml:space="preserve"> و </w:t>
      </w:r>
      <w:r w:rsidR="00D11C04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آب سنگين اراک</w:t>
      </w:r>
      <w:r w:rsidR="00D11C04">
        <w:rPr>
          <w:rFonts w:cs="Mitra" w:hint="cs"/>
          <w:sz w:val="36"/>
          <w:szCs w:val="28"/>
          <w:rtl/>
          <w:lang w:bidi="fa-IR"/>
        </w:rPr>
        <w:t xml:space="preserve"> اين امکان فراهم نيست. اما 1+5 بلافاصله مي تواند </w:t>
      </w:r>
      <w:r w:rsidR="00D11C04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تحريمهاي تعليقي</w:t>
      </w:r>
      <w:r w:rsidR="00D11C04">
        <w:rPr>
          <w:rFonts w:cs="Mitra" w:hint="cs"/>
          <w:sz w:val="36"/>
          <w:szCs w:val="28"/>
          <w:rtl/>
          <w:lang w:bidi="fa-IR"/>
        </w:rPr>
        <w:t xml:space="preserve"> را مجددا اعمال کند.</w:t>
      </w:r>
    </w:p>
    <w:p w:rsidR="00A863E1" w:rsidRDefault="00A863E1" w:rsidP="00F17838">
      <w:pPr>
        <w:pStyle w:val="ListParagraph"/>
        <w:numPr>
          <w:ilvl w:val="1"/>
          <w:numId w:val="13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 w:rsidRPr="00FF722E">
        <w:rPr>
          <w:rFonts w:cs="Mitra" w:hint="cs"/>
          <w:b/>
          <w:bCs/>
          <w:sz w:val="36"/>
          <w:szCs w:val="28"/>
          <w:rtl/>
          <w:lang w:bidi="fa-IR"/>
        </w:rPr>
        <w:t>تفسير ناپذيري</w:t>
      </w:r>
      <w:r w:rsidR="00254F53" w:rsidRPr="00FF722E">
        <w:rPr>
          <w:rFonts w:cs="Mitra" w:hint="cs"/>
          <w:b/>
          <w:bCs/>
          <w:sz w:val="36"/>
          <w:szCs w:val="28"/>
          <w:rtl/>
          <w:lang w:bidi="fa-IR"/>
        </w:rPr>
        <w:t>: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</w:t>
      </w:r>
      <w:r>
        <w:rPr>
          <w:rFonts w:cs="Mitra" w:hint="cs"/>
          <w:sz w:val="36"/>
          <w:szCs w:val="28"/>
          <w:rtl/>
          <w:lang w:bidi="fa-IR"/>
        </w:rPr>
        <w:t>جلوگ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ر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از شانه خال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کردن طرف مقابل از عمل به تعهدات خود </w:t>
      </w:r>
      <w:r w:rsidR="00F17838">
        <w:rPr>
          <w:rFonts w:cs="Mitra" w:hint="cs"/>
          <w:sz w:val="36"/>
          <w:szCs w:val="28"/>
          <w:rtl/>
          <w:lang w:bidi="fa-IR"/>
        </w:rPr>
        <w:t>به خاطر</w:t>
      </w:r>
      <w:r>
        <w:rPr>
          <w:rFonts w:cs="Mitra" w:hint="cs"/>
          <w:sz w:val="36"/>
          <w:szCs w:val="28"/>
          <w:rtl/>
          <w:lang w:bidi="fa-IR"/>
        </w:rPr>
        <w:t xml:space="preserve"> ابهام کلمات.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در تعهدات 1+5</w:t>
      </w:r>
      <w:r w:rsidR="00D11C04">
        <w:rPr>
          <w:rFonts w:cs="Mitra" w:hint="cs"/>
          <w:sz w:val="36"/>
          <w:szCs w:val="28"/>
          <w:rtl/>
          <w:lang w:bidi="fa-IR"/>
        </w:rPr>
        <w:t xml:space="preserve"> </w:t>
      </w:r>
      <w:r w:rsidR="00B92BDF">
        <w:rPr>
          <w:rFonts w:cs="Mitra" w:hint="cs"/>
          <w:sz w:val="36"/>
          <w:szCs w:val="28"/>
          <w:rtl/>
          <w:lang w:bidi="fa-IR"/>
        </w:rPr>
        <w:t xml:space="preserve">همه واژهاي </w:t>
      </w:r>
      <w:r w:rsidR="00F17838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«</w:t>
      </w:r>
      <w:r w:rsidR="00B92BDF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مرتبط با هسته اي</w:t>
      </w:r>
      <w:r w:rsidR="00F17838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»</w:t>
      </w:r>
      <w:r w:rsidR="00B92BDF">
        <w:rPr>
          <w:rFonts w:cs="Mitra" w:hint="cs"/>
          <w:sz w:val="36"/>
          <w:szCs w:val="28"/>
          <w:rtl/>
          <w:lang w:bidi="fa-IR"/>
        </w:rPr>
        <w:t xml:space="preserve">، </w:t>
      </w:r>
      <w:r w:rsidR="00F17838">
        <w:rPr>
          <w:rFonts w:cs="Mitra" w:hint="cs"/>
          <w:sz w:val="36"/>
          <w:szCs w:val="28"/>
          <w:rtl/>
          <w:lang w:bidi="fa-IR"/>
        </w:rPr>
        <w:t>«</w:t>
      </w:r>
      <w:r w:rsidR="00B92BDF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اقتصادي</w:t>
      </w:r>
      <w:r w:rsidR="00F17838">
        <w:rPr>
          <w:rFonts w:cs="Mitra" w:hint="cs"/>
          <w:sz w:val="36"/>
          <w:szCs w:val="28"/>
          <w:rtl/>
          <w:lang w:bidi="fa-IR"/>
        </w:rPr>
        <w:t>»</w:t>
      </w:r>
      <w:r w:rsidR="00B92BDF">
        <w:rPr>
          <w:rFonts w:cs="Mitra" w:hint="cs"/>
          <w:sz w:val="36"/>
          <w:szCs w:val="28"/>
          <w:rtl/>
          <w:lang w:bidi="fa-IR"/>
        </w:rPr>
        <w:t xml:space="preserve">، </w:t>
      </w:r>
      <w:r w:rsidR="00F17838">
        <w:rPr>
          <w:rFonts w:cs="Mitra" w:hint="cs"/>
          <w:sz w:val="36"/>
          <w:szCs w:val="28"/>
          <w:rtl/>
          <w:lang w:bidi="fa-IR"/>
        </w:rPr>
        <w:t>«</w:t>
      </w:r>
      <w:r w:rsidR="00B92BDF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مالي</w:t>
      </w:r>
      <w:r w:rsidR="00F17838">
        <w:rPr>
          <w:rFonts w:cs="Mitra" w:hint="cs"/>
          <w:sz w:val="36"/>
          <w:szCs w:val="28"/>
          <w:rtl/>
          <w:lang w:bidi="fa-IR"/>
        </w:rPr>
        <w:t>»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و </w:t>
      </w:r>
      <w:r w:rsidR="00F17838">
        <w:rPr>
          <w:rFonts w:cs="Mitra" w:hint="cs"/>
          <w:sz w:val="36"/>
          <w:szCs w:val="28"/>
          <w:rtl/>
          <w:lang w:bidi="fa-IR"/>
        </w:rPr>
        <w:t>«</w:t>
      </w:r>
      <w:r w:rsidR="00B92BDF"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ثانويه</w:t>
      </w:r>
      <w:r w:rsidR="00F17838">
        <w:rPr>
          <w:rFonts w:cs="Mitra" w:hint="cs"/>
          <w:sz w:val="36"/>
          <w:szCs w:val="28"/>
          <w:rtl/>
          <w:lang w:bidi="fa-IR"/>
        </w:rPr>
        <w:t>»</w:t>
      </w:r>
      <w:r w:rsidR="00B92BDF">
        <w:rPr>
          <w:rFonts w:cs="Mitra" w:hint="cs"/>
          <w:sz w:val="36"/>
          <w:szCs w:val="28"/>
          <w:rtl/>
          <w:lang w:bidi="fa-IR"/>
        </w:rPr>
        <w:t xml:space="preserve"> به لحاظ حقوقي مبهم </w:t>
      </w:r>
      <w:r w:rsidR="00F17838">
        <w:rPr>
          <w:rFonts w:cs="Mitra" w:hint="cs"/>
          <w:sz w:val="36"/>
          <w:szCs w:val="28"/>
          <w:rtl/>
          <w:lang w:bidi="fa-IR"/>
        </w:rPr>
        <w:t xml:space="preserve">و قابل تفسير </w:t>
      </w:r>
      <w:r w:rsidR="00B92BDF">
        <w:rPr>
          <w:rFonts w:cs="Mitra" w:hint="cs"/>
          <w:sz w:val="36"/>
          <w:szCs w:val="28"/>
          <w:rtl/>
          <w:lang w:bidi="fa-IR"/>
        </w:rPr>
        <w:t>هستند.</w:t>
      </w:r>
    </w:p>
    <w:p w:rsidR="00A863E1" w:rsidRPr="00A863E1" w:rsidRDefault="00A863E1" w:rsidP="004F30A8">
      <w:pPr>
        <w:pStyle w:val="ListParagraph"/>
        <w:numPr>
          <w:ilvl w:val="1"/>
          <w:numId w:val="13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 w:rsidRPr="00FF722E">
        <w:rPr>
          <w:rFonts w:cs="Mitra" w:hint="cs"/>
          <w:b/>
          <w:bCs/>
          <w:sz w:val="36"/>
          <w:szCs w:val="28"/>
          <w:rtl/>
          <w:lang w:bidi="fa-IR"/>
        </w:rPr>
        <w:t>وجود ناظر برا</w:t>
      </w:r>
      <w:r w:rsidR="00254F53" w:rsidRPr="00FF722E">
        <w:rPr>
          <w:rFonts w:cs="Mitra" w:hint="cs"/>
          <w:b/>
          <w:bCs/>
          <w:sz w:val="36"/>
          <w:szCs w:val="28"/>
          <w:rtl/>
          <w:lang w:bidi="fa-IR"/>
        </w:rPr>
        <w:t>ي</w:t>
      </w:r>
      <w:r w:rsidRPr="00FF722E">
        <w:rPr>
          <w:rFonts w:cs="Mitra" w:hint="cs"/>
          <w:b/>
          <w:bCs/>
          <w:sz w:val="36"/>
          <w:szCs w:val="28"/>
          <w:rtl/>
          <w:lang w:bidi="fa-IR"/>
        </w:rPr>
        <w:t xml:space="preserve"> تعهدات طرف</w:t>
      </w:r>
      <w:r w:rsidR="00254F53" w:rsidRPr="00FF722E">
        <w:rPr>
          <w:rFonts w:cs="Mitra" w:hint="cs"/>
          <w:b/>
          <w:bCs/>
          <w:sz w:val="36"/>
          <w:szCs w:val="28"/>
          <w:rtl/>
          <w:lang w:bidi="fa-IR"/>
        </w:rPr>
        <w:t>ي</w:t>
      </w:r>
      <w:r w:rsidRPr="00FF722E">
        <w:rPr>
          <w:rFonts w:cs="Mitra" w:hint="cs"/>
          <w:b/>
          <w:bCs/>
          <w:sz w:val="36"/>
          <w:szCs w:val="28"/>
          <w:rtl/>
          <w:lang w:bidi="fa-IR"/>
        </w:rPr>
        <w:t>ن</w:t>
      </w:r>
      <w:r>
        <w:rPr>
          <w:rFonts w:cs="Mitra" w:hint="cs"/>
          <w:sz w:val="36"/>
          <w:szCs w:val="28"/>
          <w:rtl/>
          <w:lang w:bidi="fa-IR"/>
        </w:rPr>
        <w:t>: ناظر تعهدات ا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ران آژانس است اما</w:t>
      </w:r>
      <w:r w:rsidR="004F30A8">
        <w:rPr>
          <w:rFonts w:cs="Mitra" w:hint="cs"/>
          <w:sz w:val="36"/>
          <w:szCs w:val="28"/>
          <w:rtl/>
          <w:lang w:bidi="fa-IR"/>
        </w:rPr>
        <w:t xml:space="preserve"> بر تعهدات 1+5 نظارت</w:t>
      </w:r>
      <w:r w:rsidR="00CB2428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</w:t>
      </w:r>
      <w:r w:rsidR="004F30A8">
        <w:rPr>
          <w:rFonts w:cs="Mitra" w:hint="cs"/>
          <w:sz w:val="36"/>
          <w:szCs w:val="28"/>
          <w:rtl/>
          <w:lang w:bidi="fa-IR"/>
        </w:rPr>
        <w:t xml:space="preserve">وجود </w:t>
      </w:r>
      <w:r>
        <w:rPr>
          <w:rFonts w:cs="Mitra" w:hint="cs"/>
          <w:sz w:val="36"/>
          <w:szCs w:val="28"/>
          <w:rtl/>
          <w:lang w:bidi="fa-IR"/>
        </w:rPr>
        <w:t>ندارد. ز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را شورا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امن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ت در </w:t>
      </w:r>
      <w:r w:rsidR="004F30A8">
        <w:rPr>
          <w:rFonts w:cs="Mitra" w:hint="cs"/>
          <w:sz w:val="36"/>
          <w:szCs w:val="28"/>
          <w:rtl/>
          <w:lang w:bidi="fa-IR"/>
        </w:rPr>
        <w:t>اخت</w:t>
      </w:r>
      <w:r w:rsidR="00CB2428">
        <w:rPr>
          <w:rFonts w:cs="Mitra" w:hint="cs"/>
          <w:sz w:val="36"/>
          <w:szCs w:val="28"/>
          <w:rtl/>
          <w:lang w:bidi="fa-IR"/>
        </w:rPr>
        <w:t>ي</w:t>
      </w:r>
      <w:r w:rsidR="004F30A8">
        <w:rPr>
          <w:rFonts w:cs="Mitra" w:hint="cs"/>
          <w:sz w:val="36"/>
          <w:szCs w:val="28"/>
          <w:rtl/>
          <w:lang w:bidi="fa-IR"/>
        </w:rPr>
        <w:t>ار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1+5 است و نم</w:t>
      </w:r>
      <w:r w:rsidR="00D11C04">
        <w:rPr>
          <w:rFonts w:cs="Mitra" w:hint="cs"/>
          <w:sz w:val="36"/>
          <w:szCs w:val="28"/>
          <w:rtl/>
          <w:lang w:bidi="fa-IR"/>
        </w:rPr>
        <w:t>ي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تواند ناظر تعهدات خود باشد.</w:t>
      </w:r>
    </w:p>
    <w:p w:rsidR="00A863E1" w:rsidRPr="00A863E1" w:rsidRDefault="00A863E1" w:rsidP="00D11C04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Mitra"/>
          <w:b/>
          <w:bCs/>
          <w:sz w:val="36"/>
          <w:szCs w:val="28"/>
          <w:lang w:bidi="fa-IR"/>
        </w:rPr>
      </w:pPr>
      <w:r>
        <w:rPr>
          <w:rFonts w:cs="Mitra" w:hint="cs"/>
          <w:b/>
          <w:bCs/>
          <w:sz w:val="36"/>
          <w:szCs w:val="28"/>
          <w:rtl/>
          <w:lang w:bidi="fa-IR"/>
        </w:rPr>
        <w:t>مع</w:t>
      </w:r>
      <w:r w:rsidR="00254F53">
        <w:rPr>
          <w:rFonts w:cs="Mitra" w:hint="cs"/>
          <w:b/>
          <w:bCs/>
          <w:sz w:val="36"/>
          <w:szCs w:val="28"/>
          <w:rtl/>
          <w:lang w:bidi="fa-IR"/>
        </w:rPr>
        <w:t>ي</w:t>
      </w:r>
      <w:r>
        <w:rPr>
          <w:rFonts w:cs="Mitra" w:hint="cs"/>
          <w:b/>
          <w:bCs/>
          <w:sz w:val="36"/>
          <w:szCs w:val="28"/>
          <w:rtl/>
          <w:lang w:bidi="fa-IR"/>
        </w:rPr>
        <w:t>ارها</w:t>
      </w:r>
      <w:r w:rsidR="00254F53">
        <w:rPr>
          <w:rFonts w:cs="Mitra" w:hint="cs"/>
          <w:b/>
          <w:bCs/>
          <w:sz w:val="36"/>
          <w:szCs w:val="28"/>
          <w:rtl/>
          <w:lang w:bidi="fa-IR"/>
        </w:rPr>
        <w:t>ي</w:t>
      </w:r>
      <w:r>
        <w:rPr>
          <w:rFonts w:cs="Mitra" w:hint="cs"/>
          <w:b/>
          <w:bCs/>
          <w:sz w:val="36"/>
          <w:szCs w:val="28"/>
          <w:rtl/>
          <w:lang w:bidi="fa-IR"/>
        </w:rPr>
        <w:t xml:space="preserve"> </w:t>
      </w:r>
      <w:r w:rsidRPr="00A863E1">
        <w:rPr>
          <w:rFonts w:cs="Mitra" w:hint="cs"/>
          <w:b/>
          <w:bCs/>
          <w:sz w:val="36"/>
          <w:szCs w:val="28"/>
          <w:rtl/>
          <w:lang w:bidi="fa-IR"/>
        </w:rPr>
        <w:t>محتوايي</w:t>
      </w:r>
    </w:p>
    <w:p w:rsidR="00A863E1" w:rsidRDefault="00A863E1" w:rsidP="00F17838">
      <w:pPr>
        <w:pStyle w:val="ListParagraph"/>
        <w:bidi/>
        <w:spacing w:after="0"/>
        <w:jc w:val="both"/>
        <w:rPr>
          <w:rFonts w:cs="Mitra"/>
          <w:sz w:val="36"/>
          <w:szCs w:val="28"/>
          <w:rtl/>
          <w:lang w:bidi="fa-IR"/>
        </w:rPr>
      </w:pPr>
      <w:r>
        <w:rPr>
          <w:rFonts w:cs="Mitra" w:hint="cs"/>
          <w:sz w:val="36"/>
          <w:szCs w:val="28"/>
          <w:rtl/>
          <w:lang w:bidi="fa-IR"/>
        </w:rPr>
        <w:t>هر توافق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 w:rsidR="00F17838">
        <w:rPr>
          <w:rFonts w:cs="Mitra" w:hint="cs"/>
          <w:sz w:val="36"/>
          <w:szCs w:val="28"/>
          <w:rtl/>
          <w:lang w:bidi="fa-IR"/>
        </w:rPr>
        <w:t>،</w:t>
      </w:r>
      <w:r>
        <w:rPr>
          <w:rFonts w:cs="Mitra" w:hint="cs"/>
          <w:sz w:val="36"/>
          <w:szCs w:val="28"/>
          <w:rtl/>
          <w:lang w:bidi="fa-IR"/>
        </w:rPr>
        <w:t xml:space="preserve"> داده و ستانده</w:t>
      </w:r>
      <w:r w:rsidR="00F17838">
        <w:rPr>
          <w:rFonts w:cs="Mitra" w:hint="cs"/>
          <w:sz w:val="36"/>
          <w:szCs w:val="28"/>
          <w:rtl/>
          <w:lang w:bidi="fa-IR"/>
        </w:rPr>
        <w:t xml:space="preserve"> </w:t>
      </w:r>
      <w:r>
        <w:rPr>
          <w:rFonts w:cs="Mitra" w:hint="cs"/>
          <w:sz w:val="36"/>
          <w:szCs w:val="28"/>
          <w:rtl/>
          <w:lang w:bidi="fa-IR"/>
        </w:rPr>
        <w:t>ا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دارد. داده و ستانده طرف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ن 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ک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از شش حالت ز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ر خواهد بود. که </w:t>
      </w:r>
      <w:r w:rsidRPr="00F17838">
        <w:rPr>
          <w:rFonts w:cs="Mitra" w:hint="cs"/>
          <w:b/>
          <w:bCs/>
          <w:sz w:val="36"/>
          <w:szCs w:val="28"/>
          <w:u w:val="single"/>
          <w:rtl/>
          <w:lang w:bidi="fa-IR"/>
        </w:rPr>
        <w:t>لوزان حالت ششم</w:t>
      </w:r>
      <w:r>
        <w:rPr>
          <w:rFonts w:cs="Mitra" w:hint="cs"/>
          <w:sz w:val="36"/>
          <w:szCs w:val="28"/>
          <w:rtl/>
          <w:lang w:bidi="fa-IR"/>
        </w:rPr>
        <w:t xml:space="preserve"> است. </w:t>
      </w:r>
      <w:r w:rsidR="00CB2428">
        <w:rPr>
          <w:rFonts w:cs="Mitra" w:hint="cs"/>
          <w:sz w:val="36"/>
          <w:szCs w:val="28"/>
          <w:rtl/>
          <w:lang w:bidi="fa-IR"/>
        </w:rPr>
        <w:t>بدين صورت که</w:t>
      </w:r>
      <w:r>
        <w:rPr>
          <w:rFonts w:cs="Mitra" w:hint="cs"/>
          <w:sz w:val="36"/>
          <w:szCs w:val="28"/>
          <w:rtl/>
          <w:lang w:bidi="fa-IR"/>
        </w:rPr>
        <w:t xml:space="preserve"> ا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ران م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زان ب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شتر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از حقوق خود را با م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>زان کمتر</w:t>
      </w:r>
      <w:r w:rsidR="00254F53">
        <w:rPr>
          <w:rFonts w:cs="Mitra" w:hint="cs"/>
          <w:sz w:val="36"/>
          <w:szCs w:val="28"/>
          <w:rtl/>
          <w:lang w:bidi="fa-IR"/>
        </w:rPr>
        <w:t>ي</w:t>
      </w:r>
      <w:r>
        <w:rPr>
          <w:rFonts w:cs="Mitra" w:hint="cs"/>
          <w:sz w:val="36"/>
          <w:szCs w:val="28"/>
          <w:rtl/>
          <w:lang w:bidi="fa-IR"/>
        </w:rPr>
        <w:t xml:space="preserve"> از حقوق خود معاوضه کرده است.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</w:t>
      </w:r>
      <w:r w:rsidR="00CB2428">
        <w:rPr>
          <w:rFonts w:cs="Mitra" w:hint="cs"/>
          <w:sz w:val="36"/>
          <w:szCs w:val="28"/>
          <w:rtl/>
          <w:lang w:bidi="fa-IR"/>
        </w:rPr>
        <w:t xml:space="preserve">يعني </w:t>
      </w:r>
      <w:r w:rsidR="00254F53">
        <w:rPr>
          <w:rFonts w:cs="Mitra" w:hint="cs"/>
          <w:sz w:val="36"/>
          <w:szCs w:val="28"/>
          <w:rtl/>
          <w:lang w:bidi="fa-IR"/>
        </w:rPr>
        <w:t>در ازا</w:t>
      </w:r>
      <w:r w:rsidR="00D11C04">
        <w:rPr>
          <w:rFonts w:cs="Mitra" w:hint="cs"/>
          <w:sz w:val="36"/>
          <w:szCs w:val="28"/>
          <w:rtl/>
          <w:lang w:bidi="fa-IR"/>
        </w:rPr>
        <w:t>ي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چشم پوش</w:t>
      </w:r>
      <w:r w:rsidR="00D11C04">
        <w:rPr>
          <w:rFonts w:cs="Mitra" w:hint="cs"/>
          <w:sz w:val="36"/>
          <w:szCs w:val="28"/>
          <w:rtl/>
          <w:lang w:bidi="fa-IR"/>
        </w:rPr>
        <w:t>ي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از حقوق هسته ا</w:t>
      </w:r>
      <w:r w:rsidR="00D11C04">
        <w:rPr>
          <w:rFonts w:cs="Mitra" w:hint="cs"/>
          <w:sz w:val="36"/>
          <w:szCs w:val="28"/>
          <w:rtl/>
          <w:lang w:bidi="fa-IR"/>
        </w:rPr>
        <w:t>ي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خود م</w:t>
      </w:r>
      <w:r w:rsidR="00D11C04">
        <w:rPr>
          <w:rFonts w:cs="Mitra" w:hint="cs"/>
          <w:sz w:val="36"/>
          <w:szCs w:val="28"/>
          <w:rtl/>
          <w:lang w:bidi="fa-IR"/>
        </w:rPr>
        <w:t>ي</w:t>
      </w:r>
      <w:r w:rsidR="00254F53">
        <w:rPr>
          <w:rFonts w:cs="Mitra" w:hint="cs"/>
          <w:sz w:val="36"/>
          <w:szCs w:val="28"/>
          <w:rtl/>
          <w:lang w:bidi="fa-IR"/>
        </w:rPr>
        <w:t xml:space="preserve"> تواند از پول نفت مسدود شده خودش</w:t>
      </w:r>
      <w:r w:rsidR="00F17838">
        <w:rPr>
          <w:rFonts w:cs="Mitra" w:hint="cs"/>
          <w:sz w:val="36"/>
          <w:szCs w:val="28"/>
          <w:rtl/>
          <w:lang w:bidi="fa-IR"/>
        </w:rPr>
        <w:t xml:space="preserve"> استفاده کند، کشتيهاي خودش را با پول خودش بيمه کند،</w:t>
      </w:r>
      <w:r w:rsidR="00A95B52">
        <w:rPr>
          <w:rFonts w:cs="Mitra" w:hint="cs"/>
          <w:sz w:val="36"/>
          <w:szCs w:val="28"/>
          <w:rtl/>
          <w:lang w:bidi="fa-IR"/>
        </w:rPr>
        <w:t xml:space="preserve"> پتروشيمي توليد خودش را صادر کند و </w:t>
      </w:r>
      <w:r w:rsidR="00A95B52" w:rsidRPr="00A95B52">
        <w:rPr>
          <w:rFonts w:cs="Mitra" w:hint="cs"/>
          <w:b/>
          <w:bCs/>
          <w:sz w:val="36"/>
          <w:szCs w:val="28"/>
          <w:u w:val="single"/>
          <w:rtl/>
          <w:lang w:bidi="fa-IR"/>
        </w:rPr>
        <w:t>مواردي از اين قبيل که همگي حقوق خود ايران است.</w:t>
      </w:r>
    </w:p>
    <w:p w:rsidR="00307A26" w:rsidRDefault="00307A26" w:rsidP="00D5287D">
      <w:pPr>
        <w:pStyle w:val="ListParagraph"/>
        <w:numPr>
          <w:ilvl w:val="0"/>
          <w:numId w:val="16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>
        <w:rPr>
          <w:rFonts w:cs="Mitra" w:hint="cs"/>
          <w:noProof/>
          <w:sz w:val="36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3B2CC7" wp14:editId="5F318F8E">
                <wp:simplePos x="0" y="0"/>
                <wp:positionH relativeFrom="column">
                  <wp:posOffset>687705</wp:posOffset>
                </wp:positionH>
                <wp:positionV relativeFrom="paragraph">
                  <wp:posOffset>161925</wp:posOffset>
                </wp:positionV>
                <wp:extent cx="316230" cy="0"/>
                <wp:effectExtent l="38100" t="13335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left:0;text-align:left;margin-left:54.15pt;margin-top:12.75pt;width:24.9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" strokecolor="black [3213]" strokeweight="3pt">
                <v:stroke endarrow="open"/>
              </v:shape>
            </w:pict>
          </mc:Fallback>
        </mc:AlternateContent>
      </w:r>
      <w:r w:rsidRPr="00CB2428">
        <w:rPr>
          <w:rFonts w:cs="Mitra" w:hint="cs"/>
          <w:sz w:val="36"/>
          <w:szCs w:val="28"/>
          <w:rtl/>
          <w:lang w:bidi="fa-IR"/>
        </w:rPr>
        <w:t>ا</w:t>
      </w:r>
      <w:r>
        <w:rPr>
          <w:rFonts w:cs="Mitra" w:hint="cs"/>
          <w:sz w:val="36"/>
          <w:szCs w:val="28"/>
          <w:rtl/>
          <w:lang w:bidi="fa-IR"/>
        </w:rPr>
        <w:t>ي</w:t>
      </w:r>
      <w:r w:rsidRPr="00CB2428">
        <w:rPr>
          <w:rFonts w:cs="Mitra" w:hint="cs"/>
          <w:sz w:val="36"/>
          <w:szCs w:val="28"/>
          <w:rtl/>
          <w:lang w:bidi="fa-IR"/>
        </w:rPr>
        <w:t>ران حق</w:t>
      </w:r>
      <w:r>
        <w:rPr>
          <w:rFonts w:cs="Mitra" w:hint="cs"/>
          <w:sz w:val="36"/>
          <w:szCs w:val="28"/>
          <w:rtl/>
          <w:lang w:bidi="fa-IR"/>
        </w:rPr>
        <w:t>ي</w:t>
      </w:r>
      <w:r w:rsidRPr="00CB2428">
        <w:rPr>
          <w:rFonts w:cs="Mitra" w:hint="cs"/>
          <w:sz w:val="36"/>
          <w:szCs w:val="28"/>
          <w:rtl/>
          <w:lang w:bidi="fa-IR"/>
        </w:rPr>
        <w:t xml:space="preserve"> از خود را بدهد و </w:t>
      </w:r>
      <w:r w:rsidR="00A95B52">
        <w:rPr>
          <w:rFonts w:cs="Mitra" w:hint="cs"/>
          <w:sz w:val="36"/>
          <w:szCs w:val="28"/>
          <w:rtl/>
          <w:lang w:bidi="fa-IR"/>
        </w:rPr>
        <w:t xml:space="preserve">در مقابل </w:t>
      </w:r>
      <w:r w:rsidRPr="00CB2428">
        <w:rPr>
          <w:rFonts w:cs="Mitra" w:hint="cs"/>
          <w:sz w:val="36"/>
          <w:szCs w:val="28"/>
          <w:rtl/>
          <w:lang w:bidi="fa-IR"/>
        </w:rPr>
        <w:t>حق</w:t>
      </w:r>
      <w:r>
        <w:rPr>
          <w:rFonts w:cs="Mitra" w:hint="cs"/>
          <w:sz w:val="36"/>
          <w:szCs w:val="28"/>
          <w:rtl/>
          <w:lang w:bidi="fa-IR"/>
        </w:rPr>
        <w:t>ي</w:t>
      </w:r>
      <w:r w:rsidRPr="00CB2428">
        <w:rPr>
          <w:rFonts w:cs="Mitra" w:hint="cs"/>
          <w:sz w:val="36"/>
          <w:szCs w:val="28"/>
          <w:rtl/>
          <w:lang w:bidi="fa-IR"/>
        </w:rPr>
        <w:t xml:space="preserve"> از 1+5 بستاند بد</w:t>
      </w:r>
      <w:r>
        <w:rPr>
          <w:rFonts w:cs="Mitra" w:hint="cs"/>
          <w:sz w:val="36"/>
          <w:szCs w:val="28"/>
          <w:rtl/>
          <w:lang w:bidi="fa-IR"/>
        </w:rPr>
        <w:t>ي</w:t>
      </w:r>
      <w:r w:rsidRPr="00CB2428">
        <w:rPr>
          <w:rFonts w:cs="Mitra" w:hint="cs"/>
          <w:sz w:val="36"/>
          <w:szCs w:val="28"/>
          <w:rtl/>
          <w:lang w:bidi="fa-IR"/>
        </w:rPr>
        <w:t>ن شکل که ارزش ستانده ب</w:t>
      </w:r>
      <w:r>
        <w:rPr>
          <w:rFonts w:cs="Mitra" w:hint="cs"/>
          <w:sz w:val="36"/>
          <w:szCs w:val="28"/>
          <w:rtl/>
          <w:lang w:bidi="fa-IR"/>
        </w:rPr>
        <w:t>ي</w:t>
      </w:r>
      <w:r w:rsidRPr="00CB2428">
        <w:rPr>
          <w:rFonts w:cs="Mitra" w:hint="cs"/>
          <w:sz w:val="36"/>
          <w:szCs w:val="28"/>
          <w:rtl/>
          <w:lang w:bidi="fa-IR"/>
        </w:rPr>
        <w:t>ش از داده باشد</w:t>
      </w:r>
      <w:r>
        <w:rPr>
          <w:rFonts w:cs="Mitra" w:hint="cs"/>
          <w:sz w:val="36"/>
          <w:szCs w:val="28"/>
          <w:rtl/>
          <w:lang w:bidi="fa-IR"/>
        </w:rPr>
        <w:t>.</w:t>
      </w:r>
      <w:r w:rsidRPr="00CB2428">
        <w:rPr>
          <w:rFonts w:cs="Mitra" w:hint="cs"/>
          <w:sz w:val="36"/>
          <w:szCs w:val="28"/>
          <w:rtl/>
          <w:lang w:bidi="fa-IR"/>
        </w:rPr>
        <w:t xml:space="preserve"> </w:t>
      </w:r>
      <w:r>
        <w:rPr>
          <w:rFonts w:cs="Mitra" w:hint="cs"/>
          <w:sz w:val="36"/>
          <w:szCs w:val="28"/>
          <w:rtl/>
          <w:lang w:bidi="fa-IR"/>
        </w:rPr>
        <w:t xml:space="preserve">         توافق پرسود</w:t>
      </w:r>
    </w:p>
    <w:p w:rsidR="00307A26" w:rsidRDefault="00D5287D" w:rsidP="00307A26">
      <w:pPr>
        <w:pStyle w:val="ListParagraph"/>
        <w:numPr>
          <w:ilvl w:val="0"/>
          <w:numId w:val="16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>
        <w:rPr>
          <w:rFonts w:cs="Mitra" w:hint="cs"/>
          <w:noProof/>
          <w:sz w:val="36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FC8D11" wp14:editId="59BC852A">
                <wp:simplePos x="0" y="0"/>
                <wp:positionH relativeFrom="column">
                  <wp:posOffset>765810</wp:posOffset>
                </wp:positionH>
                <wp:positionV relativeFrom="paragraph">
                  <wp:posOffset>148590</wp:posOffset>
                </wp:positionV>
                <wp:extent cx="316230" cy="0"/>
                <wp:effectExtent l="38100" t="133350" r="0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" o:spid="_x0000_s1026" type="#_x0000_t32" style="position:absolute;left:0;text-align:left;margin-left:60.3pt;margin-top:11.7pt;width:24.9pt;height:0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" strokecolor="black [3213]" strokeweight="3pt">
                <v:stroke endarrow="open"/>
              </v:shape>
            </w:pict>
          </mc:Fallback>
        </mc:AlternateContent>
      </w:r>
      <w:r w:rsidR="00307A26" w:rsidRPr="00CB2428">
        <w:rPr>
          <w:rFonts w:cs="Mitra" w:hint="cs"/>
          <w:sz w:val="36"/>
          <w:szCs w:val="28"/>
          <w:rtl/>
          <w:lang w:bidi="fa-IR"/>
        </w:rPr>
        <w:t>ا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ران حق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 xml:space="preserve"> از خود را بدهد و </w:t>
      </w:r>
      <w:r w:rsidR="00A95B52">
        <w:rPr>
          <w:rFonts w:cs="Mitra" w:hint="cs"/>
          <w:sz w:val="36"/>
          <w:szCs w:val="28"/>
          <w:rtl/>
          <w:lang w:bidi="fa-IR"/>
        </w:rPr>
        <w:t xml:space="preserve">در مقابل 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حق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 xml:space="preserve"> از 1+5 بستاند بد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ن شکل که ارزش</w:t>
      </w:r>
      <w:r w:rsidR="00307A26">
        <w:rPr>
          <w:rFonts w:cs="Mitra" w:hint="cs"/>
          <w:sz w:val="36"/>
          <w:szCs w:val="28"/>
          <w:rtl/>
          <w:lang w:bidi="fa-IR"/>
        </w:rPr>
        <w:t xml:space="preserve"> داده و ستانده برابر باشد.</w:t>
      </w:r>
      <w:r w:rsidR="00307A26" w:rsidRPr="00307A26">
        <w:rPr>
          <w:rFonts w:cs="Mitra" w:hint="cs"/>
          <w:noProof/>
          <w:sz w:val="36"/>
          <w:szCs w:val="28"/>
          <w:rtl/>
        </w:rPr>
        <w:t xml:space="preserve"> </w:t>
      </w:r>
      <w:r w:rsidR="00307A26">
        <w:rPr>
          <w:rFonts w:cs="Mitra" w:hint="cs"/>
          <w:noProof/>
          <w:sz w:val="36"/>
          <w:szCs w:val="28"/>
          <w:rtl/>
        </w:rPr>
        <w:t xml:space="preserve">  </w:t>
      </w:r>
      <w:r>
        <w:rPr>
          <w:rFonts w:cs="Mitra" w:hint="cs"/>
          <w:noProof/>
          <w:sz w:val="36"/>
          <w:szCs w:val="28"/>
          <w:rtl/>
        </w:rPr>
        <w:t xml:space="preserve">       </w:t>
      </w:r>
      <w:r w:rsidR="00307A26">
        <w:rPr>
          <w:rFonts w:cs="Mitra" w:hint="cs"/>
          <w:noProof/>
          <w:sz w:val="36"/>
          <w:szCs w:val="28"/>
          <w:rtl/>
        </w:rPr>
        <w:t>توافق منصفانه</w:t>
      </w:r>
    </w:p>
    <w:p w:rsidR="00307A26" w:rsidRDefault="00D5287D" w:rsidP="00307A26">
      <w:pPr>
        <w:pStyle w:val="ListParagraph"/>
        <w:numPr>
          <w:ilvl w:val="0"/>
          <w:numId w:val="16"/>
        </w:numPr>
        <w:bidi/>
        <w:spacing w:after="0"/>
        <w:jc w:val="both"/>
        <w:rPr>
          <w:rFonts w:cs="Mitra"/>
          <w:sz w:val="36"/>
          <w:szCs w:val="28"/>
          <w:lang w:bidi="fa-IR"/>
        </w:rPr>
      </w:pPr>
      <w:r>
        <w:rPr>
          <w:rFonts w:cs="Mitra" w:hint="cs"/>
          <w:noProof/>
          <w:sz w:val="36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DB4505" wp14:editId="0BF3930E">
                <wp:simplePos x="0" y="0"/>
                <wp:positionH relativeFrom="column">
                  <wp:posOffset>763905</wp:posOffset>
                </wp:positionH>
                <wp:positionV relativeFrom="paragraph">
                  <wp:posOffset>154305</wp:posOffset>
                </wp:positionV>
                <wp:extent cx="316230" cy="0"/>
                <wp:effectExtent l="3810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left:0;text-align:left;margin-left:60.15pt;margin-top:12.15pt;width:24.9pt;height:0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" strokecolor="black [3213]" strokeweight="3pt">
                <v:stroke endarrow="open"/>
              </v:shape>
            </w:pict>
          </mc:Fallback>
        </mc:AlternateContent>
      </w:r>
      <w:r w:rsidR="00307A26" w:rsidRPr="00CB2428">
        <w:rPr>
          <w:rFonts w:cs="Mitra" w:hint="cs"/>
          <w:sz w:val="36"/>
          <w:szCs w:val="28"/>
          <w:rtl/>
          <w:lang w:bidi="fa-IR"/>
        </w:rPr>
        <w:t>ا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ران حق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 xml:space="preserve"> از خود را بدهد و </w:t>
      </w:r>
      <w:r w:rsidR="00A95B52">
        <w:rPr>
          <w:rFonts w:cs="Mitra" w:hint="cs"/>
          <w:sz w:val="36"/>
          <w:szCs w:val="28"/>
          <w:rtl/>
          <w:lang w:bidi="fa-IR"/>
        </w:rPr>
        <w:t xml:space="preserve">در مقابل 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حق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 xml:space="preserve"> از 1+5 بستاند بد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ن شکل که ارزش</w:t>
      </w:r>
      <w:r w:rsidR="00307A26">
        <w:rPr>
          <w:rFonts w:cs="Mitra" w:hint="cs"/>
          <w:sz w:val="36"/>
          <w:szCs w:val="28"/>
          <w:rtl/>
          <w:lang w:bidi="fa-IR"/>
        </w:rPr>
        <w:t xml:space="preserve"> داده بيش از ستانده</w:t>
      </w:r>
      <w:r>
        <w:rPr>
          <w:rFonts w:cs="Mitra" w:hint="cs"/>
          <w:sz w:val="36"/>
          <w:szCs w:val="28"/>
          <w:rtl/>
          <w:lang w:bidi="fa-IR"/>
        </w:rPr>
        <w:t xml:space="preserve"> باشد.       </w:t>
      </w:r>
      <w:r w:rsidR="00307A26">
        <w:rPr>
          <w:rFonts w:cs="Mitra" w:hint="cs"/>
          <w:sz w:val="36"/>
          <w:szCs w:val="28"/>
          <w:rtl/>
          <w:lang w:bidi="fa-IR"/>
        </w:rPr>
        <w:t>توافق استعماري</w:t>
      </w:r>
    </w:p>
    <w:p w:rsidR="00307A26" w:rsidRPr="00CB2428" w:rsidRDefault="00D5287D" w:rsidP="00D5287D">
      <w:pPr>
        <w:pStyle w:val="ListParagraph"/>
        <w:numPr>
          <w:ilvl w:val="0"/>
          <w:numId w:val="16"/>
        </w:numPr>
        <w:bidi/>
        <w:spacing w:after="0"/>
        <w:jc w:val="both"/>
        <w:rPr>
          <w:rFonts w:cs="Mitra"/>
          <w:sz w:val="36"/>
          <w:szCs w:val="28"/>
          <w:rtl/>
          <w:lang w:bidi="fa-IR"/>
        </w:rPr>
      </w:pPr>
      <w:r>
        <w:rPr>
          <w:rFonts w:cs="Mitra" w:hint="cs"/>
          <w:noProof/>
          <w:sz w:val="36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5D4972" wp14:editId="07D7473A">
                <wp:simplePos x="0" y="0"/>
                <wp:positionH relativeFrom="column">
                  <wp:posOffset>763905</wp:posOffset>
                </wp:positionH>
                <wp:positionV relativeFrom="paragraph">
                  <wp:posOffset>149860</wp:posOffset>
                </wp:positionV>
                <wp:extent cx="240030" cy="0"/>
                <wp:effectExtent l="38100" t="13335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left:0;text-align:left;margin-left:60.15pt;margin-top:11.8pt;width:18.9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" strokecolor="black [3213]" strokeweight="3pt">
                <v:stroke endarrow="open"/>
              </v:shape>
            </w:pict>
          </mc:Fallback>
        </mc:AlternateContent>
      </w:r>
      <w:r w:rsidR="00307A26">
        <w:rPr>
          <w:rFonts w:cs="Mitra" w:hint="cs"/>
          <w:sz w:val="36"/>
          <w:szCs w:val="28"/>
          <w:rtl/>
          <w:lang w:bidi="fa-IR"/>
        </w:rPr>
        <w:t xml:space="preserve">ايران حقي از خود را بدهد و </w:t>
      </w:r>
      <w:r w:rsidR="00A95B52">
        <w:rPr>
          <w:rFonts w:cs="Mitra" w:hint="cs"/>
          <w:sz w:val="36"/>
          <w:szCs w:val="28"/>
          <w:rtl/>
          <w:lang w:bidi="fa-IR"/>
        </w:rPr>
        <w:t xml:space="preserve">در مقابل </w:t>
      </w:r>
      <w:r w:rsidR="00307A26">
        <w:rPr>
          <w:rFonts w:cs="Mitra" w:hint="cs"/>
          <w:sz w:val="36"/>
          <w:szCs w:val="28"/>
          <w:rtl/>
          <w:lang w:bidi="fa-IR"/>
        </w:rPr>
        <w:t xml:space="preserve">حقي از خود را بستاند 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بد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ن شکل که ارزش ستانده ب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ش از داده باشد</w:t>
      </w:r>
      <w:r>
        <w:rPr>
          <w:rFonts w:cs="Mitra" w:hint="cs"/>
          <w:sz w:val="36"/>
          <w:szCs w:val="28"/>
          <w:rtl/>
          <w:lang w:bidi="fa-IR"/>
        </w:rPr>
        <w:t xml:space="preserve">.      </w:t>
      </w:r>
      <w:r w:rsidR="00307A26">
        <w:rPr>
          <w:rFonts w:cs="Mitra" w:hint="cs"/>
          <w:sz w:val="36"/>
          <w:szCs w:val="28"/>
          <w:rtl/>
          <w:lang w:bidi="fa-IR"/>
        </w:rPr>
        <w:t>بسيار استعماري</w:t>
      </w:r>
    </w:p>
    <w:p w:rsidR="00307A26" w:rsidRPr="00307A26" w:rsidRDefault="00D5287D" w:rsidP="00D5287D">
      <w:pPr>
        <w:pStyle w:val="ListParagraph"/>
        <w:numPr>
          <w:ilvl w:val="0"/>
          <w:numId w:val="16"/>
        </w:numPr>
        <w:bidi/>
        <w:spacing w:after="0"/>
        <w:jc w:val="both"/>
      </w:pPr>
      <w:r>
        <w:rPr>
          <w:rFonts w:cs="Mitra" w:hint="cs"/>
          <w:noProof/>
          <w:sz w:val="36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D42102" wp14:editId="2D03389F">
                <wp:simplePos x="0" y="0"/>
                <wp:positionH relativeFrom="column">
                  <wp:posOffset>687705</wp:posOffset>
                </wp:positionH>
                <wp:positionV relativeFrom="paragraph">
                  <wp:posOffset>146050</wp:posOffset>
                </wp:positionV>
                <wp:extent cx="316230" cy="0"/>
                <wp:effectExtent l="38100" t="133350" r="0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" o:spid="_x0000_s1026" type="#_x0000_t32" style="position:absolute;left:0;text-align:left;margin-left:54.15pt;margin-top:11.5pt;width:24.9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" strokecolor="black [3213]" strokeweight="3pt">
                <v:stroke endarrow="open"/>
              </v:shape>
            </w:pict>
          </mc:Fallback>
        </mc:AlternateContent>
      </w:r>
      <w:r w:rsidR="00307A26">
        <w:rPr>
          <w:rFonts w:cs="Mitra" w:hint="cs"/>
          <w:sz w:val="36"/>
          <w:szCs w:val="28"/>
          <w:rtl/>
          <w:lang w:bidi="fa-IR"/>
        </w:rPr>
        <w:t xml:space="preserve">ايران حقي از خود را بدهد و </w:t>
      </w:r>
      <w:r w:rsidR="00A95B52">
        <w:rPr>
          <w:rFonts w:cs="Mitra" w:hint="cs"/>
          <w:sz w:val="36"/>
          <w:szCs w:val="28"/>
          <w:rtl/>
          <w:lang w:bidi="fa-IR"/>
        </w:rPr>
        <w:t xml:space="preserve">در مقابل </w:t>
      </w:r>
      <w:r w:rsidR="00307A26">
        <w:rPr>
          <w:rFonts w:cs="Mitra" w:hint="cs"/>
          <w:sz w:val="36"/>
          <w:szCs w:val="28"/>
          <w:rtl/>
          <w:lang w:bidi="fa-IR"/>
        </w:rPr>
        <w:t xml:space="preserve">حقي از خود را بستاند </w:t>
      </w:r>
      <w:r w:rsidR="00307A26" w:rsidRPr="00CB2428">
        <w:rPr>
          <w:rFonts w:cs="Mitra" w:hint="cs"/>
          <w:sz w:val="36"/>
          <w:szCs w:val="28"/>
          <w:rtl/>
          <w:lang w:bidi="fa-IR"/>
        </w:rPr>
        <w:t>بد</w:t>
      </w:r>
      <w:r w:rsidR="00307A26">
        <w:rPr>
          <w:rFonts w:cs="Mitra" w:hint="cs"/>
          <w:sz w:val="36"/>
          <w:szCs w:val="28"/>
          <w:rtl/>
          <w:lang w:bidi="fa-IR"/>
        </w:rPr>
        <w:t>ي</w:t>
      </w:r>
      <w:r w:rsidR="00307A26" w:rsidRPr="00CB2428">
        <w:rPr>
          <w:rFonts w:cs="Mitra" w:hint="cs"/>
          <w:sz w:val="36"/>
          <w:szCs w:val="28"/>
          <w:rtl/>
          <w:lang w:bidi="fa-IR"/>
        </w:rPr>
        <w:t xml:space="preserve">ن شکل که ارزش </w:t>
      </w:r>
      <w:r w:rsidR="00307A26">
        <w:rPr>
          <w:rFonts w:cs="Mitra" w:hint="cs"/>
          <w:sz w:val="36"/>
          <w:szCs w:val="28"/>
          <w:rtl/>
          <w:lang w:bidi="fa-IR"/>
        </w:rPr>
        <w:t xml:space="preserve">داده </w:t>
      </w:r>
      <w:r>
        <w:rPr>
          <w:rFonts w:cs="Mitra" w:hint="cs"/>
          <w:sz w:val="36"/>
          <w:szCs w:val="28"/>
          <w:rtl/>
          <w:lang w:bidi="fa-IR"/>
        </w:rPr>
        <w:t xml:space="preserve">و ستانده برابر باشد.         </w:t>
      </w:r>
      <w:r w:rsidR="00307A26">
        <w:rPr>
          <w:rFonts w:cs="Mitra" w:hint="cs"/>
          <w:sz w:val="36"/>
          <w:szCs w:val="28"/>
          <w:rtl/>
          <w:lang w:bidi="fa-IR"/>
        </w:rPr>
        <w:t>توافق ظالمانه</w:t>
      </w:r>
    </w:p>
    <w:p w:rsidR="00307A26" w:rsidRPr="00D5287D" w:rsidRDefault="00D5287D" w:rsidP="00D5287D">
      <w:pPr>
        <w:pStyle w:val="ListParagraph"/>
        <w:numPr>
          <w:ilvl w:val="0"/>
          <w:numId w:val="16"/>
        </w:numPr>
        <w:bidi/>
        <w:spacing w:after="0"/>
        <w:jc w:val="both"/>
        <w:rPr>
          <w:b/>
          <w:bCs/>
          <w:i/>
          <w:iCs/>
          <w:sz w:val="23"/>
          <w:szCs w:val="23"/>
        </w:rPr>
      </w:pPr>
      <w:r w:rsidRPr="00D5287D">
        <w:rPr>
          <w:rFonts w:cs="Mitra" w:hint="cs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65D582" wp14:editId="29BCA2BC">
                <wp:simplePos x="0" y="0"/>
                <wp:positionH relativeFrom="column">
                  <wp:posOffset>678180</wp:posOffset>
                </wp:positionH>
                <wp:positionV relativeFrom="paragraph">
                  <wp:posOffset>127635</wp:posOffset>
                </wp:positionV>
                <wp:extent cx="325755" cy="0"/>
                <wp:effectExtent l="38100" t="133350" r="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left:0;text-align:left;margin-left:53.4pt;margin-top:10.05pt;width:25.65pt;height:0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" strokecolor="black [3213]" strokeweight="3pt">
                <v:stroke endarrow="open"/>
              </v:shape>
            </w:pict>
          </mc:Fallback>
        </mc:AlternateContent>
      </w:r>
      <w:r w:rsidR="00307A26"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>ايران حقي از خود را بدهد و</w:t>
      </w:r>
      <w:r w:rsidR="00A95B52"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 </w:t>
      </w:r>
      <w:r w:rsidR="00A95B52" w:rsidRPr="00D5287D">
        <w:rPr>
          <w:rFonts w:cs="Mitra" w:hint="cs"/>
          <w:b/>
          <w:bCs/>
          <w:i/>
          <w:iCs/>
          <w:sz w:val="23"/>
          <w:szCs w:val="23"/>
          <w:u w:val="single"/>
          <w:rtl/>
          <w:lang w:bidi="fa-IR"/>
        </w:rPr>
        <w:t>در مقابل</w:t>
      </w:r>
      <w:r w:rsidR="00307A26"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 </w:t>
      </w:r>
      <w:r w:rsidR="00307A26" w:rsidRPr="00D5287D">
        <w:rPr>
          <w:rFonts w:cs="Mitra" w:hint="cs"/>
          <w:b/>
          <w:bCs/>
          <w:i/>
          <w:iCs/>
          <w:sz w:val="23"/>
          <w:szCs w:val="23"/>
          <w:u w:val="single"/>
          <w:rtl/>
          <w:lang w:bidi="fa-IR"/>
        </w:rPr>
        <w:t>حقي از خود</w:t>
      </w:r>
      <w:r w:rsidR="00307A26"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 را بستاند بدين شکل که ارزش </w:t>
      </w:r>
      <w:r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داده بيش از ستانده باشد. </w:t>
      </w:r>
      <w:r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        </w:t>
      </w:r>
      <w:r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 xml:space="preserve"> </w:t>
      </w:r>
      <w:r w:rsidR="00307A26" w:rsidRPr="00D5287D">
        <w:rPr>
          <w:rFonts w:cs="Mitra" w:hint="cs"/>
          <w:b/>
          <w:bCs/>
          <w:i/>
          <w:iCs/>
          <w:sz w:val="23"/>
          <w:szCs w:val="23"/>
          <w:rtl/>
          <w:lang w:bidi="fa-IR"/>
        </w:rPr>
        <w:t>بسيار ظالمانه</w:t>
      </w:r>
    </w:p>
    <w:p w:rsidR="00453F82" w:rsidRPr="00E560CF" w:rsidRDefault="00453F82" w:rsidP="00453F82">
      <w:pPr>
        <w:pStyle w:val="ListParagraph"/>
        <w:bidi/>
        <w:spacing w:after="0"/>
        <w:ind w:left="1080"/>
        <w:jc w:val="both"/>
        <w:rPr>
          <w:b/>
          <w:bCs/>
          <w:i/>
          <w:iCs/>
          <w:sz w:val="26"/>
          <w:szCs w:val="26"/>
        </w:rPr>
      </w:pPr>
    </w:p>
    <w:p w:rsidR="00317804" w:rsidRPr="00F760E8" w:rsidRDefault="00317804" w:rsidP="00317804">
      <w:pPr>
        <w:pStyle w:val="ListParagraph"/>
        <w:numPr>
          <w:ilvl w:val="0"/>
          <w:numId w:val="3"/>
        </w:numPr>
        <w:bidi/>
        <w:jc w:val="both"/>
        <w:rPr>
          <w:rFonts w:cs="Mitra"/>
          <w:b/>
          <w:bCs/>
          <w:color w:val="000000" w:themeColor="text1"/>
          <w:sz w:val="28"/>
          <w:szCs w:val="28"/>
          <w:rtl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داده هاي ايران:</w:t>
      </w:r>
    </w:p>
    <w:p w:rsidR="00317804" w:rsidRPr="00F760E8" w:rsidRDefault="00CB2428" w:rsidP="00CB2428">
      <w:pPr>
        <w:pStyle w:val="ListParagraph"/>
        <w:numPr>
          <w:ilvl w:val="0"/>
          <w:numId w:val="1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محدود</w:t>
      </w:r>
      <w:r w:rsidR="00307A26"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ت شد</w:t>
      </w:r>
      <w:r w:rsidR="00307A26"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د </w:t>
      </w:r>
      <w:r w:rsidR="00317804"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فعاليت هاي هسته اي</w:t>
      </w:r>
    </w:p>
    <w:p w:rsidR="00317804" w:rsidRPr="00F760E8" w:rsidRDefault="009367E6" w:rsidP="009367E6">
      <w:pPr>
        <w:pStyle w:val="ListParagraph"/>
        <w:numPr>
          <w:ilvl w:val="0"/>
          <w:numId w:val="1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نظارت</w:t>
      </w:r>
      <w:r w:rsidR="00AB5D56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و بازرسي هاي</w:t>
      </w:r>
      <w:r w:rsidR="00317804"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گسترده</w:t>
      </w:r>
    </w:p>
    <w:p w:rsidR="00317804" w:rsidRPr="00F760E8" w:rsidRDefault="00317804" w:rsidP="00317804">
      <w:pPr>
        <w:pStyle w:val="ListParagraph"/>
        <w:numPr>
          <w:ilvl w:val="0"/>
          <w:numId w:val="3"/>
        </w:numPr>
        <w:bidi/>
        <w:jc w:val="both"/>
        <w:rPr>
          <w:rFonts w:cs="Mitra"/>
          <w:b/>
          <w:bCs/>
          <w:color w:val="000000" w:themeColor="text1"/>
          <w:sz w:val="28"/>
          <w:szCs w:val="28"/>
          <w:rtl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ستانده ها</w:t>
      </w:r>
      <w:r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ايران:</w:t>
      </w:r>
    </w:p>
    <w:p w:rsidR="00317804" w:rsidRDefault="00317804" w:rsidP="00317804">
      <w:pPr>
        <w:pStyle w:val="ListParagraph"/>
        <w:numPr>
          <w:ilvl w:val="0"/>
          <w:numId w:val="2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لغو يا تعليقِ همه يا بخشي از تحريمهاي مرتبط با هسته اي</w:t>
      </w:r>
    </w:p>
    <w:p w:rsidR="00AF58D7" w:rsidRPr="00AF58D7" w:rsidRDefault="00AF58D7" w:rsidP="00AB5D56">
      <w:pPr>
        <w:pStyle w:val="ListParagraph"/>
        <w:numPr>
          <w:ilvl w:val="0"/>
          <w:numId w:val="4"/>
        </w:numPr>
        <w:bidi/>
        <w:jc w:val="both"/>
        <w:rPr>
          <w:rFonts w:cs="Mitra"/>
          <w:b/>
          <w:bCs/>
          <w:color w:val="000000" w:themeColor="text1"/>
          <w:sz w:val="32"/>
          <w:szCs w:val="32"/>
          <w:rtl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32"/>
          <w:szCs w:val="32"/>
          <w:rtl/>
          <w:lang w:bidi="fa-IR"/>
        </w:rPr>
        <w:lastRenderedPageBreak/>
        <w:t>داده هاي ايران:</w:t>
      </w:r>
    </w:p>
    <w:p w:rsidR="00317804" w:rsidRPr="00AF58D7" w:rsidRDefault="00AF58D7" w:rsidP="00AF58D7">
      <w:pPr>
        <w:pStyle w:val="ListParagraph"/>
        <w:numPr>
          <w:ilvl w:val="1"/>
          <w:numId w:val="4"/>
        </w:numPr>
        <w:bidi/>
        <w:jc w:val="both"/>
        <w:rPr>
          <w:rFonts w:cs="Mitra"/>
          <w:b/>
          <w:bCs/>
          <w:color w:val="000000" w:themeColor="text1"/>
          <w:sz w:val="30"/>
          <w:szCs w:val="30"/>
          <w:lang w:bidi="fa-IR"/>
        </w:rPr>
      </w:pPr>
      <w:r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محدوديت شديد </w:t>
      </w:r>
      <w:r w:rsidR="00317804" w:rsidRPr="00AF58D7"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>فعاليت هاي هسته اي</w:t>
      </w:r>
    </w:p>
    <w:p w:rsidR="00317804" w:rsidRPr="00F760E8" w:rsidRDefault="00317804" w:rsidP="00AF58D7">
      <w:pPr>
        <w:pStyle w:val="ListParagraph"/>
        <w:bidi/>
        <w:ind w:left="1080"/>
        <w:jc w:val="both"/>
        <w:rPr>
          <w:rFonts w:cs="Mitra"/>
          <w:color w:val="000000" w:themeColor="text1"/>
          <w:sz w:val="28"/>
          <w:szCs w:val="28"/>
          <w:rtl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الف. غني‌سازي</w:t>
      </w:r>
    </w:p>
    <w:p w:rsidR="00612049" w:rsidRPr="00F760E8" w:rsidRDefault="00612049" w:rsidP="00612049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ت ساخت سانتر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ف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وژ حداقل برا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ده سال.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کاهش تعداد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سانتريفيوژهاي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ايران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از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۱۹۰۰۰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دستگاه کنوني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به حدود 6000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دستگاه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حداقل براي ده سال. 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تنها حدود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5000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دستگاه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از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6000 دستگاه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باقيمانده مي توانند براي يک دوره حداقل ده ساله در نطنز غني سازي کنند.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هزار دستگاه باقيمانده در فردو نگهداري خواهد شد که </w:t>
      </w:r>
      <w:r w:rsidR="006308DF">
        <w:rPr>
          <w:rFonts w:cs="Mitra" w:hint="cs"/>
          <w:color w:val="000000" w:themeColor="text1"/>
          <w:sz w:val="28"/>
          <w:szCs w:val="28"/>
          <w:rtl/>
          <w:lang w:bidi="fa-IR"/>
        </w:rPr>
        <w:t>ا</w:t>
      </w:r>
      <w:r w:rsidR="00AB5D56"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="006308DF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ران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حق غني سازي با آنها را نخواهد داشت.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328 عدد از هزار سانتريفيوژ موجود در فردو به صورت خالي خواهد چرخيد و بقيه خاموش خواهد بود.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13000 سانتريفيوژ از 19000 سانتريفيوژ کنوني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بايد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به همراه زيرساختهايشان جمع آور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و در انبار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ز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ر نظر آژانس نگهدار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شوند.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ايران موظف است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سطح غني سازي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خود را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حداقل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به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مدت</w:t>
      </w: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۱۵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سال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به 3.67% کاهش دهد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.</w:t>
      </w:r>
    </w:p>
    <w:p w:rsidR="00317804" w:rsidRPr="00F760E8" w:rsidRDefault="00317804" w:rsidP="006308DF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rtl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غني سازي پنج درص</w:t>
      </w:r>
      <w:r w:rsidR="006308DF">
        <w:rPr>
          <w:rFonts w:cs="Mitra" w:hint="cs"/>
          <w:color w:val="000000" w:themeColor="text1"/>
          <w:sz w:val="28"/>
          <w:szCs w:val="28"/>
          <w:rtl/>
          <w:lang w:bidi="fa-IR"/>
        </w:rPr>
        <w:t>د يا بيست درصد يا بالاتر از آن برا</w:t>
      </w:r>
      <w:r w:rsidR="00AB5D56"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="006308DF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حداقل 15 سال ممنوع است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.</w:t>
      </w:r>
      <w:r w:rsidRPr="00F760E8">
        <w:rPr>
          <w:rFonts w:cs="Mitra"/>
          <w:color w:val="000000" w:themeColor="text1"/>
          <w:sz w:val="28"/>
          <w:szCs w:val="28"/>
          <w:lang w:bidi="fa-IR"/>
        </w:rPr>
        <w:t xml:space="preserve"> 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کاهش ذخاير اورانيوم از ده تن فعلي به سيصد کيلوگرم حدقل براي 15 سال.</w:t>
      </w:r>
    </w:p>
    <w:p w:rsidR="00317804" w:rsidRPr="00F760E8" w:rsidRDefault="00317804" w:rsidP="00317804">
      <w:pPr>
        <w:pStyle w:val="ListParagraph"/>
        <w:numPr>
          <w:ilvl w:val="1"/>
          <w:numId w:val="5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ت ساخت هر گونه تاسياست جديد غني سازي حداقل براي 15 سال.</w:t>
      </w:r>
    </w:p>
    <w:p w:rsidR="00317804" w:rsidRPr="00F760E8" w:rsidRDefault="00317804" w:rsidP="00AF58D7">
      <w:pPr>
        <w:pStyle w:val="ListParagraph"/>
        <w:bidi/>
        <w:ind w:left="1080"/>
        <w:jc w:val="both"/>
        <w:rPr>
          <w:rFonts w:cs="Mitra"/>
          <w:b/>
          <w:bCs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ب. فردو</w:t>
      </w:r>
    </w:p>
    <w:p w:rsidR="00317804" w:rsidRPr="00F760E8" w:rsidRDefault="00317804" w:rsidP="00317804">
      <w:pPr>
        <w:pStyle w:val="ListParagraph"/>
        <w:numPr>
          <w:ilvl w:val="1"/>
          <w:numId w:val="6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از 3000 سانتريفيوژ موجود در فردو 2000 تاي آن به همراه زيرساختهايشان جمع و در انباري زير نظر آژانس نگهداري خواهد شد.</w:t>
      </w:r>
    </w:p>
    <w:p w:rsidR="00317804" w:rsidRPr="00F760E8" w:rsidRDefault="00317804" w:rsidP="00317804">
      <w:pPr>
        <w:pStyle w:val="ListParagraph"/>
        <w:numPr>
          <w:ilvl w:val="1"/>
          <w:numId w:val="6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تبديل سايت فردو از يک مرکز غني سازي به يک مرکز تحقيقاتي.</w:t>
      </w:r>
    </w:p>
    <w:p w:rsidR="00317804" w:rsidRPr="00F760E8" w:rsidRDefault="00317804" w:rsidP="00317804">
      <w:pPr>
        <w:pStyle w:val="ListParagraph"/>
        <w:numPr>
          <w:ilvl w:val="1"/>
          <w:numId w:val="6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ممنوعيت غني سازي در فردو براي حداقل 15 سال.</w:t>
      </w:r>
    </w:p>
    <w:p w:rsidR="00317804" w:rsidRPr="00F760E8" w:rsidRDefault="00317804" w:rsidP="00317804">
      <w:pPr>
        <w:pStyle w:val="ListParagraph"/>
        <w:numPr>
          <w:ilvl w:val="1"/>
          <w:numId w:val="6"/>
        </w:numPr>
        <w:bidi/>
        <w:jc w:val="both"/>
        <w:rPr>
          <w:rFonts w:cs="Mitra"/>
          <w:color w:val="000000" w:themeColor="text1"/>
          <w:sz w:val="28"/>
          <w:szCs w:val="28"/>
          <w:rtl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ممنوعيت تحقيق و توسعه مرتبط با غني سازي در فردو براي حداقل 15 سال.</w:t>
      </w:r>
    </w:p>
    <w:p w:rsidR="00317804" w:rsidRPr="00F760E8" w:rsidRDefault="00317804" w:rsidP="00317804">
      <w:pPr>
        <w:pStyle w:val="ListParagraph"/>
        <w:numPr>
          <w:ilvl w:val="1"/>
          <w:numId w:val="6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ممنوعيت ورود مواد راديواکتيو به فردو براي حداقل 15 سال.</w:t>
      </w:r>
    </w:p>
    <w:p w:rsidR="00317804" w:rsidRPr="00F760E8" w:rsidRDefault="00317804" w:rsidP="00AF58D7">
      <w:pPr>
        <w:bidi/>
        <w:ind w:left="1080"/>
        <w:jc w:val="both"/>
        <w:rPr>
          <w:rFonts w:cs="Mitra"/>
          <w:b/>
          <w:bCs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ج. تحق</w:t>
      </w:r>
      <w:r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ق و توسعه</w:t>
      </w:r>
    </w:p>
    <w:p w:rsidR="00317804" w:rsidRPr="00F760E8" w:rsidRDefault="00317804" w:rsidP="00317804">
      <w:pPr>
        <w:pStyle w:val="ListParagraph"/>
        <w:numPr>
          <w:ilvl w:val="1"/>
          <w:numId w:val="7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محدود شدن تحقيق و توسعه به چهار نسل کنوني </w:t>
      </w:r>
      <w:r w:rsidRPr="00F760E8">
        <w:rPr>
          <w:rFonts w:cs="Mitra"/>
          <w:color w:val="000000" w:themeColor="text1"/>
          <w:sz w:val="28"/>
          <w:szCs w:val="28"/>
          <w:lang w:bidi="fa-IR"/>
        </w:rPr>
        <w:t xml:space="preserve"> IR-8, IR-6, IR-5, IR-4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حداقل براي ده سال.</w:t>
      </w:r>
    </w:p>
    <w:p w:rsidR="00317804" w:rsidRPr="00F760E8" w:rsidRDefault="00317804" w:rsidP="00317804">
      <w:pPr>
        <w:pStyle w:val="ListParagraph"/>
        <w:numPr>
          <w:ilvl w:val="1"/>
          <w:numId w:val="7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ممنوعيت استفاده از اين چهار نسل براي غني سازي حداقل براي ده سال.</w:t>
      </w:r>
    </w:p>
    <w:p w:rsidR="00317804" w:rsidRPr="00F760E8" w:rsidRDefault="00317804" w:rsidP="00AF58D7">
      <w:pPr>
        <w:bidi/>
        <w:ind w:left="1080"/>
        <w:jc w:val="both"/>
        <w:rPr>
          <w:rFonts w:cs="Mitra"/>
          <w:color w:val="000000" w:themeColor="text1"/>
          <w:sz w:val="28"/>
          <w:szCs w:val="28"/>
          <w:rtl/>
          <w:lang w:bidi="fa-IR"/>
        </w:rPr>
      </w:pP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د . راکتور آب سنگ</w:t>
      </w:r>
      <w:r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ن اراک و بازفرآوري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بازسازي و باز طراحي راکتور اراک به گونه اي که توان توليد پلوتونيوم تسليحاتي نداشته باشد.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خارج کردن سوخت مصرفي از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کشور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در طول عمر راکتور.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سلب شدن حق بازفراوري به صورت ابدي از ايران.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نابود کردن يا خارج کردن قلب راکتور فعلي از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کشور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.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ممنوعيت انباشت آب سنگين و لزوم صادر کردن آب سنگين اضافه بر نياز اراک براي حداقل 15 سال.</w:t>
      </w:r>
    </w:p>
    <w:p w:rsidR="00317804" w:rsidRPr="00F760E8" w:rsidRDefault="00317804" w:rsidP="00317804">
      <w:pPr>
        <w:pStyle w:val="ListParagraph"/>
        <w:numPr>
          <w:ilvl w:val="1"/>
          <w:numId w:val="9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lastRenderedPageBreak/>
        <w:t>ممنوعيت ساخت هر گونه راکتور آب سنگين جديد حداقل براي 15 سال.</w:t>
      </w:r>
    </w:p>
    <w:p w:rsidR="00317804" w:rsidRPr="00AF58D7" w:rsidRDefault="00AF58D7" w:rsidP="00AF58D7">
      <w:pPr>
        <w:pStyle w:val="ListParagraph"/>
        <w:numPr>
          <w:ilvl w:val="1"/>
          <w:numId w:val="4"/>
        </w:numPr>
        <w:bidi/>
        <w:jc w:val="both"/>
        <w:rPr>
          <w:rFonts w:cs="Mitra"/>
          <w:b/>
          <w:bCs/>
          <w:color w:val="000000" w:themeColor="text1"/>
          <w:sz w:val="30"/>
          <w:szCs w:val="30"/>
          <w:rtl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>نظارت و بازرس</w:t>
      </w:r>
      <w:r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>ي</w:t>
      </w:r>
      <w:r w:rsidRPr="00AF58D7"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ها</w:t>
      </w:r>
      <w:r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>ي</w:t>
      </w:r>
      <w:r w:rsidRPr="00AF58D7"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گسترده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فراهم کردن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دسترسي منظم آژانس به کليه تاسيسات هسته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اي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امضاء و تصو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ب پروتکل الحاق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و عمل به مفاد آن.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اجازه آژانس براي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استفاده از پيشرفته ترين فناوري هاي نظارتي ب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ه منظور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نظارت و بازرسي از 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تاسيسات هسته اي،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از جمله نصب دورب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ن ب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ست و چهار ساعته در تاس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سات هسته ا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ا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ران.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اجازه آژانس براي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بازرسي از کليه معادن و کارخانه هاي اورانيوم.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اجازه آژانس براي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بازرسي از مراکز ساخت روتورهاي سانتريفيوژ. 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اجازه آژانس براي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نظارت مستمر بر سانتريفيوژهاي جمع آوري شده از نطنز و فردو.</w:t>
      </w:r>
    </w:p>
    <w:p w:rsidR="00113315" w:rsidRPr="00113315" w:rsidRDefault="00113315" w:rsidP="00113315">
      <w:pPr>
        <w:pStyle w:val="ListParagraph"/>
        <w:numPr>
          <w:ilvl w:val="1"/>
          <w:numId w:val="8"/>
        </w:numPr>
        <w:bidi/>
        <w:jc w:val="both"/>
        <w:rPr>
          <w:rFonts w:cs="Mitra"/>
          <w:b/>
          <w:bCs/>
          <w:color w:val="000000" w:themeColor="text1"/>
          <w:sz w:val="28"/>
          <w:szCs w:val="28"/>
          <w:lang w:bidi="fa-IR"/>
        </w:rPr>
      </w:pP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تک تک موارد مربوط به</w:t>
      </w:r>
      <w:r w:rsidR="00317804"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تام</w:t>
      </w:r>
      <w:r w:rsidR="00FB5B1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ن، فروش و انتقال مواد و </w:t>
      </w:r>
      <w:r w:rsidR="00317804"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فن آوري هاي 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با کاربردهاي دوگانه </w:t>
      </w:r>
      <w:r w:rsidR="00FB5B1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ا مرتبط با </w:t>
      </w:r>
      <w:r w:rsidR="00317804"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هسته اي 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به ا</w:t>
      </w:r>
      <w:r w:rsidR="00FB5B1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ران با</w:t>
      </w:r>
      <w:r w:rsidR="00FB5B1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د ز</w:t>
      </w:r>
      <w:r w:rsidR="00FB5B1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ر نظر آژانس و با </w:t>
      </w:r>
      <w:r w:rsidRPr="00641B87">
        <w:rPr>
          <w:rFonts w:cs="Mitra" w:hint="cs"/>
          <w:b/>
          <w:bCs/>
          <w:color w:val="000000" w:themeColor="text1"/>
          <w:sz w:val="28"/>
          <w:szCs w:val="28"/>
          <w:highlight w:val="yellow"/>
          <w:u w:val="single"/>
          <w:rtl/>
          <w:lang w:bidi="fa-IR"/>
        </w:rPr>
        <w:t>تا</w:t>
      </w:r>
      <w:r w:rsidR="00FB5B16" w:rsidRPr="00641B87">
        <w:rPr>
          <w:rFonts w:cs="Mitra" w:hint="cs"/>
          <w:b/>
          <w:bCs/>
          <w:color w:val="000000" w:themeColor="text1"/>
          <w:sz w:val="28"/>
          <w:szCs w:val="28"/>
          <w:highlight w:val="yellow"/>
          <w:u w:val="single"/>
          <w:rtl/>
          <w:lang w:bidi="fa-IR"/>
        </w:rPr>
        <w:t>يي</w:t>
      </w:r>
      <w:r w:rsidRPr="00641B87">
        <w:rPr>
          <w:rFonts w:cs="Mitra" w:hint="cs"/>
          <w:b/>
          <w:bCs/>
          <w:color w:val="000000" w:themeColor="text1"/>
          <w:sz w:val="28"/>
          <w:szCs w:val="28"/>
          <w:highlight w:val="yellow"/>
          <w:u w:val="single"/>
          <w:rtl/>
          <w:lang w:bidi="fa-IR"/>
        </w:rPr>
        <w:t>د</w:t>
      </w:r>
      <w:r w:rsidRPr="00113315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آن همراه باشد.</w:t>
      </w:r>
      <w:r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(خطرناک)</w:t>
      </w:r>
    </w:p>
    <w:p w:rsidR="00317804" w:rsidRPr="00F760E8" w:rsidRDefault="00317804" w:rsidP="00FB5B16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اجازه بازرسي از تاسيسات غير هسته اي از جمله تاسيسات نظامي بر اساس پروتکل الحاقي در هر نقطه از خاک کشور.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ملزم بودن ايران به پاسخگويي در خصوص فعاليت هاي مخفيانه يا تاسيسات مشکوک در هر نقطه از خاک کشور.</w:t>
      </w:r>
    </w:p>
    <w:p w:rsidR="00317804" w:rsidRPr="00F760E8" w:rsidRDefault="00317804" w:rsidP="00317804">
      <w:pPr>
        <w:pStyle w:val="ListParagraph"/>
        <w:numPr>
          <w:ilvl w:val="1"/>
          <w:numId w:val="8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ملزم بودن ايران به روشن کردن وضعيت حال و گذشته برنامه هسته اي خود.</w:t>
      </w:r>
    </w:p>
    <w:p w:rsidR="00317804" w:rsidRPr="00AF58D7" w:rsidRDefault="00AF58D7" w:rsidP="00AF58D7">
      <w:pPr>
        <w:pStyle w:val="ListParagraph"/>
        <w:bidi/>
        <w:ind w:left="1080"/>
        <w:jc w:val="both"/>
        <w:rPr>
          <w:rFonts w:cs="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11 . </w:t>
      </w:r>
      <w:r w:rsidR="00317804" w:rsidRPr="00AF58D7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الزام ايران به همکاري با آژانس براي مشخص شدن جنبه هاي احتمالي نظامي برنامه هسته اي. </w:t>
      </w:r>
    </w:p>
    <w:p w:rsidR="00AF58D7" w:rsidRPr="00AF58D7" w:rsidRDefault="00317804" w:rsidP="00AF58D7">
      <w:pPr>
        <w:pStyle w:val="ListParagraph"/>
        <w:numPr>
          <w:ilvl w:val="0"/>
          <w:numId w:val="3"/>
        </w:numPr>
        <w:bidi/>
        <w:jc w:val="both"/>
        <w:rPr>
          <w:rFonts w:cs="Mitra"/>
          <w:b/>
          <w:bCs/>
          <w:color w:val="000000" w:themeColor="text1"/>
          <w:sz w:val="32"/>
          <w:szCs w:val="32"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32"/>
          <w:szCs w:val="32"/>
          <w:rtl/>
          <w:lang w:bidi="fa-IR"/>
        </w:rPr>
        <w:t xml:space="preserve">ستانده هاي ايران: </w:t>
      </w:r>
    </w:p>
    <w:p w:rsidR="00317804" w:rsidRPr="00AF58D7" w:rsidRDefault="00317804" w:rsidP="00AF58D7">
      <w:pPr>
        <w:pStyle w:val="ListParagraph"/>
        <w:numPr>
          <w:ilvl w:val="1"/>
          <w:numId w:val="3"/>
        </w:numPr>
        <w:bidi/>
        <w:jc w:val="both"/>
        <w:rPr>
          <w:rFonts w:cs="Mitra"/>
          <w:b/>
          <w:bCs/>
          <w:color w:val="000000" w:themeColor="text1"/>
          <w:sz w:val="30"/>
          <w:szCs w:val="30"/>
          <w:rtl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30"/>
          <w:szCs w:val="30"/>
          <w:rtl/>
          <w:lang w:bidi="fa-IR"/>
        </w:rPr>
        <w:t>تحريم‌ها</w:t>
      </w:r>
    </w:p>
    <w:p w:rsidR="00317804" w:rsidRPr="00F760E8" w:rsidRDefault="00317804" w:rsidP="008A35FA">
      <w:pPr>
        <w:pStyle w:val="ListParagraph"/>
        <w:numPr>
          <w:ilvl w:val="1"/>
          <w:numId w:val="10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پس از تاييد آژانس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مبني بر اين که ايران به تعهدات کليدي هسته اي خود عمل کرده است </w:t>
      </w:r>
      <w:r w:rsidRPr="00F17838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اتحاديه اروپا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A35FA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اعمال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تحريمهاي </w:t>
      </w:r>
      <w:r w:rsidRPr="00D90D9A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اقتصادي و مالي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90D9A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مرتبط با هسته اي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را </w:t>
      </w:r>
      <w:r w:rsidR="008A35FA" w:rsidRPr="008A35FA">
        <w:rPr>
          <w:rFonts w:cs="Mitra" w:hint="cs"/>
          <w:color w:val="000000" w:themeColor="text1"/>
          <w:sz w:val="28"/>
          <w:szCs w:val="28"/>
          <w:rtl/>
          <w:lang w:bidi="fa-IR"/>
        </w:rPr>
        <w:t>خاتمه خواهد داد</w:t>
      </w:r>
      <w:r w:rsidR="008A35FA">
        <w:rPr>
          <w:rFonts w:cs="Mitra" w:hint="cs"/>
          <w:color w:val="000000" w:themeColor="text1"/>
          <w:sz w:val="28"/>
          <w:szCs w:val="28"/>
          <w:rtl/>
          <w:lang w:bidi="fa-IR"/>
        </w:rPr>
        <w:t>.</w:t>
      </w:r>
      <w:r w:rsidR="008A35FA" w:rsidRPr="008A35FA">
        <w:rPr>
          <w:rtl/>
        </w:rPr>
        <w:footnoteReference w:id="2"/>
      </w:r>
    </w:p>
    <w:p w:rsidR="00317804" w:rsidRPr="00F760E8" w:rsidRDefault="00317804" w:rsidP="008A35FA">
      <w:pPr>
        <w:pStyle w:val="ListParagraph"/>
        <w:numPr>
          <w:ilvl w:val="1"/>
          <w:numId w:val="10"/>
        </w:numPr>
        <w:bidi/>
        <w:jc w:val="both"/>
        <w:rPr>
          <w:rFonts w:cs="Mitra"/>
          <w:color w:val="000000" w:themeColor="text1"/>
          <w:sz w:val="28"/>
          <w:szCs w:val="28"/>
          <w:lang w:bidi="fa-IR"/>
        </w:rPr>
      </w:pPr>
      <w:r w:rsidRPr="00AF58D7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پس از تاييد آژانس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مبني بر اين که ايران به تعهدات کليدي هسته اي خود عمل کرده است </w:t>
      </w:r>
      <w:r w:rsidRPr="00F17838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امريکا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A35FA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اجرا</w:t>
      </w:r>
      <w:r w:rsidR="00B13411">
        <w:rPr>
          <w:rFonts w:cs="Mitra" w:hint="cs"/>
          <w:color w:val="000000" w:themeColor="text1"/>
          <w:sz w:val="28"/>
          <w:szCs w:val="28"/>
          <w:rtl/>
          <w:lang w:bidi="fa-IR"/>
        </w:rPr>
        <w:t>ي</w:t>
      </w:r>
      <w:r w:rsidR="008A35FA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تحريمهاي </w:t>
      </w:r>
      <w:r w:rsidRPr="00D90D9A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ثانويه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90D9A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اقتصادي و مالي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90D9A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مرتبط با هسته اي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را </w:t>
      </w:r>
      <w:r w:rsidR="008A35FA" w:rsidRPr="008A35FA">
        <w:rPr>
          <w:rFonts w:cs="Mitra" w:hint="cs"/>
          <w:color w:val="000000" w:themeColor="text1"/>
          <w:sz w:val="28"/>
          <w:szCs w:val="28"/>
          <w:rtl/>
          <w:lang w:bidi="fa-IR"/>
        </w:rPr>
        <w:t>متوقف</w:t>
      </w:r>
      <w:r w:rsidRPr="008A35FA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F760E8">
        <w:rPr>
          <w:rFonts w:cs="Mitra" w:hint="cs"/>
          <w:color w:val="000000" w:themeColor="text1"/>
          <w:sz w:val="28"/>
          <w:szCs w:val="28"/>
          <w:rtl/>
          <w:lang w:bidi="fa-IR"/>
        </w:rPr>
        <w:t>خواهد کرد.</w:t>
      </w:r>
      <w:r w:rsidR="008A35FA" w:rsidRPr="008A35FA">
        <w:rPr>
          <w:rtl/>
        </w:rPr>
        <w:footnoteReference w:id="3"/>
      </w:r>
    </w:p>
    <w:p w:rsidR="00D5287D" w:rsidRDefault="00307A26" w:rsidP="00D5287D">
      <w:pPr>
        <w:bidi/>
        <w:ind w:left="1080"/>
        <w:jc w:val="both"/>
        <w:rPr>
          <w:rFonts w:cs="Mitra"/>
          <w:color w:val="000000" w:themeColor="text1"/>
          <w:sz w:val="28"/>
          <w:szCs w:val="28"/>
          <w:rtl/>
          <w:lang w:bidi="fa-IR"/>
        </w:rPr>
      </w:pPr>
      <w:r w:rsidRPr="00307A26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تبصره:</w:t>
      </w:r>
      <w:r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17804" w:rsidRPr="00307A26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تحريمهايي که به خاطر حمايت ايران از </w:t>
      </w:r>
      <w:r w:rsidR="00317804" w:rsidRPr="00307A26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تروريسم</w:t>
      </w:r>
      <w:r w:rsidR="00317804" w:rsidRPr="00307A26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يا </w:t>
      </w:r>
      <w:r w:rsidR="00317804" w:rsidRPr="00307A26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نقض حقوق بشر</w:t>
      </w:r>
      <w:r w:rsidR="00317804" w:rsidRPr="00307A26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وضع شده اند همانند گذشته </w:t>
      </w:r>
      <w:r w:rsidR="00317804" w:rsidRPr="00307A26">
        <w:rPr>
          <w:rFonts w:cs="Mitra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باقي خواهد ماند.</w:t>
      </w:r>
    </w:p>
    <w:p w:rsidR="00CB2428" w:rsidRPr="00D5287D" w:rsidRDefault="00B13411" w:rsidP="00D5287D">
      <w:pPr>
        <w:pStyle w:val="ListParagraph"/>
        <w:numPr>
          <w:ilvl w:val="1"/>
          <w:numId w:val="10"/>
        </w:numPr>
        <w:bidi/>
        <w:jc w:val="both"/>
        <w:rPr>
          <w:rFonts w:cs="Mitra"/>
          <w:b/>
          <w:bCs/>
          <w:color w:val="000000" w:themeColor="text1"/>
          <w:sz w:val="28"/>
          <w:szCs w:val="28"/>
          <w:lang w:bidi="fa-IR"/>
        </w:rPr>
      </w:pPr>
      <w:r w:rsidRPr="00D5287D">
        <w:rPr>
          <w:rFonts w:cs="Mitra" w:hint="cs"/>
          <w:color w:val="000000" w:themeColor="text1"/>
          <w:sz w:val="28"/>
          <w:szCs w:val="28"/>
          <w:rtl/>
          <w:lang w:bidi="fa-IR"/>
        </w:rPr>
        <w:t>يک قطعنامه جديد به همه قطعنامه هاي مرتبط با هسته اي قبلي خاتمه خواهد داد. اما اين قطعنامه در بردارنده تدابير محدوديت ساز مشخص خواهد بود.</w:t>
      </w:r>
      <w:r w:rsidR="00317804" w:rsidRPr="00D5287D">
        <w:rPr>
          <w:rFonts w:cs="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287D">
        <w:rPr>
          <w:rFonts w:cs="Mitra" w:hint="cs"/>
          <w:b/>
          <w:bCs/>
          <w:color w:val="000000" w:themeColor="text1"/>
          <w:sz w:val="28"/>
          <w:szCs w:val="28"/>
          <w:rtl/>
          <w:lang w:bidi="fa-IR"/>
        </w:rPr>
        <w:t>بدين صورت که بخشهايي از تحريمهاي قطعنامه هاي قبلي مجددا عليه ايران اعمال خواهد شد.</w:t>
      </w:r>
    </w:p>
    <w:sectPr w:rsidR="00CB2428" w:rsidRPr="00D5287D" w:rsidSect="00E94ED3">
      <w:footerReference w:type="default" r:id="rId9"/>
      <w:pgSz w:w="11907" w:h="16839" w:code="9"/>
      <w:pgMar w:top="619" w:right="562" w:bottom="619" w:left="562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40" w:rsidRDefault="006C5740" w:rsidP="00317804">
      <w:pPr>
        <w:spacing w:after="0" w:line="240" w:lineRule="auto"/>
      </w:pPr>
      <w:r>
        <w:separator/>
      </w:r>
    </w:p>
  </w:endnote>
  <w:endnote w:type="continuationSeparator" w:id="0">
    <w:p w:rsidR="006C5740" w:rsidRDefault="006C5740" w:rsidP="0031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764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804" w:rsidRDefault="00317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E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7804" w:rsidRDefault="00317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40" w:rsidRDefault="006C5740" w:rsidP="008A35FA">
      <w:pPr>
        <w:spacing w:after="0" w:line="240" w:lineRule="auto"/>
        <w:jc w:val="right"/>
      </w:pPr>
      <w:r>
        <w:separator/>
      </w:r>
    </w:p>
  </w:footnote>
  <w:footnote w:type="continuationSeparator" w:id="0">
    <w:p w:rsidR="006C5740" w:rsidRDefault="006C5740" w:rsidP="00317804">
      <w:pPr>
        <w:spacing w:after="0" w:line="240" w:lineRule="auto"/>
      </w:pPr>
      <w:r>
        <w:continuationSeparator/>
      </w:r>
    </w:p>
  </w:footnote>
  <w:footnote w:id="1">
    <w:p w:rsidR="00453F82" w:rsidRDefault="00453F82" w:rsidP="00453F82">
      <w:pPr>
        <w:pStyle w:val="FootnoteText"/>
        <w:bidi/>
        <w:rPr>
          <w:rtl/>
          <w:lang w:bidi="fa-IR"/>
        </w:rPr>
      </w:pPr>
      <w:r w:rsidRPr="00453F82">
        <w:rPr>
          <w:rStyle w:val="FootnoteReference"/>
          <w:rFonts w:cs="B Mitra"/>
          <w:b/>
          <w:bCs/>
          <w:sz w:val="24"/>
          <w:szCs w:val="24"/>
        </w:rPr>
        <w:footnoteRef/>
      </w:r>
      <w:r w:rsidRPr="00453F82">
        <w:rPr>
          <w:rFonts w:cs="B Mitra"/>
          <w:b/>
          <w:bCs/>
          <w:sz w:val="24"/>
          <w:szCs w:val="24"/>
        </w:rPr>
        <w:t xml:space="preserve"> </w:t>
      </w:r>
      <w:r w:rsidRPr="00453F82">
        <w:rPr>
          <w:rFonts w:cs="B Mitra" w:hint="cs"/>
          <w:b/>
          <w:bCs/>
          <w:sz w:val="24"/>
          <w:szCs w:val="24"/>
          <w:rtl/>
          <w:lang w:bidi="fa-IR"/>
        </w:rPr>
        <w:t>.</w:t>
      </w:r>
      <w:r w:rsidRPr="00453F82">
        <w:rPr>
          <w:rFonts w:hint="cs"/>
          <w:sz w:val="24"/>
          <w:szCs w:val="24"/>
          <w:rtl/>
          <w:lang w:bidi="fa-IR"/>
        </w:rPr>
        <w:t xml:space="preserve"> </w:t>
      </w:r>
      <w:r w:rsidRPr="00453F82">
        <w:rPr>
          <w:rFonts w:cs="B Mitra" w:hint="cs"/>
          <w:b/>
          <w:bCs/>
          <w:sz w:val="22"/>
          <w:szCs w:val="22"/>
          <w:rtl/>
          <w:lang w:bidi="fa-IR"/>
        </w:rPr>
        <w:t xml:space="preserve">خلاصه مستندات جدول  را </w:t>
      </w:r>
      <w:r>
        <w:rPr>
          <w:rFonts w:cs="B Mitra" w:hint="cs"/>
          <w:b/>
          <w:bCs/>
          <w:sz w:val="22"/>
          <w:szCs w:val="22"/>
          <w:rtl/>
          <w:lang w:bidi="fa-IR"/>
        </w:rPr>
        <w:t>در صفحات</w:t>
      </w:r>
      <w:r w:rsidRPr="00453F82">
        <w:rPr>
          <w:rFonts w:cs="B Mitra" w:hint="cs"/>
          <w:b/>
          <w:bCs/>
          <w:sz w:val="22"/>
          <w:szCs w:val="22"/>
          <w:rtl/>
          <w:lang w:bidi="fa-IR"/>
        </w:rPr>
        <w:t xml:space="preserve"> بعد و تفص</w:t>
      </w:r>
      <w:r w:rsidR="00DA7500"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453F82">
        <w:rPr>
          <w:rFonts w:cs="B Mitra" w:hint="cs"/>
          <w:b/>
          <w:bCs/>
          <w:sz w:val="22"/>
          <w:szCs w:val="22"/>
          <w:rtl/>
          <w:lang w:bidi="fa-IR"/>
        </w:rPr>
        <w:t>ل آن را در وبلاگ</w:t>
      </w:r>
      <w:r w:rsidRPr="00453F82">
        <w:rPr>
          <w:rFonts w:cs="B Mitra"/>
          <w:b/>
          <w:bCs/>
          <w:sz w:val="22"/>
          <w:szCs w:val="22"/>
          <w:lang w:bidi="fa-IR"/>
        </w:rPr>
        <w:t xml:space="preserve">hastei.blog.ir </w:t>
      </w:r>
      <w:r w:rsidRPr="00453F82">
        <w:rPr>
          <w:rFonts w:cs="B Mitra" w:hint="cs"/>
          <w:b/>
          <w:bCs/>
          <w:sz w:val="22"/>
          <w:szCs w:val="22"/>
          <w:rtl/>
          <w:lang w:bidi="fa-IR"/>
        </w:rPr>
        <w:t xml:space="preserve"> ملاحظه کن</w:t>
      </w:r>
      <w:r w:rsidR="00DA7500"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453F82">
        <w:rPr>
          <w:rFonts w:cs="B Mitra" w:hint="cs"/>
          <w:b/>
          <w:bCs/>
          <w:sz w:val="22"/>
          <w:szCs w:val="22"/>
          <w:rtl/>
          <w:lang w:bidi="fa-IR"/>
        </w:rPr>
        <w:t>د.</w:t>
      </w:r>
    </w:p>
    <w:p w:rsidR="00A95B52" w:rsidRPr="00A95B52" w:rsidRDefault="00A95B52" w:rsidP="00A95B52">
      <w:pPr>
        <w:pStyle w:val="FootnoteText"/>
        <w:bidi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="00166136">
        <w:rPr>
          <w:rFonts w:cs="B Mitra" w:hint="cs"/>
          <w:b/>
          <w:bCs/>
          <w:sz w:val="22"/>
          <w:szCs w:val="22"/>
          <w:rtl/>
          <w:lang w:bidi="fa-IR"/>
        </w:rPr>
        <w:t xml:space="preserve">2. </w:t>
      </w:r>
      <w:r w:rsidRPr="00A95B52">
        <w:rPr>
          <w:rFonts w:cs="B Mitra" w:hint="cs"/>
          <w:b/>
          <w:bCs/>
          <w:sz w:val="22"/>
          <w:szCs w:val="22"/>
          <w:rtl/>
          <w:lang w:bidi="fa-IR"/>
        </w:rPr>
        <w:t>نمرات بر اساس پنج حالت بس</w:t>
      </w:r>
      <w:r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A95B52">
        <w:rPr>
          <w:rFonts w:cs="B Mitra" w:hint="cs"/>
          <w:b/>
          <w:bCs/>
          <w:sz w:val="22"/>
          <w:szCs w:val="22"/>
          <w:rtl/>
          <w:lang w:bidi="fa-IR"/>
        </w:rPr>
        <w:t>ار خوب، خوب، متوسط، ضع</w:t>
      </w:r>
      <w:r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A95B52">
        <w:rPr>
          <w:rFonts w:cs="B Mitra" w:hint="cs"/>
          <w:b/>
          <w:bCs/>
          <w:sz w:val="22"/>
          <w:szCs w:val="22"/>
          <w:rtl/>
          <w:lang w:bidi="fa-IR"/>
        </w:rPr>
        <w:t>ف و بس</w:t>
      </w:r>
      <w:r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A95B52">
        <w:rPr>
          <w:rFonts w:cs="B Mitra" w:hint="cs"/>
          <w:b/>
          <w:bCs/>
          <w:sz w:val="22"/>
          <w:szCs w:val="22"/>
          <w:rtl/>
          <w:lang w:bidi="fa-IR"/>
        </w:rPr>
        <w:t>ار ضع</w:t>
      </w:r>
      <w:r>
        <w:rPr>
          <w:rFonts w:cs="B Mitra" w:hint="cs"/>
          <w:b/>
          <w:bCs/>
          <w:sz w:val="22"/>
          <w:szCs w:val="22"/>
          <w:rtl/>
          <w:lang w:bidi="fa-IR"/>
        </w:rPr>
        <w:t>ي</w:t>
      </w:r>
      <w:r w:rsidRPr="00A95B52">
        <w:rPr>
          <w:rFonts w:cs="B Mitra" w:hint="cs"/>
          <w:b/>
          <w:bCs/>
          <w:sz w:val="22"/>
          <w:szCs w:val="22"/>
          <w:rtl/>
          <w:lang w:bidi="fa-IR"/>
        </w:rPr>
        <w:t>ف اعمال شده  است.</w:t>
      </w:r>
    </w:p>
  </w:footnote>
  <w:footnote w:id="2">
    <w:p w:rsidR="008A35FA" w:rsidRPr="00641B87" w:rsidRDefault="008A35FA" w:rsidP="008A35FA">
      <w:pPr>
        <w:pStyle w:val="FootnoteText"/>
        <w:bidi/>
        <w:rPr>
          <w:rFonts w:cs="Mitra"/>
          <w:b/>
          <w:bCs/>
          <w:color w:val="000000" w:themeColor="text1"/>
          <w:sz w:val="24"/>
          <w:szCs w:val="24"/>
          <w:rtl/>
          <w:lang w:bidi="fa-IR"/>
        </w:rPr>
      </w:pPr>
      <w:r w:rsidRPr="008A35FA">
        <w:rPr>
          <w:rStyle w:val="FootnoteReference"/>
          <w:b/>
          <w:bCs/>
          <w:sz w:val="22"/>
          <w:szCs w:val="22"/>
        </w:rPr>
        <w:footnoteRef/>
      </w:r>
      <w:r w:rsidRPr="008A35FA">
        <w:rPr>
          <w:b/>
          <w:bCs/>
          <w:sz w:val="22"/>
          <w:szCs w:val="22"/>
        </w:rPr>
        <w:t xml:space="preserve"> </w:t>
      </w:r>
      <w:r w:rsidRPr="008A35FA">
        <w:rPr>
          <w:rFonts w:cs="Mitra" w:hint="cs"/>
          <w:b/>
          <w:bCs/>
          <w:sz w:val="22"/>
          <w:szCs w:val="22"/>
          <w:rtl/>
        </w:rPr>
        <w:t>. يعني</w:t>
      </w:r>
      <w:r w:rsidRPr="008A35FA">
        <w:rPr>
          <w:rFonts w:cs="Mitra" w:hint="cs"/>
          <w:b/>
          <w:bCs/>
          <w:sz w:val="24"/>
          <w:szCs w:val="24"/>
          <w:rtl/>
        </w:rPr>
        <w:t xml:space="preserve"> </w:t>
      </w:r>
      <w:r w:rsidRPr="008A35FA">
        <w:rPr>
          <w:rFonts w:cs="Mitra" w:hint="cs"/>
          <w:b/>
          <w:bCs/>
          <w:sz w:val="22"/>
          <w:szCs w:val="22"/>
          <w:rtl/>
        </w:rPr>
        <w:t>ا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>ن که قانون تحر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>مها سر جا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 خود باق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 است و </w:t>
      </w:r>
      <w:r>
        <w:rPr>
          <w:rFonts w:cs="Mitra" w:hint="cs"/>
          <w:b/>
          <w:bCs/>
          <w:sz w:val="22"/>
          <w:szCs w:val="22"/>
          <w:rtl/>
        </w:rPr>
        <w:t xml:space="preserve"> اتحا</w:t>
      </w:r>
      <w:r w:rsidR="00B13411">
        <w:rPr>
          <w:rFonts w:cs="Mitra" w:hint="cs"/>
          <w:b/>
          <w:bCs/>
          <w:sz w:val="22"/>
          <w:szCs w:val="22"/>
          <w:rtl/>
        </w:rPr>
        <w:t>ي</w:t>
      </w:r>
      <w:r>
        <w:rPr>
          <w:rFonts w:cs="Mitra" w:hint="cs"/>
          <w:b/>
          <w:bCs/>
          <w:sz w:val="22"/>
          <w:szCs w:val="22"/>
          <w:rtl/>
        </w:rPr>
        <w:t xml:space="preserve">ه اروپا 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صرفا به اعمال آن خاتمه خواهد داد. </w:t>
      </w:r>
      <w:r w:rsidRPr="00641B87">
        <w:rPr>
          <w:rFonts w:cs="Mitra" w:hint="cs"/>
          <w:b/>
          <w:bCs/>
          <w:color w:val="000000" w:themeColor="text1"/>
          <w:sz w:val="24"/>
          <w:szCs w:val="24"/>
          <w:highlight w:val="yellow"/>
          <w:rtl/>
        </w:rPr>
        <w:t>بنابراين تحريمها در بهترين حالت تعليق و نه لغو خواهند شد.</w:t>
      </w:r>
    </w:p>
  </w:footnote>
  <w:footnote w:id="3">
    <w:p w:rsidR="008A35FA" w:rsidRPr="00641B87" w:rsidRDefault="008A35FA" w:rsidP="008A35FA">
      <w:pPr>
        <w:pStyle w:val="FootnoteText"/>
        <w:bidi/>
        <w:rPr>
          <w:rFonts w:cs="Mitra"/>
          <w:b/>
          <w:bCs/>
          <w:color w:val="000000" w:themeColor="text1"/>
          <w:sz w:val="24"/>
          <w:szCs w:val="24"/>
          <w:rtl/>
          <w:lang w:bidi="fa-IR"/>
        </w:rPr>
      </w:pPr>
      <w:r w:rsidRPr="008A35FA">
        <w:rPr>
          <w:rStyle w:val="FootnoteReference"/>
          <w:rFonts w:cs="Mitra"/>
          <w:b/>
          <w:bCs/>
          <w:sz w:val="22"/>
          <w:szCs w:val="22"/>
        </w:rPr>
        <w:footnoteRef/>
      </w:r>
      <w:r w:rsidRPr="008A35FA">
        <w:rPr>
          <w:rFonts w:cs="Mitra"/>
          <w:b/>
          <w:bCs/>
          <w:sz w:val="22"/>
          <w:szCs w:val="22"/>
        </w:rPr>
        <w:t xml:space="preserve"> </w:t>
      </w:r>
      <w:r w:rsidRPr="008A35FA">
        <w:rPr>
          <w:rFonts w:cs="Mitra" w:hint="cs"/>
          <w:b/>
          <w:bCs/>
          <w:sz w:val="22"/>
          <w:szCs w:val="22"/>
          <w:rtl/>
        </w:rPr>
        <w:t>. يعني ا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>ن که قانون تحر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>مها سر جا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 خود باق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 است و </w:t>
      </w:r>
      <w:r>
        <w:rPr>
          <w:rFonts w:cs="Mitra" w:hint="cs"/>
          <w:b/>
          <w:bCs/>
          <w:sz w:val="22"/>
          <w:szCs w:val="22"/>
          <w:rtl/>
        </w:rPr>
        <w:t xml:space="preserve"> امر</w:t>
      </w:r>
      <w:r w:rsidR="00B13411">
        <w:rPr>
          <w:rFonts w:cs="Mitra" w:hint="cs"/>
          <w:b/>
          <w:bCs/>
          <w:sz w:val="22"/>
          <w:szCs w:val="22"/>
          <w:rtl/>
        </w:rPr>
        <w:t>ي</w:t>
      </w:r>
      <w:r>
        <w:rPr>
          <w:rFonts w:cs="Mitra" w:hint="cs"/>
          <w:b/>
          <w:bCs/>
          <w:sz w:val="22"/>
          <w:szCs w:val="22"/>
          <w:rtl/>
        </w:rPr>
        <w:t xml:space="preserve">کا </w:t>
      </w:r>
      <w:r w:rsidRPr="008A35FA">
        <w:rPr>
          <w:rFonts w:cs="Mitra" w:hint="cs"/>
          <w:b/>
          <w:bCs/>
          <w:sz w:val="22"/>
          <w:szCs w:val="22"/>
          <w:rtl/>
        </w:rPr>
        <w:t>صرفا اجرا</w:t>
      </w:r>
      <w:r>
        <w:rPr>
          <w:rFonts w:cs="Mitra" w:hint="cs"/>
          <w:b/>
          <w:bCs/>
          <w:sz w:val="22"/>
          <w:szCs w:val="22"/>
          <w:rtl/>
        </w:rPr>
        <w:t>ي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 آن </w:t>
      </w:r>
      <w:r>
        <w:rPr>
          <w:rFonts w:cs="Mitra" w:hint="cs"/>
          <w:b/>
          <w:bCs/>
          <w:sz w:val="22"/>
          <w:szCs w:val="22"/>
          <w:rtl/>
        </w:rPr>
        <w:t xml:space="preserve">را 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متوقف خواهد </w:t>
      </w:r>
      <w:r>
        <w:rPr>
          <w:rFonts w:cs="Mitra" w:hint="cs"/>
          <w:b/>
          <w:bCs/>
          <w:sz w:val="22"/>
          <w:szCs w:val="22"/>
          <w:rtl/>
        </w:rPr>
        <w:t>کرد</w:t>
      </w:r>
      <w:r w:rsidRPr="008A35FA">
        <w:rPr>
          <w:rFonts w:cs="Mitra" w:hint="cs"/>
          <w:b/>
          <w:bCs/>
          <w:sz w:val="22"/>
          <w:szCs w:val="22"/>
          <w:rtl/>
        </w:rPr>
        <w:t xml:space="preserve">. </w:t>
      </w:r>
      <w:r w:rsidRPr="00641B87">
        <w:rPr>
          <w:rFonts w:cs="Mitra" w:hint="cs"/>
          <w:b/>
          <w:bCs/>
          <w:color w:val="000000" w:themeColor="text1"/>
          <w:sz w:val="24"/>
          <w:szCs w:val="24"/>
          <w:highlight w:val="yellow"/>
          <w:rtl/>
        </w:rPr>
        <w:t>بنابراين تحريمها در بهترين حالت تعليق و نه لغو خواهند 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E72"/>
    <w:multiLevelType w:val="hybridMultilevel"/>
    <w:tmpl w:val="C4D4B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53767"/>
    <w:multiLevelType w:val="hybridMultilevel"/>
    <w:tmpl w:val="75604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E7C57"/>
    <w:multiLevelType w:val="hybridMultilevel"/>
    <w:tmpl w:val="1168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EACC32E">
      <w:start w:val="8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EB5"/>
    <w:multiLevelType w:val="hybridMultilevel"/>
    <w:tmpl w:val="D68A0D76"/>
    <w:lvl w:ilvl="0" w:tplc="8DA4341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A11E7"/>
    <w:multiLevelType w:val="hybridMultilevel"/>
    <w:tmpl w:val="EE4685EA"/>
    <w:lvl w:ilvl="0" w:tplc="0A4C545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E38619CC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E5D"/>
    <w:multiLevelType w:val="hybridMultilevel"/>
    <w:tmpl w:val="04A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0564B"/>
    <w:multiLevelType w:val="hybridMultilevel"/>
    <w:tmpl w:val="C4D4B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06041"/>
    <w:multiLevelType w:val="hybridMultilevel"/>
    <w:tmpl w:val="E0DE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96C01"/>
    <w:multiLevelType w:val="hybridMultilevel"/>
    <w:tmpl w:val="41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559F0"/>
    <w:multiLevelType w:val="hybridMultilevel"/>
    <w:tmpl w:val="EE1E8F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5537E5"/>
    <w:multiLevelType w:val="hybridMultilevel"/>
    <w:tmpl w:val="95346146"/>
    <w:lvl w:ilvl="0" w:tplc="0A4C545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A1248"/>
    <w:multiLevelType w:val="hybridMultilevel"/>
    <w:tmpl w:val="EB1E6E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B57900"/>
    <w:multiLevelType w:val="hybridMultilevel"/>
    <w:tmpl w:val="2DE4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626C7"/>
    <w:multiLevelType w:val="hybridMultilevel"/>
    <w:tmpl w:val="1ED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0026AC4">
      <w:start w:val="8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710"/>
    <w:multiLevelType w:val="hybridMultilevel"/>
    <w:tmpl w:val="F1B8B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13082"/>
    <w:multiLevelType w:val="hybridMultilevel"/>
    <w:tmpl w:val="EE1E8F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5"/>
  </w:num>
  <w:num w:numId="6">
    <w:abstractNumId w:val="8"/>
  </w:num>
  <w:num w:numId="7">
    <w:abstractNumId w:val="13"/>
  </w:num>
  <w:num w:numId="8">
    <w:abstractNumId w:val="2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04"/>
    <w:rsid w:val="00091627"/>
    <w:rsid w:val="000E2448"/>
    <w:rsid w:val="001049F7"/>
    <w:rsid w:val="00113315"/>
    <w:rsid w:val="00166136"/>
    <w:rsid w:val="001A78F4"/>
    <w:rsid w:val="001F2984"/>
    <w:rsid w:val="001F6779"/>
    <w:rsid w:val="00233C74"/>
    <w:rsid w:val="00254F53"/>
    <w:rsid w:val="0030154C"/>
    <w:rsid w:val="00307806"/>
    <w:rsid w:val="00307A26"/>
    <w:rsid w:val="00317804"/>
    <w:rsid w:val="003315F0"/>
    <w:rsid w:val="00366DD6"/>
    <w:rsid w:val="00377A89"/>
    <w:rsid w:val="00425D1E"/>
    <w:rsid w:val="00453F82"/>
    <w:rsid w:val="004B5547"/>
    <w:rsid w:val="004F30A8"/>
    <w:rsid w:val="005E299F"/>
    <w:rsid w:val="00612049"/>
    <w:rsid w:val="006308DF"/>
    <w:rsid w:val="00641B87"/>
    <w:rsid w:val="00677A1E"/>
    <w:rsid w:val="006B3378"/>
    <w:rsid w:val="006C5740"/>
    <w:rsid w:val="007A4824"/>
    <w:rsid w:val="007F7152"/>
    <w:rsid w:val="00806BB8"/>
    <w:rsid w:val="00865EB8"/>
    <w:rsid w:val="008A35FA"/>
    <w:rsid w:val="008E3EE6"/>
    <w:rsid w:val="009367E6"/>
    <w:rsid w:val="009B1BE9"/>
    <w:rsid w:val="009D1236"/>
    <w:rsid w:val="009F02A8"/>
    <w:rsid w:val="00A712BE"/>
    <w:rsid w:val="00A863E1"/>
    <w:rsid w:val="00A86C9F"/>
    <w:rsid w:val="00A95B52"/>
    <w:rsid w:val="00AB5D56"/>
    <w:rsid w:val="00AD7368"/>
    <w:rsid w:val="00AE6F97"/>
    <w:rsid w:val="00AF4352"/>
    <w:rsid w:val="00AF58D7"/>
    <w:rsid w:val="00B13411"/>
    <w:rsid w:val="00B92BDF"/>
    <w:rsid w:val="00BA4C42"/>
    <w:rsid w:val="00BC07A2"/>
    <w:rsid w:val="00BE5FD9"/>
    <w:rsid w:val="00BF6BF1"/>
    <w:rsid w:val="00C43C6E"/>
    <w:rsid w:val="00CB2428"/>
    <w:rsid w:val="00D11C04"/>
    <w:rsid w:val="00D5287D"/>
    <w:rsid w:val="00D95ED5"/>
    <w:rsid w:val="00DA7500"/>
    <w:rsid w:val="00DB5130"/>
    <w:rsid w:val="00E51DDA"/>
    <w:rsid w:val="00E560CF"/>
    <w:rsid w:val="00E94ED3"/>
    <w:rsid w:val="00EE4E17"/>
    <w:rsid w:val="00F10681"/>
    <w:rsid w:val="00F13E78"/>
    <w:rsid w:val="00F17838"/>
    <w:rsid w:val="00F77CE8"/>
    <w:rsid w:val="00FB5B16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178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1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04"/>
  </w:style>
  <w:style w:type="paragraph" w:styleId="Footer">
    <w:name w:val="footer"/>
    <w:basedOn w:val="Normal"/>
    <w:link w:val="FooterChar"/>
    <w:uiPriority w:val="99"/>
    <w:unhideWhenUsed/>
    <w:rsid w:val="0031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04"/>
  </w:style>
  <w:style w:type="paragraph" w:styleId="ListParagraph">
    <w:name w:val="List Paragraph"/>
    <w:basedOn w:val="Normal"/>
    <w:uiPriority w:val="34"/>
    <w:qFormat/>
    <w:rsid w:val="00317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F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F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3F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178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1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04"/>
  </w:style>
  <w:style w:type="paragraph" w:styleId="Footer">
    <w:name w:val="footer"/>
    <w:basedOn w:val="Normal"/>
    <w:link w:val="FooterChar"/>
    <w:uiPriority w:val="99"/>
    <w:unhideWhenUsed/>
    <w:rsid w:val="0031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04"/>
  </w:style>
  <w:style w:type="paragraph" w:styleId="ListParagraph">
    <w:name w:val="List Paragraph"/>
    <w:basedOn w:val="Normal"/>
    <w:uiPriority w:val="34"/>
    <w:qFormat/>
    <w:rsid w:val="00317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F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F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3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75BF-D2C8-4272-B5BB-DA5996D2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2015-05-27T16:05:00Z</cp:lastPrinted>
  <dcterms:created xsi:type="dcterms:W3CDTF">2015-05-16T11:22:00Z</dcterms:created>
  <dcterms:modified xsi:type="dcterms:W3CDTF">2015-05-25T00:12:00Z</dcterms:modified>
</cp:coreProperties>
</file>