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670" w:rsidRPr="000840D4" w:rsidRDefault="00E355BC" w:rsidP="009C4993">
      <w:pPr>
        <w:bidi/>
        <w:ind w:firstLine="288"/>
        <w:jc w:val="both"/>
        <w:rPr>
          <w:rFonts w:cs="B Nazanin"/>
          <w:sz w:val="28"/>
          <w:szCs w:val="28"/>
          <w:rtl/>
          <w:lang w:bidi="fa-IR"/>
        </w:rPr>
      </w:pPr>
      <w:r w:rsidRPr="000840D4">
        <w:rPr>
          <w:rFonts w:cs="B Nazanin" w:hint="cs"/>
          <w:sz w:val="28"/>
          <w:szCs w:val="28"/>
          <w:rtl/>
          <w:lang w:bidi="fa-IR"/>
        </w:rPr>
        <w:t>بسم الله الرحمن الرحیم</w:t>
      </w:r>
      <w:bookmarkStart w:id="0" w:name="_GoBack"/>
      <w:bookmarkEnd w:id="0"/>
    </w:p>
    <w:p w:rsidR="00E355BC" w:rsidRPr="000840D4" w:rsidRDefault="00E355BC" w:rsidP="009C4993">
      <w:pPr>
        <w:bidi/>
        <w:ind w:firstLine="288"/>
        <w:jc w:val="both"/>
        <w:rPr>
          <w:rFonts w:cs="B Nazanin"/>
          <w:sz w:val="28"/>
          <w:szCs w:val="28"/>
          <w:rtl/>
          <w:lang w:bidi="fa-IR"/>
        </w:rPr>
      </w:pPr>
      <w:r w:rsidRPr="000840D4">
        <w:rPr>
          <w:rFonts w:cs="B Nazanin" w:hint="cs"/>
          <w:sz w:val="28"/>
          <w:szCs w:val="28"/>
          <w:rtl/>
          <w:lang w:bidi="fa-IR"/>
        </w:rPr>
        <w:t>درس خارج اصول، یکشنبه 01/09/94</w:t>
      </w:r>
    </w:p>
    <w:p w:rsidR="00E355BC" w:rsidRPr="000C4F35" w:rsidRDefault="000264D1" w:rsidP="009C4993">
      <w:pPr>
        <w:bidi/>
        <w:ind w:firstLine="288"/>
        <w:jc w:val="both"/>
        <w:rPr>
          <w:rFonts w:cs="B Titr" w:hint="cs"/>
          <w:color w:val="FF0000"/>
          <w:sz w:val="28"/>
          <w:szCs w:val="28"/>
          <w:rtl/>
          <w:lang w:bidi="fa-IR"/>
        </w:rPr>
      </w:pPr>
      <w:r w:rsidRPr="000C4F35">
        <w:rPr>
          <w:rFonts w:cs="B Titr" w:hint="cs"/>
          <w:color w:val="FF0000"/>
          <w:sz w:val="28"/>
          <w:szCs w:val="28"/>
          <w:rtl/>
          <w:lang w:bidi="fa-IR"/>
        </w:rPr>
        <w:t>مقدمه</w:t>
      </w:r>
    </w:p>
    <w:p w:rsidR="00E355BC" w:rsidRPr="000840D4" w:rsidRDefault="00E355BC" w:rsidP="000264D1">
      <w:pPr>
        <w:bidi/>
        <w:ind w:firstLine="288"/>
        <w:jc w:val="both"/>
        <w:rPr>
          <w:rFonts w:cs="B Nazanin"/>
          <w:sz w:val="28"/>
          <w:szCs w:val="28"/>
          <w:rtl/>
          <w:lang w:bidi="fa-IR"/>
        </w:rPr>
      </w:pPr>
      <w:r w:rsidRPr="000840D4">
        <w:rPr>
          <w:rFonts w:cs="B Nazanin" w:hint="cs"/>
          <w:sz w:val="28"/>
          <w:szCs w:val="28"/>
          <w:rtl/>
          <w:lang w:bidi="fa-IR"/>
        </w:rPr>
        <w:t xml:space="preserve">اصل بحث مشتق همان است که آیا حقیقت در خصوص متلبس است یا اعم از ما انقضی، ما بقی مباحثی که مطرح شده اولا لا طائل تحته می باشند و ثمره ای بر آنها مترتب نیست، ثانیا وقتی دقت می کنیم می بینیم که در نزاعهایی که صاحب کفایه از فصول نقل نموده بیشتر حق با صاحب فصول است نه با آخوند، </w:t>
      </w:r>
      <w:r w:rsidRPr="000C4F35">
        <w:rPr>
          <w:rFonts w:cs="B Nazanin" w:hint="cs"/>
          <w:color w:val="000080"/>
          <w:sz w:val="28"/>
          <w:szCs w:val="28"/>
          <w:rtl/>
          <w:lang w:bidi="fa-IR"/>
        </w:rPr>
        <w:t xml:space="preserve">در منتهی الدرایه مواردی را که مشتق استعمال در متلبس و منقضی شده است را در </w:t>
      </w:r>
      <w:r w:rsidR="000264D1" w:rsidRPr="000C4F35">
        <w:rPr>
          <w:rFonts w:cs="B Nazanin" w:hint="cs"/>
          <w:color w:val="000080"/>
          <w:sz w:val="28"/>
          <w:szCs w:val="28"/>
          <w:rtl/>
          <w:lang w:bidi="fa-IR"/>
        </w:rPr>
        <w:t>فقه</w:t>
      </w:r>
      <w:r w:rsidRPr="000C4F35">
        <w:rPr>
          <w:rFonts w:cs="B Nazanin" w:hint="cs"/>
          <w:color w:val="000080"/>
          <w:sz w:val="28"/>
          <w:szCs w:val="28"/>
          <w:rtl/>
          <w:lang w:bidi="fa-IR"/>
        </w:rPr>
        <w:t xml:space="preserve"> بررسی نموده و چند مورد را ذکر نموده این بحث خوب و به درد بخوری است که همین را ما مطرح می کنیم</w:t>
      </w:r>
      <w:r w:rsidRPr="000840D4">
        <w:rPr>
          <w:rFonts w:cs="B Nazanin" w:hint="cs"/>
          <w:sz w:val="28"/>
          <w:szCs w:val="28"/>
          <w:rtl/>
          <w:lang w:bidi="fa-IR"/>
        </w:rPr>
        <w:t>.</w:t>
      </w:r>
    </w:p>
    <w:p w:rsidR="00E355BC" w:rsidRPr="000C4F35" w:rsidRDefault="00E355BC" w:rsidP="009C4993">
      <w:pPr>
        <w:bidi/>
        <w:ind w:firstLine="288"/>
        <w:jc w:val="both"/>
        <w:rPr>
          <w:rFonts w:cs="B Titr"/>
          <w:color w:val="FF0000"/>
          <w:sz w:val="28"/>
          <w:szCs w:val="28"/>
          <w:rtl/>
          <w:lang w:bidi="fa-IR"/>
        </w:rPr>
      </w:pPr>
      <w:r w:rsidRPr="000C4F35">
        <w:rPr>
          <w:rFonts w:cs="B Titr" w:hint="cs"/>
          <w:color w:val="FF0000"/>
          <w:sz w:val="28"/>
          <w:szCs w:val="28"/>
          <w:rtl/>
          <w:lang w:bidi="fa-IR"/>
        </w:rPr>
        <w:t>موارد ترتب ثمره بر بحث مشتق</w:t>
      </w:r>
    </w:p>
    <w:p w:rsidR="00E355BC" w:rsidRPr="000C4F35" w:rsidRDefault="00E355BC" w:rsidP="009C4993">
      <w:pPr>
        <w:bidi/>
        <w:ind w:firstLine="288"/>
        <w:jc w:val="both"/>
        <w:rPr>
          <w:rFonts w:cs="B Titr"/>
          <w:color w:val="FF0000"/>
          <w:sz w:val="28"/>
          <w:szCs w:val="28"/>
          <w:rtl/>
          <w:lang w:bidi="fa-IR"/>
        </w:rPr>
      </w:pPr>
      <w:r w:rsidRPr="000C4F35">
        <w:rPr>
          <w:rFonts w:cs="B Titr" w:hint="cs"/>
          <w:color w:val="FF0000"/>
          <w:sz w:val="28"/>
          <w:szCs w:val="28"/>
          <w:rtl/>
          <w:lang w:bidi="fa-IR"/>
        </w:rPr>
        <w:t>کراهت بول تحت الشجره</w:t>
      </w:r>
    </w:p>
    <w:p w:rsidR="00E355BC" w:rsidRPr="000840D4" w:rsidRDefault="00E355BC" w:rsidP="009C4993">
      <w:pPr>
        <w:bidi/>
        <w:ind w:firstLine="288"/>
        <w:jc w:val="both"/>
        <w:rPr>
          <w:rFonts w:cs="B Nazanin"/>
          <w:sz w:val="28"/>
          <w:szCs w:val="28"/>
          <w:rtl/>
          <w:lang w:bidi="fa-IR"/>
        </w:rPr>
      </w:pPr>
      <w:r w:rsidRPr="000840D4">
        <w:rPr>
          <w:rFonts w:cs="B Nazanin" w:hint="cs"/>
          <w:sz w:val="28"/>
          <w:szCs w:val="28"/>
          <w:rtl/>
          <w:lang w:bidi="fa-IR"/>
        </w:rPr>
        <w:t>اگر مشتق حقیقت باشد در منقضی کراهت ثابت است ولی اگر حقیقت در خصوص متلبس باشد دیگر کراهتش ثابت نیست، اینگونه آقایان نقل کرده اند لکن آقای مروج اینجا اشکالی وارد می کنند و می گویند که ممکن است تلبّس از نوع ملکه باشد، در این صورت اگر در غیر فصل اثمارش هم باشد باز هم کراهت ثابت است ولو اینکه بالفعل ثمری ندارد، چه زمانی انقضاء بر او صدق می کند؟ زمان انقضاء ملکه.</w:t>
      </w:r>
    </w:p>
    <w:p w:rsidR="00E355BC" w:rsidRPr="000840D4" w:rsidRDefault="00E355BC" w:rsidP="009C4993">
      <w:pPr>
        <w:bidi/>
        <w:ind w:firstLine="288"/>
        <w:jc w:val="both"/>
        <w:rPr>
          <w:rFonts w:cs="B Nazanin"/>
          <w:sz w:val="28"/>
          <w:szCs w:val="28"/>
          <w:rtl/>
          <w:lang w:bidi="fa-IR"/>
        </w:rPr>
      </w:pPr>
      <w:r w:rsidRPr="000840D4">
        <w:rPr>
          <w:rFonts w:cs="B Nazanin" w:hint="cs"/>
          <w:sz w:val="28"/>
          <w:szCs w:val="28"/>
          <w:rtl/>
          <w:lang w:bidi="fa-IR"/>
        </w:rPr>
        <w:t xml:space="preserve">ظاهر عبارات فقها همان اولی است اما ایشان به نظر دوم تمایل دارند، به نظر ما هم حق با ایشان است، </w:t>
      </w:r>
      <w:r w:rsidR="006400D8" w:rsidRPr="000840D4">
        <w:rPr>
          <w:rFonts w:cs="B Nazanin" w:hint="cs"/>
          <w:sz w:val="28"/>
          <w:szCs w:val="28"/>
          <w:rtl/>
          <w:lang w:bidi="fa-IR"/>
        </w:rPr>
        <w:t>کسی که بول بکند یا تغوط بکند تحت درخت مثمره آثار تبول و تغوطش باقی می ماند تا مدتها، بلافاصله از بین نمی رود و استحاله شدنش زمان بر است، شاید حتی بیش از یک سال، لذا این آلودگی تا فصل اثمار باقی می ماند، لذا رعایت بهداشت برای درختان مثمره با اراده ملکه اثمار تناسب دارد نه با اراده فعلیّت اثمار، اگر بناست رعایت بهداشت بشود تا زمانی که درخت ملکه اثمار را دارد باید از تغوط و تبول تحت آن پرهیز نمود.</w:t>
      </w:r>
      <w:r w:rsidR="009C4993" w:rsidRPr="000840D4">
        <w:rPr>
          <w:rFonts w:cs="B Nazanin" w:hint="cs"/>
          <w:sz w:val="28"/>
          <w:szCs w:val="28"/>
          <w:rtl/>
          <w:lang w:bidi="fa-IR"/>
        </w:rPr>
        <w:t xml:space="preserve"> این مناسبت حکم و موضوع در نظر عرف است که از قرائن معروفه است، حکم قرینه می شود برای تشخیص موضوع.</w:t>
      </w:r>
    </w:p>
    <w:p w:rsidR="009C4993" w:rsidRPr="000840D4" w:rsidRDefault="009C4993" w:rsidP="009C4993">
      <w:pPr>
        <w:bidi/>
        <w:ind w:firstLine="288"/>
        <w:jc w:val="both"/>
        <w:rPr>
          <w:rFonts w:cs="B Nazanin"/>
          <w:sz w:val="28"/>
          <w:szCs w:val="28"/>
          <w:rtl/>
          <w:lang w:bidi="fa-IR"/>
        </w:rPr>
      </w:pPr>
      <w:r w:rsidRPr="000C4F35">
        <w:rPr>
          <w:rFonts w:cs="B Nazanin" w:hint="cs"/>
          <w:color w:val="000080"/>
          <w:sz w:val="28"/>
          <w:szCs w:val="28"/>
          <w:rtl/>
          <w:lang w:bidi="fa-IR"/>
        </w:rPr>
        <w:t>آقای مروج اشاره به روایات هم نموده اند</w:t>
      </w:r>
      <w:r w:rsidRPr="000840D4">
        <w:rPr>
          <w:rFonts w:cs="B Nazanin" w:hint="cs"/>
          <w:sz w:val="28"/>
          <w:szCs w:val="28"/>
          <w:rtl/>
          <w:lang w:bidi="fa-IR"/>
        </w:rPr>
        <w:t xml:space="preserve"> و می فرمایند ظهور بدوی روایات همان تلبس بالفعل است، یکی روایت حسین بن زید است عن الصادق علیه السلام، عن ابیه عن آبائه عن امیرالمومنین علیهم السلام فی حدیث المناهی، این حدیثی است که پیامبر اکرم اسلام از یک چیزهایی نهی نمود که در برخی کتب تا چهارصد مورد هم می رسد، از جمله </w:t>
      </w:r>
      <w:r w:rsidR="00F263A2" w:rsidRPr="000840D4">
        <w:rPr>
          <w:rFonts w:cs="B Nazanin" w:hint="cs"/>
          <w:sz w:val="28"/>
          <w:szCs w:val="28"/>
          <w:rtl/>
          <w:lang w:bidi="fa-IR"/>
        </w:rPr>
        <w:t>مناهی این است که «</w:t>
      </w:r>
      <w:r w:rsidR="00F263A2" w:rsidRPr="000C4F35">
        <w:rPr>
          <w:rFonts w:cs="B Nazanin" w:hint="cs"/>
          <w:color w:val="008000"/>
          <w:sz w:val="28"/>
          <w:szCs w:val="28"/>
          <w:rtl/>
          <w:lang w:bidi="fa-IR"/>
        </w:rPr>
        <w:t>نهی رسول الله صلّی الله علیه و آله ان یبول تحت الشجره المثمره</w:t>
      </w:r>
      <w:r w:rsidR="00F263A2" w:rsidRPr="000840D4">
        <w:rPr>
          <w:rFonts w:cs="B Nazanin" w:hint="cs"/>
          <w:sz w:val="28"/>
          <w:szCs w:val="28"/>
          <w:rtl/>
          <w:lang w:bidi="fa-IR"/>
        </w:rPr>
        <w:t>»</w:t>
      </w:r>
    </w:p>
    <w:p w:rsidR="00F263A2" w:rsidRPr="000840D4" w:rsidRDefault="00F263A2" w:rsidP="00F263A2">
      <w:pPr>
        <w:bidi/>
        <w:ind w:firstLine="288"/>
        <w:jc w:val="both"/>
        <w:rPr>
          <w:rFonts w:cs="B Nazanin"/>
          <w:sz w:val="28"/>
          <w:szCs w:val="28"/>
          <w:rtl/>
          <w:lang w:bidi="fa-IR"/>
        </w:rPr>
      </w:pPr>
      <w:r w:rsidRPr="000840D4">
        <w:rPr>
          <w:rFonts w:cs="B Nazanin" w:hint="cs"/>
          <w:sz w:val="28"/>
          <w:szCs w:val="28"/>
          <w:rtl/>
          <w:lang w:bidi="fa-IR"/>
        </w:rPr>
        <w:lastRenderedPageBreak/>
        <w:t>در حدیث دیگری از رسول اکرم اسلام نقل می کنند که «</w:t>
      </w:r>
      <w:r w:rsidRPr="000C4F35">
        <w:rPr>
          <w:rFonts w:cs="B Nazanin" w:hint="cs"/>
          <w:color w:val="008000"/>
          <w:sz w:val="28"/>
          <w:szCs w:val="28"/>
          <w:rtl/>
          <w:lang w:bidi="fa-IR"/>
        </w:rPr>
        <w:t>کره ان یُحدث الرجل تحت شجره مثمره قد اینعت</w:t>
      </w:r>
      <w:r w:rsidRPr="000840D4">
        <w:rPr>
          <w:rFonts w:cs="B Nazanin" w:hint="cs"/>
          <w:sz w:val="28"/>
          <w:szCs w:val="28"/>
          <w:rtl/>
          <w:lang w:bidi="fa-IR"/>
        </w:rPr>
        <w:t>» یعنی میوه اش رسیده و فصل میوه دادنش باشد. آقای مروج معنی کرده اینعت را به اثمرت لکن به نظر ما این کافی نیست، بلکه به معنای رسیدن میوه ها می باشد.</w:t>
      </w:r>
    </w:p>
    <w:p w:rsidR="00F263A2" w:rsidRPr="000840D4" w:rsidRDefault="00F263A2" w:rsidP="0030512C">
      <w:pPr>
        <w:bidi/>
        <w:ind w:firstLine="288"/>
        <w:jc w:val="both"/>
        <w:rPr>
          <w:rFonts w:cs="B Nazanin"/>
          <w:sz w:val="28"/>
          <w:szCs w:val="28"/>
          <w:rtl/>
          <w:lang w:bidi="fa-IR"/>
        </w:rPr>
      </w:pPr>
      <w:r w:rsidRPr="000840D4">
        <w:rPr>
          <w:rFonts w:cs="B Nazanin" w:hint="cs"/>
          <w:sz w:val="28"/>
          <w:szCs w:val="28"/>
          <w:rtl/>
          <w:lang w:bidi="fa-IR"/>
        </w:rPr>
        <w:t xml:space="preserve">روایت بعدی مرفوعه علی ابن ابراهیم </w:t>
      </w:r>
      <w:r w:rsidR="0030512C" w:rsidRPr="000840D4">
        <w:rPr>
          <w:rFonts w:cs="B Nazanin" w:hint="cs"/>
          <w:sz w:val="28"/>
          <w:szCs w:val="28"/>
          <w:rtl/>
          <w:lang w:bidi="fa-IR"/>
        </w:rPr>
        <w:t xml:space="preserve">است، این روایت در این باره است که یک روز ابوحنیفه از محضر بارک امام صادق علیه السلام خارج می شد که امام کاظم علیه السلام را می بیند در حالی که امام نوجوان بودند سوالاتی می پرسد و امام جواب او را می دهند، </w:t>
      </w:r>
      <w:r w:rsidRPr="000840D4">
        <w:rPr>
          <w:rFonts w:cs="B Nazanin" w:hint="cs"/>
          <w:sz w:val="28"/>
          <w:szCs w:val="28"/>
          <w:rtl/>
          <w:lang w:bidi="fa-IR"/>
        </w:rPr>
        <w:t xml:space="preserve">قال خرج ابو حنیفه من عند ابی عبد الله، و ابو الحسن موسی قائم و هو غلام، فقال له ابو حنیفه یا غلام این یضع الغریب ببلدکم؟ (منظور از یضع قضای حاجت است) حضرت فرمود </w:t>
      </w:r>
      <w:r w:rsidR="000C4F35">
        <w:rPr>
          <w:rFonts w:cs="B Nazanin" w:hint="cs"/>
          <w:sz w:val="28"/>
          <w:szCs w:val="28"/>
          <w:rtl/>
          <w:lang w:bidi="fa-IR"/>
        </w:rPr>
        <w:t>«</w:t>
      </w:r>
      <w:r w:rsidRPr="000C4F35">
        <w:rPr>
          <w:rFonts w:cs="B Nazanin" w:hint="cs"/>
          <w:color w:val="008000"/>
          <w:sz w:val="28"/>
          <w:szCs w:val="28"/>
          <w:rtl/>
          <w:lang w:bidi="fa-IR"/>
        </w:rPr>
        <w:t>اجتنب افنیه المساجد(یعنی اطراف درب مساجد) و شطوط الانهار(ساحل نهر ها) و مساقط الثمار</w:t>
      </w:r>
      <w:r w:rsidRPr="000840D4">
        <w:rPr>
          <w:rFonts w:cs="B Nazanin" w:hint="cs"/>
          <w:sz w:val="28"/>
          <w:szCs w:val="28"/>
          <w:rtl/>
          <w:lang w:bidi="fa-IR"/>
        </w:rPr>
        <w:t xml:space="preserve">» یعنی آنجا که میوه درختان می افتد، </w:t>
      </w:r>
      <w:r w:rsidR="0030512C" w:rsidRPr="000840D4">
        <w:rPr>
          <w:rFonts w:cs="B Nazanin" w:hint="cs"/>
          <w:sz w:val="28"/>
          <w:szCs w:val="28"/>
          <w:rtl/>
          <w:lang w:bidi="fa-IR"/>
        </w:rPr>
        <w:t>آن حدودی از درخت مثمره که احتمال سقوط میوه اش به آنجا می رود، چه الان میوه باشد چه نباشد، از آن محدوده باید اجتناب تمود، «</w:t>
      </w:r>
      <w:r w:rsidR="0030512C" w:rsidRPr="000C4F35">
        <w:rPr>
          <w:rFonts w:cs="B Nazanin" w:hint="cs"/>
          <w:color w:val="008000"/>
          <w:sz w:val="28"/>
          <w:szCs w:val="28"/>
          <w:rtl/>
          <w:lang w:bidi="fa-IR"/>
        </w:rPr>
        <w:t>و منازل النزال</w:t>
      </w:r>
      <w:r w:rsidR="0030512C" w:rsidRPr="000840D4">
        <w:rPr>
          <w:rFonts w:cs="B Nazanin" w:hint="cs"/>
          <w:sz w:val="28"/>
          <w:szCs w:val="28"/>
          <w:rtl/>
          <w:lang w:bidi="fa-IR"/>
        </w:rPr>
        <w:t>» یعنی بار انداز قافله ها که قافله رحل اقامت می اندازد، الحدیث اینها موارد لعن است که همین قدرش محل بحث ما می باشد.</w:t>
      </w:r>
    </w:p>
    <w:p w:rsidR="006400D8" w:rsidRPr="000840D4" w:rsidRDefault="008903FE" w:rsidP="008903FE">
      <w:pPr>
        <w:bidi/>
        <w:ind w:firstLine="288"/>
        <w:jc w:val="both"/>
        <w:rPr>
          <w:rFonts w:cs="B Nazanin"/>
          <w:sz w:val="28"/>
          <w:szCs w:val="28"/>
          <w:rtl/>
          <w:lang w:bidi="fa-IR"/>
        </w:rPr>
      </w:pPr>
      <w:r w:rsidRPr="000840D4">
        <w:rPr>
          <w:rFonts w:cs="B Nazanin" w:hint="cs"/>
          <w:sz w:val="28"/>
          <w:szCs w:val="28"/>
          <w:rtl/>
          <w:lang w:bidi="fa-IR"/>
        </w:rPr>
        <w:t>سپس آقای مروج روایاتی را نقل می کنند که تصریح دیگری دارد، مثلا در خبر سکونی آمده «</w:t>
      </w:r>
      <w:r w:rsidRPr="000C4F35">
        <w:rPr>
          <w:rFonts w:cs="B Nazanin" w:hint="cs"/>
          <w:color w:val="008000"/>
          <w:sz w:val="28"/>
          <w:szCs w:val="28"/>
          <w:rtl/>
          <w:lang w:bidi="fa-IR"/>
        </w:rPr>
        <w:t>او تحت شجره فیها ثمره</w:t>
      </w:r>
      <w:r w:rsidRPr="000840D4">
        <w:rPr>
          <w:rFonts w:cs="B Nazanin" w:hint="cs"/>
          <w:sz w:val="28"/>
          <w:szCs w:val="28"/>
          <w:rtl/>
          <w:lang w:bidi="fa-IR"/>
        </w:rPr>
        <w:t>» یا در روایت دیگری که در علل از آقا امام باقر نقل نموده اند که «</w:t>
      </w:r>
      <w:r w:rsidRPr="000C4F35">
        <w:rPr>
          <w:rFonts w:cs="B Nazanin" w:hint="cs"/>
          <w:color w:val="008000"/>
          <w:sz w:val="28"/>
          <w:szCs w:val="28"/>
          <w:rtl/>
          <w:lang w:bidi="fa-IR"/>
        </w:rPr>
        <w:t>انما نهی رسول الله صلّی الله علیه و آله ان یضرب احد المسلمین خلائا تحت شجره او نخله قد اثمرت لمکان الملائکه الموکلین یها</w:t>
      </w:r>
      <w:r w:rsidR="00A8148D" w:rsidRPr="000C4F35">
        <w:rPr>
          <w:rFonts w:cs="B Nazanin" w:hint="cs"/>
          <w:color w:val="008000"/>
          <w:sz w:val="28"/>
          <w:szCs w:val="28"/>
          <w:rtl/>
          <w:lang w:bidi="fa-IR"/>
        </w:rPr>
        <w:t>، قال و لذلک انیسا اذا که فیه حمله(بار و میوه اش) لان الملائکه تحضره</w:t>
      </w:r>
      <w:r w:rsidRPr="000840D4">
        <w:rPr>
          <w:rFonts w:cs="B Nazanin" w:hint="cs"/>
          <w:sz w:val="28"/>
          <w:szCs w:val="28"/>
          <w:rtl/>
          <w:lang w:bidi="fa-IR"/>
        </w:rPr>
        <w:t>»</w:t>
      </w:r>
    </w:p>
    <w:p w:rsidR="00A8148D" w:rsidRPr="000840D4" w:rsidRDefault="00A8148D" w:rsidP="00A8148D">
      <w:pPr>
        <w:bidi/>
        <w:ind w:firstLine="288"/>
        <w:jc w:val="both"/>
        <w:rPr>
          <w:rFonts w:cs="B Nazanin"/>
          <w:sz w:val="28"/>
          <w:szCs w:val="28"/>
          <w:rtl/>
          <w:lang w:bidi="fa-IR"/>
        </w:rPr>
      </w:pPr>
      <w:r w:rsidRPr="000840D4">
        <w:rPr>
          <w:rFonts w:cs="B Nazanin" w:hint="cs"/>
          <w:sz w:val="28"/>
          <w:szCs w:val="28"/>
          <w:rtl/>
          <w:lang w:bidi="fa-IR"/>
        </w:rPr>
        <w:t>همه این روایات را که سر هم بگذاریم ظهور در فعلیت پیدا می کند لذا از آن قرینه ای که گفتیم باید صرف نظر بکنیم و ارجح همان تلبّس بالفعل است نه بالملکه.</w:t>
      </w:r>
      <w:r w:rsidR="000C4F35">
        <w:rPr>
          <w:rStyle w:val="FootnoteReference"/>
          <w:rFonts w:cs="B Nazanin"/>
          <w:sz w:val="28"/>
          <w:szCs w:val="28"/>
          <w:rtl/>
          <w:lang w:bidi="fa-IR"/>
        </w:rPr>
        <w:footnoteReference w:id="1"/>
      </w:r>
    </w:p>
    <w:p w:rsidR="00A8148D" w:rsidRPr="000C4F35" w:rsidRDefault="00A8148D" w:rsidP="00A8148D">
      <w:pPr>
        <w:bidi/>
        <w:ind w:firstLine="288"/>
        <w:jc w:val="both"/>
        <w:rPr>
          <w:rFonts w:cs="B Titr"/>
          <w:color w:val="FF0000"/>
          <w:sz w:val="28"/>
          <w:szCs w:val="28"/>
          <w:rtl/>
          <w:lang w:bidi="fa-IR"/>
        </w:rPr>
      </w:pPr>
      <w:r w:rsidRPr="000C4F35">
        <w:rPr>
          <w:rFonts w:cs="B Titr" w:hint="cs"/>
          <w:color w:val="FF0000"/>
          <w:sz w:val="28"/>
          <w:szCs w:val="28"/>
          <w:rtl/>
          <w:lang w:bidi="fa-IR"/>
        </w:rPr>
        <w:t>کراهت الوضوء و الغسل بالماء المُشمَّس</w:t>
      </w:r>
    </w:p>
    <w:p w:rsidR="00A8148D" w:rsidRPr="000840D4" w:rsidRDefault="00A8148D" w:rsidP="00A8148D">
      <w:pPr>
        <w:bidi/>
        <w:ind w:firstLine="288"/>
        <w:jc w:val="both"/>
        <w:rPr>
          <w:rFonts w:cs="B Nazanin"/>
          <w:sz w:val="28"/>
          <w:szCs w:val="28"/>
          <w:rtl/>
          <w:lang w:bidi="fa-IR"/>
        </w:rPr>
      </w:pPr>
      <w:r w:rsidRPr="000840D4">
        <w:rPr>
          <w:rFonts w:cs="B Nazanin" w:hint="cs"/>
          <w:sz w:val="28"/>
          <w:szCs w:val="28"/>
          <w:rtl/>
          <w:lang w:bidi="fa-IR"/>
        </w:rPr>
        <w:t>آبی که گرم شه به واسطه آفتاب، بحث بر سر این است که این آبی که مسخّن بالشمس اگر شب خنک شد، آیا هنوز هم وضو و غسل با آن کراهت دارد؟ اگر قائل به تلبس شدیم دیگر کراهتی ندارد ولی اگ اعمی شدیم کراهتش باقی است.</w:t>
      </w:r>
    </w:p>
    <w:p w:rsidR="00A8148D" w:rsidRPr="000840D4" w:rsidRDefault="00A8148D" w:rsidP="00A8148D">
      <w:pPr>
        <w:bidi/>
        <w:ind w:firstLine="288"/>
        <w:jc w:val="both"/>
        <w:rPr>
          <w:rFonts w:cs="B Nazanin"/>
          <w:sz w:val="28"/>
          <w:szCs w:val="28"/>
          <w:rtl/>
          <w:lang w:bidi="fa-IR"/>
        </w:rPr>
      </w:pPr>
      <w:r w:rsidRPr="000840D4">
        <w:rPr>
          <w:rFonts w:cs="B Nazanin" w:hint="cs"/>
          <w:sz w:val="28"/>
          <w:szCs w:val="28"/>
          <w:rtl/>
          <w:lang w:bidi="fa-IR"/>
        </w:rPr>
        <w:t>چرا این آب کراهت دارد؟ عایشه برای غسل آب را در آفتاب قرار می داد تا گرم بشود، پیامبر اکرم صلّی الله علیه و آله به عایشه فرمودند «</w:t>
      </w:r>
      <w:r w:rsidRPr="000C4F35">
        <w:rPr>
          <w:rFonts w:cs="B Nazanin" w:hint="cs"/>
          <w:color w:val="008000"/>
          <w:sz w:val="28"/>
          <w:szCs w:val="28"/>
          <w:rtl/>
          <w:lang w:bidi="fa-IR"/>
        </w:rPr>
        <w:t>لا تعودی لمثل هذا فانها تورث البرص</w:t>
      </w:r>
      <w:r w:rsidRPr="000840D4">
        <w:rPr>
          <w:rFonts w:cs="B Nazanin" w:hint="cs"/>
          <w:sz w:val="28"/>
          <w:szCs w:val="28"/>
          <w:rtl/>
          <w:lang w:bidi="fa-IR"/>
        </w:rPr>
        <w:t>»</w:t>
      </w:r>
      <w:r w:rsidR="000C4F35">
        <w:rPr>
          <w:rStyle w:val="FootnoteReference"/>
          <w:rFonts w:cs="B Nazanin"/>
          <w:sz w:val="28"/>
          <w:szCs w:val="28"/>
          <w:rtl/>
          <w:lang w:bidi="fa-IR"/>
        </w:rPr>
        <w:footnoteReference w:id="2"/>
      </w:r>
    </w:p>
    <w:p w:rsidR="00A8148D" w:rsidRPr="000C4F35" w:rsidRDefault="00A8148D" w:rsidP="00A8148D">
      <w:pPr>
        <w:bidi/>
        <w:ind w:firstLine="288"/>
        <w:jc w:val="both"/>
        <w:rPr>
          <w:rFonts w:cs="B Titr"/>
          <w:color w:val="FF0000"/>
          <w:sz w:val="28"/>
          <w:szCs w:val="28"/>
          <w:rtl/>
          <w:lang w:bidi="fa-IR"/>
        </w:rPr>
      </w:pPr>
      <w:r w:rsidRPr="000C4F35">
        <w:rPr>
          <w:rFonts w:cs="B Titr" w:hint="cs"/>
          <w:color w:val="FF0000"/>
          <w:sz w:val="28"/>
          <w:szCs w:val="28"/>
          <w:rtl/>
          <w:lang w:bidi="fa-IR"/>
        </w:rPr>
        <w:t>ما اذا جعل عنوان خاص موقوفا علیه</w:t>
      </w:r>
    </w:p>
    <w:p w:rsidR="00A8148D" w:rsidRPr="000840D4" w:rsidRDefault="00A8148D" w:rsidP="00A8148D">
      <w:pPr>
        <w:bidi/>
        <w:ind w:firstLine="288"/>
        <w:jc w:val="both"/>
        <w:rPr>
          <w:rFonts w:cs="B Nazanin"/>
          <w:sz w:val="28"/>
          <w:szCs w:val="28"/>
          <w:rtl/>
          <w:lang w:bidi="fa-IR"/>
        </w:rPr>
      </w:pPr>
      <w:r w:rsidRPr="000840D4">
        <w:rPr>
          <w:rFonts w:cs="B Nazanin" w:hint="cs"/>
          <w:sz w:val="28"/>
          <w:szCs w:val="28"/>
          <w:rtl/>
          <w:lang w:bidi="fa-IR"/>
        </w:rPr>
        <w:lastRenderedPageBreak/>
        <w:t>یک عنوان مشتقی داشتیم که موقوف علیه واقع شد، مثلا باغی وقف شده برای عنوان فقرا، یا محلی وقف شده برای عنوان غرباء، اگر کسی در گذشته غریب بود اما الان دیگر غریب نیست آیا می تواند از آن محل استفاده بکند؟ یا الان دیگر فقیر نیست آیا می تواند از آن باغ استفاده بکند؟ اگر اعمی بشویم باید بگوییم می شود البته قطعا از نظر فقهی مسئله مشخص است و اختلافی هم نیست که نمی تواند استفاده بکند.</w:t>
      </w:r>
      <w:r w:rsidR="000C4F35" w:rsidRPr="000C4F35">
        <w:rPr>
          <w:rStyle w:val="FootnoteReference"/>
          <w:rFonts w:cs="B Nazanin"/>
          <w:sz w:val="28"/>
          <w:szCs w:val="28"/>
          <w:rtl/>
          <w:lang w:bidi="fa-IR"/>
        </w:rPr>
        <w:t xml:space="preserve"> </w:t>
      </w:r>
      <w:r w:rsidR="000C4F35">
        <w:rPr>
          <w:rStyle w:val="FootnoteReference"/>
          <w:rFonts w:cs="B Nazanin"/>
          <w:sz w:val="28"/>
          <w:szCs w:val="28"/>
          <w:rtl/>
          <w:lang w:bidi="fa-IR"/>
        </w:rPr>
        <w:footnoteReference w:id="3"/>
      </w:r>
    </w:p>
    <w:p w:rsidR="00A8148D" w:rsidRPr="000C4F35" w:rsidRDefault="004D707F" w:rsidP="00A8148D">
      <w:pPr>
        <w:bidi/>
        <w:ind w:firstLine="288"/>
        <w:jc w:val="both"/>
        <w:rPr>
          <w:rFonts w:cs="B Titr"/>
          <w:color w:val="FF0000"/>
          <w:sz w:val="28"/>
          <w:szCs w:val="28"/>
          <w:rtl/>
          <w:lang w:bidi="fa-IR"/>
        </w:rPr>
      </w:pPr>
      <w:r w:rsidRPr="000C4F35">
        <w:rPr>
          <w:rFonts w:cs="B Titr" w:hint="cs"/>
          <w:color w:val="FF0000"/>
          <w:sz w:val="28"/>
          <w:szCs w:val="28"/>
          <w:rtl/>
          <w:lang w:bidi="fa-IR"/>
        </w:rPr>
        <w:t>رابعها عنوان الجلّال</w:t>
      </w:r>
    </w:p>
    <w:p w:rsidR="004D707F" w:rsidRPr="000840D4" w:rsidRDefault="004D707F" w:rsidP="000C4F35">
      <w:pPr>
        <w:bidi/>
        <w:ind w:firstLine="288"/>
        <w:jc w:val="both"/>
        <w:rPr>
          <w:rFonts w:cs="B Nazanin"/>
          <w:sz w:val="28"/>
          <w:szCs w:val="28"/>
          <w:rtl/>
          <w:lang w:bidi="fa-IR"/>
        </w:rPr>
      </w:pPr>
      <w:r w:rsidRPr="000840D4">
        <w:rPr>
          <w:rFonts w:cs="B Nazanin" w:hint="cs"/>
          <w:sz w:val="28"/>
          <w:szCs w:val="28"/>
          <w:rtl/>
          <w:lang w:bidi="fa-IR"/>
        </w:rPr>
        <w:t xml:space="preserve">یکی از نجاسات خُرء حیوانی است که نجاست خوار بشود، مثلا مرغی که غذایش نجاست انسان باشد هم گوشتش حرام می شود و هم فضله اش نجس می شود، این جلّال موضوع است برای متلبس، یعنی ما دام الجَلَل، انقضای این تلبّس هم به عروضِ مطهِّر است و مُطهِّرش هم استبراء است، هر حیوانی هم استبراء خاص خود را دارد مثلا استبراء مرغ و خروس </w:t>
      </w:r>
      <w:r w:rsidR="000C4F35">
        <w:rPr>
          <w:rFonts w:cs="B Nazanin" w:hint="cs"/>
          <w:sz w:val="28"/>
          <w:szCs w:val="28"/>
          <w:rtl/>
          <w:lang w:bidi="fa-IR"/>
        </w:rPr>
        <w:t>سه</w:t>
      </w:r>
      <w:r w:rsidRPr="000840D4">
        <w:rPr>
          <w:rFonts w:cs="B Nazanin" w:hint="cs"/>
          <w:sz w:val="28"/>
          <w:szCs w:val="28"/>
          <w:rtl/>
          <w:lang w:bidi="fa-IR"/>
        </w:rPr>
        <w:t xml:space="preserve"> روز  است، بطی که قدری بزرگتر است پنج روز است، گاو یک ماه است و هکذا.</w:t>
      </w:r>
    </w:p>
    <w:p w:rsidR="004D707F" w:rsidRPr="000840D4" w:rsidRDefault="004D707F" w:rsidP="004D707F">
      <w:pPr>
        <w:bidi/>
        <w:ind w:firstLine="288"/>
        <w:jc w:val="both"/>
        <w:rPr>
          <w:rFonts w:cs="B Nazanin"/>
          <w:sz w:val="28"/>
          <w:szCs w:val="28"/>
          <w:rtl/>
          <w:lang w:bidi="fa-IR"/>
        </w:rPr>
      </w:pPr>
      <w:r w:rsidRPr="000840D4">
        <w:rPr>
          <w:rFonts w:cs="B Nazanin" w:hint="cs"/>
          <w:sz w:val="28"/>
          <w:szCs w:val="28"/>
          <w:rtl/>
          <w:lang w:bidi="fa-IR"/>
        </w:rPr>
        <w:t>این مثال بیشتر وفق به این دارد که مشتق اعم از منقضی باشد، چرا؟ زیرا تا زمانی که مُطهِّر نیامده حکم جلّال بر سر او جاری است ولو اینکه سالها از دوران جلَل او بگذرد، پس حتی اگر مدها از زمان تلبس او هم گذرد باز هم محکوم به حکم جَلَل است تا زمانی که مطهرش فرا برسد، لکن این صحیح نیست چرا؟ زیرا این هم از مقوله همان احکامی است که صرف حدوث عنوان برای بقاء حکم کفایت می کند مانند ملاقات النجاسه که حدوثش کافی است برای بقاء حکم.</w:t>
      </w:r>
      <w:r w:rsidR="000C4F35" w:rsidRPr="000C4F35">
        <w:rPr>
          <w:rStyle w:val="FootnoteReference"/>
          <w:rFonts w:cs="B Nazanin"/>
          <w:sz w:val="28"/>
          <w:szCs w:val="28"/>
          <w:rtl/>
          <w:lang w:bidi="fa-IR"/>
        </w:rPr>
        <w:t xml:space="preserve"> </w:t>
      </w:r>
      <w:r w:rsidR="000C4F35">
        <w:rPr>
          <w:rStyle w:val="FootnoteReference"/>
          <w:rFonts w:cs="B Nazanin"/>
          <w:sz w:val="28"/>
          <w:szCs w:val="28"/>
          <w:rtl/>
          <w:lang w:bidi="fa-IR"/>
        </w:rPr>
        <w:footnoteReference w:id="4"/>
      </w:r>
    </w:p>
    <w:p w:rsidR="004D707F" w:rsidRPr="000C4F35" w:rsidRDefault="004D707F" w:rsidP="004D707F">
      <w:pPr>
        <w:bidi/>
        <w:ind w:firstLine="288"/>
        <w:jc w:val="both"/>
        <w:rPr>
          <w:rFonts w:cs="B Titr"/>
          <w:color w:val="FF0000"/>
          <w:sz w:val="28"/>
          <w:szCs w:val="28"/>
          <w:rtl/>
          <w:lang w:bidi="fa-IR"/>
        </w:rPr>
      </w:pPr>
      <w:r w:rsidRPr="000C4F35">
        <w:rPr>
          <w:rFonts w:cs="B Titr" w:hint="cs"/>
          <w:color w:val="FF0000"/>
          <w:sz w:val="28"/>
          <w:szCs w:val="28"/>
          <w:rtl/>
          <w:lang w:bidi="fa-IR"/>
        </w:rPr>
        <w:t>خامسها الدار اللتی یشتیها المُکتسِب فی اثناء سنه الاکتساب لسکنی</w:t>
      </w:r>
    </w:p>
    <w:p w:rsidR="004D707F" w:rsidRPr="000840D4" w:rsidRDefault="004D707F" w:rsidP="004D707F">
      <w:pPr>
        <w:bidi/>
        <w:ind w:firstLine="288"/>
        <w:jc w:val="both"/>
        <w:rPr>
          <w:rFonts w:cs="B Nazanin"/>
          <w:sz w:val="28"/>
          <w:szCs w:val="28"/>
          <w:rtl/>
          <w:lang w:bidi="fa-IR"/>
        </w:rPr>
      </w:pPr>
      <w:r w:rsidRPr="000840D4">
        <w:rPr>
          <w:rFonts w:cs="B Nazanin" w:hint="cs"/>
          <w:sz w:val="28"/>
          <w:szCs w:val="28"/>
          <w:rtl/>
          <w:lang w:bidi="fa-IR"/>
        </w:rPr>
        <w:t>هر چیزی که در دوره ای مئونه باشه چه خانه و چه غیر خانه دیگر خمس ندارد، اما زمانی که عنوان مئونه بودن از آن منقضی شد آیا باز هم مستثنی از خمس است؟ بحث مشتق پیش می آید، اگر گفتیم مشتق وضع برای خصوص متلبس شده</w:t>
      </w:r>
      <w:r w:rsidR="00A83B8E" w:rsidRPr="000840D4">
        <w:rPr>
          <w:rFonts w:cs="B Nazanin" w:hint="cs"/>
          <w:sz w:val="28"/>
          <w:szCs w:val="28"/>
          <w:rtl/>
          <w:lang w:bidi="fa-IR"/>
        </w:rPr>
        <w:t xml:space="preserve"> الان دیگر مئونه نیست و باید خمسش را بپردازد، اما اگر قائل به اعم شدیم عنوان مئونه بر او جاری است و دیگر خمس ندارد.</w:t>
      </w:r>
    </w:p>
    <w:p w:rsidR="00A83B8E" w:rsidRPr="000840D4" w:rsidRDefault="00A83B8E" w:rsidP="00A83B8E">
      <w:pPr>
        <w:bidi/>
        <w:ind w:firstLine="288"/>
        <w:jc w:val="both"/>
        <w:rPr>
          <w:rFonts w:cs="B Nazanin"/>
          <w:sz w:val="28"/>
          <w:szCs w:val="28"/>
          <w:rtl/>
          <w:lang w:bidi="fa-IR"/>
        </w:rPr>
      </w:pPr>
      <w:r w:rsidRPr="000C4F35">
        <w:rPr>
          <w:rFonts w:cs="B Nazanin" w:hint="cs"/>
          <w:color w:val="000080"/>
          <w:sz w:val="28"/>
          <w:szCs w:val="28"/>
          <w:rtl/>
          <w:lang w:bidi="fa-IR"/>
        </w:rPr>
        <w:t>در عروه الوثقی مثال زده</w:t>
      </w:r>
      <w:r w:rsidRPr="000840D4">
        <w:rPr>
          <w:rFonts w:cs="B Nazanin" w:hint="cs"/>
          <w:sz w:val="28"/>
          <w:szCs w:val="28"/>
          <w:rtl/>
          <w:lang w:bidi="fa-IR"/>
        </w:rPr>
        <w:t xml:space="preserve"> به حُلیِّ نسوان، زنها تا زمانی که جوان هستند از زیور آلاتی استفاده می کنند، وقتی پا به سن گذاشتند دیگر احساس احتیاج به آنها نمی کنند، چون مورد احتیاج نیستند دیگر جزو مئونه هم نیستند حالا آیا خمسشان را باید بپردازد؟ دو نظر وجود دارد، مشهور می گوید همان سال اول ملاک است، اگر </w:t>
      </w:r>
      <w:r w:rsidRPr="000840D4">
        <w:rPr>
          <w:rFonts w:cs="B Nazanin" w:hint="cs"/>
          <w:sz w:val="28"/>
          <w:szCs w:val="28"/>
          <w:rtl/>
          <w:lang w:bidi="fa-IR"/>
        </w:rPr>
        <w:lastRenderedPageBreak/>
        <w:t>تا اقضاء سنه مئونه بود دیگر مُستثنی است و میزان راس سنه همان سال است، لکن حضرت امام می فرمایند که نه، هر زمان که مئونه نبود باید خمسش را بپردازد.</w:t>
      </w:r>
      <w:r w:rsidR="000C4F35" w:rsidRPr="000C4F35">
        <w:rPr>
          <w:rStyle w:val="FootnoteReference"/>
          <w:rFonts w:cs="B Nazanin"/>
          <w:sz w:val="28"/>
          <w:szCs w:val="28"/>
          <w:rtl/>
          <w:lang w:bidi="fa-IR"/>
        </w:rPr>
        <w:t xml:space="preserve"> </w:t>
      </w:r>
      <w:r w:rsidR="000C4F35">
        <w:rPr>
          <w:rStyle w:val="FootnoteReference"/>
          <w:rFonts w:cs="B Nazanin"/>
          <w:sz w:val="28"/>
          <w:szCs w:val="28"/>
          <w:rtl/>
          <w:lang w:bidi="fa-IR"/>
        </w:rPr>
        <w:footnoteReference w:id="5"/>
      </w:r>
    </w:p>
    <w:p w:rsidR="00A83B8E" w:rsidRPr="000840D4" w:rsidRDefault="00A83B8E" w:rsidP="00A83B8E">
      <w:pPr>
        <w:bidi/>
        <w:ind w:firstLine="288"/>
        <w:jc w:val="both"/>
        <w:rPr>
          <w:rFonts w:cs="B Nazanin"/>
          <w:sz w:val="28"/>
          <w:szCs w:val="28"/>
          <w:rtl/>
          <w:lang w:bidi="fa-IR"/>
        </w:rPr>
      </w:pPr>
      <w:r w:rsidRPr="000840D4">
        <w:rPr>
          <w:rFonts w:cs="B Nazanin" w:hint="cs"/>
          <w:sz w:val="28"/>
          <w:szCs w:val="28"/>
          <w:rtl/>
          <w:lang w:bidi="fa-IR"/>
        </w:rPr>
        <w:t>مهدی جامعی</w:t>
      </w:r>
    </w:p>
    <w:sectPr w:rsidR="00A83B8E" w:rsidRPr="000840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02D" w:rsidRDefault="00CA702D" w:rsidP="000C4F35">
      <w:pPr>
        <w:spacing w:after="0" w:line="240" w:lineRule="auto"/>
      </w:pPr>
      <w:r>
        <w:separator/>
      </w:r>
    </w:p>
  </w:endnote>
  <w:endnote w:type="continuationSeparator" w:id="0">
    <w:p w:rsidR="00CA702D" w:rsidRDefault="00CA702D" w:rsidP="000C4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02D" w:rsidRDefault="00CA702D" w:rsidP="000C4F35">
      <w:pPr>
        <w:spacing w:after="0" w:line="240" w:lineRule="auto"/>
      </w:pPr>
      <w:r>
        <w:separator/>
      </w:r>
    </w:p>
  </w:footnote>
  <w:footnote w:type="continuationSeparator" w:id="0">
    <w:p w:rsidR="00CA702D" w:rsidRDefault="00CA702D" w:rsidP="000C4F35">
      <w:pPr>
        <w:spacing w:after="0" w:line="240" w:lineRule="auto"/>
      </w:pPr>
      <w:r>
        <w:continuationSeparator/>
      </w:r>
    </w:p>
  </w:footnote>
  <w:footnote w:id="1">
    <w:p w:rsidR="000C4F35" w:rsidRDefault="000C4F35" w:rsidP="000C4F35">
      <w:pPr>
        <w:pStyle w:val="FootnoteText"/>
        <w:bidi/>
        <w:rPr>
          <w:rFonts w:hint="cs"/>
          <w:rtl/>
          <w:lang w:bidi="fa-IR"/>
        </w:rPr>
      </w:pPr>
      <w:r>
        <w:rPr>
          <w:rStyle w:val="FootnoteReference"/>
        </w:rPr>
        <w:footnoteRef/>
      </w:r>
      <w:r>
        <w:t xml:space="preserve"> </w:t>
      </w:r>
      <w:r>
        <w:rPr>
          <w:rFonts w:hint="cs"/>
          <w:rtl/>
          <w:lang w:bidi="fa-IR"/>
        </w:rPr>
        <w:t xml:space="preserve"> </w:t>
      </w:r>
      <w:hyperlink r:id="rId1" w:history="1">
        <w:r w:rsidRPr="000C4F35">
          <w:rPr>
            <w:rStyle w:val="Hyperlink"/>
            <w:rFonts w:hint="cs"/>
            <w:rtl/>
            <w:lang w:bidi="fa-IR"/>
          </w:rPr>
          <w:t>منتهی الدرایه، سید محمدجعفر مروج، ج1، ص358.</w:t>
        </w:r>
      </w:hyperlink>
    </w:p>
  </w:footnote>
  <w:footnote w:id="2">
    <w:p w:rsidR="000C4F35" w:rsidRDefault="000C4F35" w:rsidP="000C4F35">
      <w:pPr>
        <w:pStyle w:val="FootnoteText"/>
        <w:bidi/>
        <w:rPr>
          <w:rFonts w:hint="cs"/>
          <w:rtl/>
          <w:lang w:bidi="fa-IR"/>
        </w:rPr>
      </w:pPr>
      <w:r>
        <w:rPr>
          <w:rStyle w:val="FootnoteReference"/>
        </w:rPr>
        <w:footnoteRef/>
      </w:r>
      <w:r>
        <w:t xml:space="preserve"> </w:t>
      </w:r>
      <w:r>
        <w:rPr>
          <w:rFonts w:hint="cs"/>
          <w:rtl/>
          <w:lang w:bidi="fa-IR"/>
        </w:rPr>
        <w:t xml:space="preserve"> </w:t>
      </w:r>
      <w:hyperlink r:id="rId2" w:history="1">
        <w:r w:rsidRPr="000C4F35">
          <w:rPr>
            <w:rStyle w:val="Hyperlink"/>
            <w:rFonts w:hint="cs"/>
            <w:rtl/>
            <w:lang w:bidi="fa-IR"/>
          </w:rPr>
          <w:t>منتهی الدرایه، سید محمدجعفر مروج، ج1، ص359.</w:t>
        </w:r>
      </w:hyperlink>
    </w:p>
  </w:footnote>
  <w:footnote w:id="3">
    <w:p w:rsidR="000C4F35" w:rsidRDefault="000C4F35" w:rsidP="000C4F35">
      <w:pPr>
        <w:pStyle w:val="FootnoteText"/>
        <w:bidi/>
        <w:rPr>
          <w:rFonts w:hint="cs"/>
          <w:rtl/>
          <w:lang w:bidi="fa-IR"/>
        </w:rPr>
      </w:pPr>
      <w:r>
        <w:rPr>
          <w:rStyle w:val="FootnoteReference"/>
        </w:rPr>
        <w:footnoteRef/>
      </w:r>
      <w:r>
        <w:t xml:space="preserve"> </w:t>
      </w:r>
      <w:r>
        <w:rPr>
          <w:rFonts w:hint="cs"/>
          <w:rtl/>
          <w:lang w:bidi="fa-IR"/>
        </w:rPr>
        <w:t xml:space="preserve"> </w:t>
      </w:r>
      <w:hyperlink r:id="rId3" w:history="1">
        <w:r w:rsidRPr="000C4F35">
          <w:rPr>
            <w:rStyle w:val="Hyperlink"/>
            <w:rFonts w:hint="cs"/>
            <w:rtl/>
            <w:lang w:bidi="fa-IR"/>
          </w:rPr>
          <w:t>منتهی الدرایه، سید محمدجعفر مروج، ج1، ص359.</w:t>
        </w:r>
      </w:hyperlink>
    </w:p>
  </w:footnote>
  <w:footnote w:id="4">
    <w:p w:rsidR="000C4F35" w:rsidRDefault="000C4F35" w:rsidP="000C4F35">
      <w:pPr>
        <w:pStyle w:val="FootnoteText"/>
        <w:bidi/>
        <w:rPr>
          <w:rFonts w:hint="cs"/>
          <w:rtl/>
          <w:lang w:bidi="fa-IR"/>
        </w:rPr>
      </w:pPr>
      <w:r>
        <w:rPr>
          <w:rStyle w:val="FootnoteReference"/>
        </w:rPr>
        <w:footnoteRef/>
      </w:r>
      <w:r>
        <w:t xml:space="preserve"> </w:t>
      </w:r>
      <w:r>
        <w:rPr>
          <w:rFonts w:hint="cs"/>
          <w:rtl/>
          <w:lang w:bidi="fa-IR"/>
        </w:rPr>
        <w:t xml:space="preserve"> </w:t>
      </w:r>
      <w:hyperlink r:id="rId4" w:history="1">
        <w:r w:rsidRPr="000C4F35">
          <w:rPr>
            <w:rStyle w:val="Hyperlink"/>
            <w:rFonts w:hint="cs"/>
            <w:rtl/>
            <w:lang w:bidi="fa-IR"/>
          </w:rPr>
          <w:t>منتهی الدرایه، سید محمدجعفر مروج، ج1، ص360.</w:t>
        </w:r>
      </w:hyperlink>
    </w:p>
  </w:footnote>
  <w:footnote w:id="5">
    <w:p w:rsidR="000C4F35" w:rsidRDefault="000C4F35" w:rsidP="000C4F35">
      <w:pPr>
        <w:pStyle w:val="FootnoteText"/>
        <w:bidi/>
        <w:rPr>
          <w:rFonts w:hint="cs"/>
          <w:rtl/>
          <w:lang w:bidi="fa-IR"/>
        </w:rPr>
      </w:pPr>
      <w:r>
        <w:rPr>
          <w:rStyle w:val="FootnoteReference"/>
        </w:rPr>
        <w:footnoteRef/>
      </w:r>
      <w:r>
        <w:t xml:space="preserve"> </w:t>
      </w:r>
      <w:r>
        <w:rPr>
          <w:rFonts w:hint="cs"/>
          <w:rtl/>
          <w:lang w:bidi="fa-IR"/>
        </w:rPr>
        <w:t xml:space="preserve"> </w:t>
      </w:r>
      <w:hyperlink r:id="rId5" w:history="1">
        <w:r w:rsidRPr="000C4F35">
          <w:rPr>
            <w:rStyle w:val="Hyperlink"/>
            <w:rFonts w:hint="cs"/>
            <w:rtl/>
            <w:lang w:bidi="fa-IR"/>
          </w:rPr>
          <w:t>منتهی الدرایه، سید محمدجعفر مروج، ج1، ص360.</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0E4"/>
    <w:rsid w:val="000264D1"/>
    <w:rsid w:val="0007278C"/>
    <w:rsid w:val="000840D4"/>
    <w:rsid w:val="000C4F35"/>
    <w:rsid w:val="000D49FA"/>
    <w:rsid w:val="00152670"/>
    <w:rsid w:val="00153A9F"/>
    <w:rsid w:val="00180FB6"/>
    <w:rsid w:val="001C5101"/>
    <w:rsid w:val="002B11F3"/>
    <w:rsid w:val="002D4977"/>
    <w:rsid w:val="0030512C"/>
    <w:rsid w:val="00325CBD"/>
    <w:rsid w:val="00374878"/>
    <w:rsid w:val="00422FDB"/>
    <w:rsid w:val="00451BE4"/>
    <w:rsid w:val="004D707F"/>
    <w:rsid w:val="00572495"/>
    <w:rsid w:val="00577182"/>
    <w:rsid w:val="006400D8"/>
    <w:rsid w:val="006A6899"/>
    <w:rsid w:val="006A7A0D"/>
    <w:rsid w:val="007F4B6C"/>
    <w:rsid w:val="00807BE3"/>
    <w:rsid w:val="008903FE"/>
    <w:rsid w:val="00964968"/>
    <w:rsid w:val="009864EB"/>
    <w:rsid w:val="009C4993"/>
    <w:rsid w:val="00A8148D"/>
    <w:rsid w:val="00A83B8E"/>
    <w:rsid w:val="00BF0D62"/>
    <w:rsid w:val="00C458C6"/>
    <w:rsid w:val="00C64A79"/>
    <w:rsid w:val="00CA4594"/>
    <w:rsid w:val="00CA702D"/>
    <w:rsid w:val="00CC4940"/>
    <w:rsid w:val="00E012B1"/>
    <w:rsid w:val="00E355BC"/>
    <w:rsid w:val="00E4168E"/>
    <w:rsid w:val="00F263A2"/>
    <w:rsid w:val="00F940E4"/>
    <w:rsid w:val="00FC1D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4F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4F35"/>
    <w:rPr>
      <w:sz w:val="20"/>
      <w:szCs w:val="20"/>
    </w:rPr>
  </w:style>
  <w:style w:type="character" w:styleId="FootnoteReference">
    <w:name w:val="footnote reference"/>
    <w:basedOn w:val="DefaultParagraphFont"/>
    <w:uiPriority w:val="99"/>
    <w:semiHidden/>
    <w:unhideWhenUsed/>
    <w:rsid w:val="000C4F35"/>
    <w:rPr>
      <w:vertAlign w:val="superscript"/>
    </w:rPr>
  </w:style>
  <w:style w:type="character" w:styleId="Hyperlink">
    <w:name w:val="Hyperlink"/>
    <w:basedOn w:val="DefaultParagraphFont"/>
    <w:uiPriority w:val="99"/>
    <w:unhideWhenUsed/>
    <w:rsid w:val="000C4F3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4F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4F35"/>
    <w:rPr>
      <w:sz w:val="20"/>
      <w:szCs w:val="20"/>
    </w:rPr>
  </w:style>
  <w:style w:type="character" w:styleId="FootnoteReference">
    <w:name w:val="footnote reference"/>
    <w:basedOn w:val="DefaultParagraphFont"/>
    <w:uiPriority w:val="99"/>
    <w:semiHidden/>
    <w:unhideWhenUsed/>
    <w:rsid w:val="000C4F35"/>
    <w:rPr>
      <w:vertAlign w:val="superscript"/>
    </w:rPr>
  </w:style>
  <w:style w:type="character" w:styleId="Hyperlink">
    <w:name w:val="Hyperlink"/>
    <w:basedOn w:val="DefaultParagraphFont"/>
    <w:uiPriority w:val="99"/>
    <w:unhideWhenUsed/>
    <w:rsid w:val="000C4F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13112/1/359/&#1579;&#1575;&#1604;&#1579;&#1607;&#1575;" TargetMode="External"/><Relationship Id="rId2" Type="http://schemas.openxmlformats.org/officeDocument/2006/relationships/hyperlink" Target="http://lib.eshia.ir/13112/1/359/&#1579;&#1575;&#1606;&#1610;&#1607;&#1575;" TargetMode="External"/><Relationship Id="rId1" Type="http://schemas.openxmlformats.org/officeDocument/2006/relationships/hyperlink" Target="http://lib.eshia.ir/13112/1/358/&#1571;&#1581;&#1583;&#1607;&#1575;" TargetMode="External"/><Relationship Id="rId5" Type="http://schemas.openxmlformats.org/officeDocument/2006/relationships/hyperlink" Target="http://lib.eshia.ir/13112/1/360/&#1582;&#1575;&#1605;&#1587;" TargetMode="External"/><Relationship Id="rId4" Type="http://schemas.openxmlformats.org/officeDocument/2006/relationships/hyperlink" Target="http://lib.eshia.ir/13112/1/360/&#1585;&#1575;&#1576;&#1593;&#1607;&#1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327D4-FF07-422C-9EC2-2D04A56AB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dc:creator>
  <cp:keywords/>
  <dc:description/>
  <cp:lastModifiedBy>mahdi</cp:lastModifiedBy>
  <cp:revision>8</cp:revision>
  <dcterms:created xsi:type="dcterms:W3CDTF">2015-12-05T09:44:00Z</dcterms:created>
  <dcterms:modified xsi:type="dcterms:W3CDTF">2015-12-11T12:41:00Z</dcterms:modified>
</cp:coreProperties>
</file>