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D85E" w14:textId="77777777" w:rsidR="00D02E16" w:rsidRPr="00CF2919" w:rsidRDefault="00D02E16" w:rsidP="00DF64CA">
      <w:pPr>
        <w:jc w:val="both"/>
        <w:rPr>
          <w:rFonts w:cs="B Zar"/>
          <w:b/>
          <w:bCs/>
          <w:sz w:val="26"/>
          <w:szCs w:val="26"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472069C9" w14:textId="7F3C3D11" w:rsidR="00D02E16" w:rsidRDefault="00D02E16" w:rsidP="00467BF6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467BF6">
        <w:rPr>
          <w:rFonts w:cs="B Zar" w:hint="cs"/>
          <w:b/>
          <w:bCs/>
          <w:sz w:val="26"/>
          <w:szCs w:val="26"/>
          <w:rtl/>
          <w:lang w:bidi="ar-AE"/>
        </w:rPr>
        <w:t>ششم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Pr="008F4B4B">
        <w:rPr>
          <w:rFonts w:ascii="Times New Roman" w:hAnsi="Times New Roman" w:cs="Times New Roman" w:hint="cs"/>
          <w:b/>
          <w:bCs/>
          <w:sz w:val="26"/>
          <w:szCs w:val="26"/>
          <w:rtl/>
          <w:lang w:bidi="ar-AE"/>
        </w:rPr>
        <w:t>–</w:t>
      </w:r>
      <w:r w:rsidR="0045218B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 w:rsidR="00467BF6">
        <w:rPr>
          <w:rFonts w:cs="B Zar" w:hint="cs"/>
          <w:b/>
          <w:bCs/>
          <w:sz w:val="26"/>
          <w:szCs w:val="26"/>
          <w:rtl/>
          <w:lang w:bidi="ar-AE"/>
        </w:rPr>
        <w:t>دو</w:t>
      </w:r>
      <w:r>
        <w:rPr>
          <w:rFonts w:cs="B Zar"/>
          <w:b/>
          <w:bCs/>
          <w:sz w:val="26"/>
          <w:szCs w:val="26"/>
          <w:rtl/>
          <w:lang w:bidi="ar-AE"/>
        </w:rPr>
        <w:t xml:space="preserve">شنبه </w:t>
      </w:r>
      <w:r w:rsidR="0045218B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467BF6">
        <w:rPr>
          <w:rFonts w:cs="B Zar" w:hint="cs"/>
          <w:b/>
          <w:bCs/>
          <w:sz w:val="26"/>
          <w:szCs w:val="26"/>
          <w:rtl/>
          <w:lang w:bidi="ar-AE"/>
        </w:rPr>
        <w:t>3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45218B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663914C8" w14:textId="27E79261" w:rsidR="00F94EC3" w:rsidRPr="00F94EC3" w:rsidRDefault="00F94EC3" w:rsidP="006C6584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Titr"/>
          <w:color w:val="FF0000"/>
          <w:sz w:val="28"/>
          <w:szCs w:val="28"/>
          <w:rtl/>
        </w:rPr>
      </w:pPr>
      <w:r w:rsidRPr="00F94EC3"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t>قاعده احیاء موات</w:t>
      </w:r>
    </w:p>
    <w:p w14:paraId="6C1E7351" w14:textId="77777777" w:rsidR="00DF22DF" w:rsidRDefault="006C6584" w:rsidP="00DF22D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 w:rsidRPr="006C6584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بحث ما در قاعده حیازت تمام شد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. قاعده جدیدی </w:t>
      </w:r>
      <w:r w:rsidR="00DF22DF">
        <w:rPr>
          <w:rFonts w:ascii="Adobe Arabic" w:eastAsia="Times New Roman" w:hAnsi="Adobe Arabic" w:cs="B Nazanin"/>
          <w:color w:val="000000"/>
          <w:sz w:val="28"/>
          <w:szCs w:val="28"/>
        </w:rPr>
        <w:t xml:space="preserve">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که قصد بررسی آن را داریم،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قاعده احیاء موات است. قبلا در ضمن بحث از قاعده حیازت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از احیاء موات هم گفته بودیم.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در همان بحث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بعضی از روایات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حیازت را </w:t>
      </w:r>
      <w:r w:rsidR="009663D3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به تنهایی کافی نمی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9663D3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دانستند و آن را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مقید به احیاء کرده بودند.</w:t>
      </w:r>
    </w:p>
    <w:p w14:paraId="307225C8" w14:textId="4B23E454" w:rsidR="00F316C9" w:rsidRDefault="009663D3" w:rsidP="00DF22D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اصل این قاعده از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روایتی از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رسول اکرم (ص) است که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در آن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فرمودند: «</w:t>
      </w:r>
      <w:r w:rsidRPr="009663D3">
        <w:rPr>
          <w:rFonts w:ascii="Adobe Arabic" w:eastAsia="Times New Roman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 w:rsidRPr="009663D3">
        <w:rPr>
          <w:rFonts w:ascii="Adobe Arabic" w:eastAsia="Times New Roman" w:hAnsi="Adobe Arabic" w:cs="Adobe Arabic"/>
          <w:b/>
          <w:bCs/>
          <w:color w:val="008000"/>
          <w:sz w:val="32"/>
          <w:szCs w:val="32"/>
          <w:rtl/>
        </w:rPr>
        <w:t>مَنْ أَحْيَا أَرْضاً مَوَاتاً فَهِيَ لَهُ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»</w:t>
      </w:r>
      <w:r w:rsidR="00DF22DF">
        <w:rPr>
          <w:rStyle w:val="FootnoteReference"/>
          <w:rFonts w:ascii="Adobe Arabic" w:eastAsia="Times New Roman" w:hAnsi="Adobe Arabic" w:cs="Adobe Arabic"/>
          <w:b/>
          <w:bCs/>
          <w:color w:val="008000"/>
          <w:sz w:val="30"/>
          <w:szCs w:val="30"/>
          <w:rtl/>
        </w:rPr>
        <w:footnoteReference w:id="1"/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به تبع فرمایش ایشان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مسئله مجمع علیه بین القریقین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بوده؛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هم به آن عمل کرده اند و هم به مضمون آن فتوی داده اند. این روایت مربوط به اراضی است. احیاء به معنای زنده کردن موجود مرده است.  </w:t>
      </w:r>
    </w:p>
    <w:p w14:paraId="60B0A8C0" w14:textId="6887C663" w:rsidR="006C6584" w:rsidRPr="0004200E" w:rsidRDefault="00F94EC3" w:rsidP="006C6584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Titr"/>
          <w:color w:val="FF0000"/>
          <w:sz w:val="28"/>
          <w:szCs w:val="28"/>
          <w:rtl/>
        </w:rPr>
      </w:pPr>
      <w:r w:rsidRPr="0004200E"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t>ارکان قاعده احیاء</w:t>
      </w:r>
    </w:p>
    <w:p w14:paraId="3C461B08" w14:textId="3DBFE84E" w:rsidR="00F94EC3" w:rsidRPr="0004200E" w:rsidRDefault="00DF22DF" w:rsidP="00DF22D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این </w:t>
      </w:r>
      <w:r w:rsidR="00F94EC3" w:rsidRP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قاعده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از دو رکن </w:t>
      </w:r>
      <w:r>
        <w:rPr>
          <w:rFonts w:ascii="Adobe Arabic" w:eastAsia="Times New Roman" w:hAnsi="Adobe Arabic" w:cs="Cambria" w:hint="cs"/>
          <w:color w:val="000000"/>
          <w:sz w:val="28"/>
          <w:szCs w:val="28"/>
          <w:rtl/>
        </w:rPr>
        <w:t>«</w:t>
      </w:r>
      <w:r w:rsidRP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موات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»</w:t>
      </w:r>
      <w:r w:rsidRP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و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«</w:t>
      </w:r>
      <w:r w:rsidRP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احیاء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»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تشکیل شده.</w:t>
      </w:r>
    </w:p>
    <w:p w14:paraId="49224A4B" w14:textId="77777777" w:rsidR="00DF22DF" w:rsidRDefault="00F94EC3" w:rsidP="00DF22D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باید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دید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معنای موات چیست تا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پس از آن </w:t>
      </w:r>
      <w:r w:rsidR="00327451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معنای احیاء هم مشخص گردد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</w:p>
    <w:p w14:paraId="28BF5576" w14:textId="45C8C3ED" w:rsidR="00F94EC3" w:rsidRDefault="00327451" w:rsidP="00DF22D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از آ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نجایی که هر زمینی مستعد کاری خاص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است؛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لذا معنای موات هم متعدد می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شود. مثلا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موات بودن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زمینی که مستعد کشاورزی است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به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عدم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قابلیت کشت و کار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است</w:t>
      </w:r>
      <w:r w:rsidR="00170EA0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 این عدم قابلیت از دو جهت است یا از جهت وجود مانع است و یا از جهت نبود مقتضی مثل خشک بودن زمین و نبود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آب.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در این صورت احیاء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به معنای ایجاد قابلیت کشت و کار 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یا بواسطه برداشتن موانع و یا بواسطه ایجاد مقتضی مثل ایصال الماء</w:t>
      </w:r>
      <w:r w:rsidR="00DF22DF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خواهد بود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. </w:t>
      </w:r>
      <w:r w:rsidR="00F94EC3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</w:p>
    <w:p w14:paraId="00112F7A" w14:textId="77777777" w:rsidR="00E26CC9" w:rsidRDefault="00DF22DF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بنابراین اگر هیچکدام از این مشکلات نبود،</w:t>
      </w:r>
      <w:r w:rsidR="00170EA0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یعنی مقتضی کشت و کار وجود داشت و مانعی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نیز در میان</w:t>
      </w:r>
      <w:r w:rsidR="00170EA0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نبود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و زمین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فقط نیاز به شخم زدن داشت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 با شخم زدن زمین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احیاء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صدق ن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خواهد کرد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چرا که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به این زمین عامر 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9B507D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گویند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که در مقابل زمین موات.</w:t>
      </w:r>
    </w:p>
    <w:p w14:paraId="550B9743" w14:textId="77777777" w:rsidR="00E26CC9" w:rsidRDefault="009B507D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تملک ز</w:t>
      </w:r>
      <w:r w:rsid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مین عامر به حیازت است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؛</w:t>
      </w:r>
      <w:r w:rsid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یعنی هرکس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زودتر از دیگران</w:t>
      </w:r>
      <w:r w:rsid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آن زمین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های عامر را برای کشت و کار شخم زد و آماده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کرد، 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حق بهره برداری از آنها را پیدا 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کند</w:t>
      </w:r>
      <w:r w:rsidR="0004200E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. </w:t>
      </w:r>
    </w:p>
    <w:p w14:paraId="37468A78" w14:textId="1B68FF9A" w:rsidR="00170EA0" w:rsidRDefault="0004200E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زمینهای عامر بالطبع جزء انفال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بوده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و با اجازه امام زمان در اختیار شیعیان است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در زمان غیبت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نیز برای حیازت این زمین ها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نظر حاکم شرع و صلاح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دید او باید رعایت شود. </w:t>
      </w:r>
    </w:p>
    <w:p w14:paraId="07AAD44D" w14:textId="60E14BF1" w:rsidR="0004200E" w:rsidRDefault="0004200E" w:rsidP="00170EA0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Titr"/>
          <w:color w:val="FF0000"/>
          <w:sz w:val="28"/>
          <w:szCs w:val="28"/>
          <w:rtl/>
        </w:rPr>
      </w:pPr>
      <w:r w:rsidRPr="0004200E"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lastRenderedPageBreak/>
        <w:t>فرق حیازت اراضی عامر و احیاء اراضی موات</w:t>
      </w:r>
    </w:p>
    <w:p w14:paraId="67D5C635" w14:textId="5D7153D5" w:rsidR="0004200E" w:rsidRPr="0004200E" w:rsidRDefault="0004200E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Titr"/>
          <w:color w:val="FF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احیاء موات موجب تملک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است،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اما حیازت اراضی عامر بالطبع موجب تملک نمی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شود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؛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بلکه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برای حیازت کننده 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حق اختصاص ایجاد 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کند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لذا ولی امر 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توا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ند بعد از مدتی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آ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ن زمین ها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را تحویل گرفته و به دیگران ده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د.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</w:p>
    <w:p w14:paraId="33784444" w14:textId="7E7D7078" w:rsidR="0004200E" w:rsidRPr="0004200E" w:rsidRDefault="00E26CC9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Titr"/>
          <w:color w:val="FF0000"/>
          <w:sz w:val="28"/>
          <w:szCs w:val="28"/>
          <w:rtl/>
        </w:rPr>
      </w:pPr>
      <w:r w:rsidRPr="0004200E"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t>حکم تکلیفی</w:t>
      </w:r>
      <w:r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t xml:space="preserve">ِ </w:t>
      </w:r>
      <w:r w:rsidR="0004200E" w:rsidRPr="0004200E">
        <w:rPr>
          <w:rFonts w:ascii="Adobe Arabic" w:eastAsia="Times New Roman" w:hAnsi="Adobe Arabic" w:cs="B Titr" w:hint="cs"/>
          <w:color w:val="FF0000"/>
          <w:sz w:val="28"/>
          <w:szCs w:val="28"/>
          <w:rtl/>
        </w:rPr>
        <w:t>احیاء موات</w:t>
      </w:r>
    </w:p>
    <w:p w14:paraId="4B11D339" w14:textId="75A26E22" w:rsidR="0004200E" w:rsidRDefault="0004200E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حکم تکلیفی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احیاء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اس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ت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حباب است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 دلیل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آن نیز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استحباب کشاورزی و باغداری است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که روایات نیز بر آن دلالت دارند</w:t>
      </w:r>
      <w:r w:rsidR="00140258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. </w:t>
      </w:r>
    </w:p>
    <w:p w14:paraId="2C19EE46" w14:textId="736816CB" w:rsidR="00F0606E" w:rsidRDefault="00140258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 w:rsidRPr="00140258">
        <w:rPr>
          <w:rFonts w:ascii="Adobe Arabic" w:eastAsia="Times New Roman" w:hAnsi="Adobe Arabic" w:cs="Adobe Arabic"/>
          <w:b/>
          <w:bCs/>
          <w:color w:val="000000"/>
          <w:sz w:val="28"/>
          <w:szCs w:val="28"/>
          <w:rtl/>
        </w:rPr>
        <w:t>عَنْ إِبْرَاهِيمَ بْنِ إِسْحَاقَ عَنْ حُسَيْنِ بْنِ أَبِي السَّرِيِّ عَنِ الْحُسَيْنِ بْنِ إِبْرَاهِيمَ عَنْ يَزِيدَ بْنِ هَارُونَ الْوَاسِطِيِّ قَالَ</w:t>
      </w:r>
      <w:r w:rsidRPr="00140258">
        <w:rPr>
          <w:rFonts w:ascii="Adobe Arabic" w:eastAsia="Times New Roman" w:hAnsi="Adobe Arabic" w:cs="Adobe Arabic"/>
          <w:b/>
          <w:bCs/>
          <w:color w:val="66005C"/>
          <w:sz w:val="28"/>
          <w:szCs w:val="28"/>
          <w:rtl/>
        </w:rPr>
        <w:t>:</w:t>
      </w:r>
      <w:r w:rsidRPr="00140258">
        <w:rPr>
          <w:rFonts w:ascii="Adobe Arabic" w:eastAsia="Times New Roman" w:hAnsi="Adobe Arabic" w:cs="Adobe Arabic"/>
          <w:color w:val="0F005F"/>
          <w:sz w:val="31"/>
          <w:szCs w:val="31"/>
          <w:rtl/>
        </w:rPr>
        <w:t xml:space="preserve"> </w:t>
      </w:r>
      <w:r w:rsidRPr="00140258">
        <w:rPr>
          <w:rFonts w:ascii="Adobe Arabic" w:eastAsia="Times New Roman" w:hAnsi="Adobe Arabic" w:cs="Adobe Arabic"/>
          <w:b/>
          <w:bCs/>
          <w:color w:val="008000"/>
          <w:sz w:val="31"/>
          <w:szCs w:val="31"/>
          <w:rtl/>
        </w:rPr>
        <w:t>سَأَلْتُ جَعْفَرَ بْنَ مُحَمَّدٍ ع عَنِ الْفَلَّاحِينَ- فَقَالَ هُمُ الزَّارِعُونَ كُنُوزُ اللَّهِ فِي أَرْضِهِ- وَ مَا فِي الْأَعْمَالِ شَيْ‌ءٌ أَحَبَّ إِلَى اللَّهِ مِنَ الزِّرَاعَةِ- وَ مَا بَعَثَ اللَّهُ نَبِيّاً إِلَّا زَرَّاعاً- إِلَّا إِدْرِيسَ ع فَإِنَّهُ كَانَ خَيَّاطاً.</w:t>
      </w:r>
      <w:r w:rsidR="00EA14F6">
        <w:rPr>
          <w:rStyle w:val="FootnoteReference"/>
          <w:rFonts w:ascii="Adobe Arabic" w:eastAsia="Times New Roman" w:hAnsi="Adobe Arabic" w:cs="B Nazanin"/>
          <w:color w:val="000000"/>
          <w:sz w:val="28"/>
          <w:szCs w:val="28"/>
          <w:rtl/>
        </w:rPr>
        <w:footnoteReference w:id="2"/>
      </w:r>
    </w:p>
    <w:p w14:paraId="08908D70" w14:textId="4B30AB24" w:rsidR="00F0606E" w:rsidRDefault="00F0606E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 w:rsidRPr="00F0606E">
        <w:rPr>
          <w:rFonts w:ascii="Adobe Arabic" w:eastAsia="Times New Roman" w:hAnsi="Adobe Arabic" w:cs="Adobe Arabic" w:hint="cs"/>
          <w:b/>
          <w:bCs/>
          <w:color w:val="000000"/>
          <w:sz w:val="28"/>
          <w:szCs w:val="28"/>
          <w:rtl/>
        </w:rPr>
        <w:t>عَنْ عَلِيِّ بْنِ مُحَمَّدٍ عَنْ إِبْرَاهِيمَ بْنِ إِسْحَاقَ عَنِ الْحَسَنِ بْنِ السَّرِيِّ عَنِ الْحَسَنِ بْنِ إِبْرَاهِيمَ عَنْ يَزِيدَ بْنِ هَارُونَ قَالَ سَمِعْتُ أَبَا عَبْدِ اللَّهِ ع يَقُولُ</w:t>
      </w:r>
      <w:r w:rsidRPr="00F0606E">
        <w:rPr>
          <w:rFonts w:ascii="Noor_Lotus" w:eastAsia="Times New Roman" w:hAnsi="Noor_Lotus" w:cs="Noor_Lotus" w:hint="cs"/>
          <w:color w:val="0F005F"/>
          <w:sz w:val="35"/>
          <w:szCs w:val="35"/>
          <w:rtl/>
        </w:rPr>
        <w:t xml:space="preserve"> </w:t>
      </w:r>
      <w:r w:rsidRPr="00F0606E">
        <w:rPr>
          <w:rFonts w:ascii="Adobe Arabic" w:eastAsia="Times New Roman" w:hAnsi="Adobe Arabic" w:cs="Adobe Arabic" w:hint="cs"/>
          <w:b/>
          <w:bCs/>
          <w:color w:val="008000"/>
          <w:sz w:val="31"/>
          <w:szCs w:val="31"/>
          <w:rtl/>
        </w:rPr>
        <w:t>الزَّارِعُونَ كُنُوزُ الْأَنَامِ- يَزْرَعُونَ طَيِّباً أَخْرَجَهُ اللَّهُ عَزَّ وَ جَلَّ- وَ هُمْ يَوْمَ الْقِيَامَةِ أَحْسَنُ النَّاسِ مَقَاماً- وَ أَقْرَبُهُمْ مَنْزِلَةً يُدْعَوْنَ الْمُبَارَكِينَ.</w:t>
      </w:r>
      <w:r>
        <w:rPr>
          <w:rFonts w:ascii="Noor_Lotus" w:eastAsia="Times New Roman" w:hAnsi="Noor_Lotus" w:cs="Noor_Lotus" w:hint="cs"/>
          <w:color w:val="000000"/>
          <w:sz w:val="2"/>
          <w:szCs w:val="2"/>
          <w:rtl/>
        </w:rPr>
        <w:t>ش</w:t>
      </w:r>
      <w:r w:rsidR="003E72F1">
        <w:rPr>
          <w:rStyle w:val="FootnoteReference"/>
          <w:rFonts w:ascii="Adobe Arabic" w:eastAsia="Times New Roman" w:hAnsi="Adobe Arabic" w:cs="B Nazanin"/>
          <w:color w:val="000000"/>
          <w:sz w:val="28"/>
          <w:szCs w:val="28"/>
          <w:rtl/>
        </w:rPr>
        <w:footnoteReference w:id="3"/>
      </w:r>
    </w:p>
    <w:p w14:paraId="6DE1669D" w14:textId="44CC0718" w:rsidR="00F0606E" w:rsidRPr="00F0606E" w:rsidRDefault="00F0606E" w:rsidP="00F35B46">
      <w:pPr>
        <w:spacing w:after="0" w:line="240" w:lineRule="auto"/>
        <w:jc w:val="both"/>
        <w:rPr>
          <w:rFonts w:ascii="Noor_Lotus" w:eastAsia="Times New Roman" w:hAnsi="Noor_Lotus" w:cs="Noor_Lotus"/>
          <w:color w:val="000000"/>
          <w:sz w:val="30"/>
          <w:szCs w:val="30"/>
        </w:rPr>
      </w:pPr>
      <w:r w:rsidRPr="00F0606E">
        <w:rPr>
          <w:rFonts w:ascii="Adobe Arabic" w:eastAsia="Times New Roman" w:hAnsi="Adobe Arabic" w:cs="Adobe Arabic" w:hint="cs"/>
          <w:b/>
          <w:bCs/>
          <w:color w:val="000000"/>
          <w:sz w:val="28"/>
          <w:szCs w:val="28"/>
          <w:rtl/>
        </w:rPr>
        <w:t>عَنْ عَلِيِّ بْنِ إِبْرَاهِيمَ عَنْ أَبِيهِ عَنِ النَّوْفَلِيِّ عَنِ السَّكُونِيِّ عَنْ أَبِي عَبْدِ اللَّهِ ع قَالَ:</w:t>
      </w:r>
      <w:r w:rsidRPr="00F0606E">
        <w:rPr>
          <w:rFonts w:ascii="Noor_Lotus" w:eastAsia="Times New Roman" w:hAnsi="Noor_Lotus" w:cs="Noor_Lotus" w:hint="cs"/>
          <w:color w:val="0F005F"/>
          <w:sz w:val="35"/>
          <w:szCs w:val="35"/>
          <w:rtl/>
        </w:rPr>
        <w:t xml:space="preserve"> </w:t>
      </w:r>
      <w:r w:rsidRPr="00F0606E">
        <w:rPr>
          <w:rFonts w:ascii="Adobe Arabic" w:eastAsia="Times New Roman" w:hAnsi="Adobe Arabic" w:cs="Adobe Arabic" w:hint="cs"/>
          <w:b/>
          <w:bCs/>
          <w:color w:val="008000"/>
          <w:sz w:val="31"/>
          <w:szCs w:val="31"/>
          <w:rtl/>
        </w:rPr>
        <w:t>سُئِلَ النَّبِيُّ ص أَيُّ الْمَالِ خَيْرٌ- قَالَ زَرْعٌ زَرَعَهُ صَاحِبُهُ وَ أَصْلَحَهُ- وَ أَدَّى حَقَّهُ يَوْمَ حَصَادِهِ</w:t>
      </w:r>
      <w:r w:rsidR="003E72F1" w:rsidRPr="003E72F1">
        <w:rPr>
          <w:rFonts w:ascii="Adobe Arabic" w:eastAsia="Times New Roman" w:hAnsi="Adobe Arabic" w:cs="Adobe Arabic" w:hint="cs"/>
          <w:b/>
          <w:bCs/>
          <w:color w:val="008000"/>
          <w:sz w:val="31"/>
          <w:szCs w:val="31"/>
          <w:rtl/>
        </w:rPr>
        <w:t>...</w:t>
      </w:r>
      <w:r w:rsidR="003E72F1">
        <w:rPr>
          <w:rStyle w:val="FootnoteReference"/>
          <w:rFonts w:ascii="Noor_Lotus" w:eastAsia="Times New Roman" w:hAnsi="Noor_Lotus" w:cs="Noor_Lotus"/>
          <w:color w:val="000000"/>
          <w:sz w:val="30"/>
          <w:szCs w:val="30"/>
        </w:rPr>
        <w:footnoteReference w:id="4"/>
      </w:r>
    </w:p>
    <w:p w14:paraId="62B23483" w14:textId="6EF2E4E9" w:rsidR="00E26CC9" w:rsidRDefault="00F35B46" w:rsidP="00FA727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 w:rsidRPr="00F35B46">
        <w:rPr>
          <w:rFonts w:ascii="Adobe Arabic" w:eastAsia="Times New Roman" w:hAnsi="Adobe Arabic" w:cs="Adobe Arabic" w:hint="cs"/>
          <w:b/>
          <w:bCs/>
          <w:color w:val="000000"/>
          <w:sz w:val="28"/>
          <w:szCs w:val="28"/>
          <w:rtl/>
        </w:rPr>
        <w:t>عَنْ جَابِرٍ الْأَنْصَارِيِّ أَنَّ رَسُولَ اللَّهِ ص قَالَ</w:t>
      </w:r>
      <w:r w:rsidRPr="00F35B46">
        <w:rPr>
          <w:rFonts w:ascii="Traditional Arabic" w:eastAsia="Times New Roman" w:hAnsi="Traditional Arabic" w:cs="Traditional Arabic" w:hint="cs"/>
          <w:color w:val="66005C"/>
          <w:sz w:val="35"/>
          <w:szCs w:val="35"/>
          <w:rtl/>
        </w:rPr>
        <w:t>:</w:t>
      </w:r>
      <w:r w:rsidRPr="00F35B46">
        <w:rPr>
          <w:rFonts w:ascii="Adobe Arabic" w:eastAsia="Times New Roman" w:hAnsi="Adobe Arabic" w:cs="Adobe Arabic" w:hint="cs"/>
          <w:b/>
          <w:bCs/>
          <w:color w:val="008000"/>
          <w:sz w:val="31"/>
          <w:szCs w:val="31"/>
          <w:rtl/>
        </w:rPr>
        <w:t xml:space="preserve"> مَنْ أَحْيَا أَرْضاً مَيْتَةً فَلَهُ فِيهَا أَجْرٌ وَ مَا أَكَلْتِ الدَّوَابُّ مِنْهُ فَهُوَ لَهُ صَدَقَةٌ</w:t>
      </w:r>
      <w:r w:rsidRPr="00F35B46">
        <w:rPr>
          <w:rFonts w:ascii="Adobe Arabic" w:eastAsia="Times New Roman" w:hAnsi="Adobe Arabic" w:cs="Adobe Arabic" w:hint="cs"/>
          <w:b/>
          <w:bCs/>
          <w:color w:val="008000"/>
          <w:sz w:val="31"/>
          <w:szCs w:val="31"/>
        </w:rPr>
        <w:t>‌</w:t>
      </w:r>
      <w:r w:rsidR="00F261F7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</w:t>
      </w:r>
      <w:r w:rsidR="00F261F7">
        <w:rPr>
          <w:rStyle w:val="FootnoteReference"/>
          <w:rFonts w:ascii="Adobe Arabic" w:eastAsia="Times New Roman" w:hAnsi="Adobe Arabic" w:cs="B Nazanin"/>
          <w:color w:val="000000"/>
          <w:sz w:val="28"/>
          <w:szCs w:val="28"/>
          <w:rtl/>
        </w:rPr>
        <w:footnoteReference w:id="5"/>
      </w:r>
    </w:p>
    <w:p w14:paraId="7DF40099" w14:textId="08A6207F" w:rsidR="00F0606E" w:rsidRDefault="00F35B46" w:rsidP="00E26CC9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B Nazanin"/>
          <w:color w:val="000000"/>
          <w:sz w:val="28"/>
          <w:szCs w:val="28"/>
          <w:rtl/>
        </w:rPr>
      </w:pP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البته روایت </w:t>
      </w:r>
      <w:bookmarkStart w:id="0" w:name="_GoBack"/>
      <w:bookmarkEnd w:id="0"/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اخیر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ضعیف 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بوده،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لکن ضعف سند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ی آن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منجبر به عمل اصحاب است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. همچنین در مورد ضعف سند این روایت می توان گفت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در مستحبات به ضعف سند اعتنا نمی</w:t>
      </w:r>
      <w:r w:rsidR="00E26CC9"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B Nazanin" w:hint="cs"/>
          <w:color w:val="000000"/>
          <w:sz w:val="28"/>
          <w:szCs w:val="28"/>
          <w:rtl/>
        </w:rPr>
        <w:t>شود.</w:t>
      </w:r>
    </w:p>
    <w:p w14:paraId="3D5F4CF3" w14:textId="77777777" w:rsidR="00055BC9" w:rsidRDefault="00F35B46" w:rsidP="00055BC9">
      <w:pPr>
        <w:pStyle w:val="NormalWeb"/>
        <w:bidi/>
        <w:jc w:val="both"/>
        <w:rPr>
          <w:rFonts w:ascii="Adobe Arabic" w:hAnsi="Adobe Arabic" w:cs="B Nazanin"/>
          <w:color w:val="000000"/>
          <w:sz w:val="28"/>
          <w:szCs w:val="28"/>
          <w:rtl/>
        </w:rPr>
      </w:pP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اشکالی که </w:t>
      </w:r>
      <w:r w:rsidR="00636894">
        <w:rPr>
          <w:rFonts w:ascii="Adobe Arabic" w:hAnsi="Adobe Arabic" w:cs="B Nazanin" w:hint="cs"/>
          <w:color w:val="000000"/>
          <w:sz w:val="28"/>
          <w:szCs w:val="28"/>
          <w:rtl/>
        </w:rPr>
        <w:t>ممکن است به استدلال بر استحباب احیاء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وارد </w:t>
      </w:r>
      <w:r w:rsidR="00636894">
        <w:rPr>
          <w:rFonts w:ascii="Adobe Arabic" w:hAnsi="Adobe Arabic" w:cs="B Nazanin" w:hint="cs"/>
          <w:color w:val="000000"/>
          <w:sz w:val="28"/>
          <w:szCs w:val="28"/>
          <w:rtl/>
        </w:rPr>
        <w:t>شود،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اخص بودن 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دلائل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نسبت به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مدعاست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؛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چراکه احیاء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گاهی 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برای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غیر 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>کشاورز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ی است؛ مثلا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برای ساخت و ساز.</w:t>
      </w:r>
    </w:p>
    <w:p w14:paraId="0AFD54DB" w14:textId="77777777" w:rsidR="00055BC9" w:rsidRDefault="00F35B46" w:rsidP="00055BC9">
      <w:pPr>
        <w:pStyle w:val="NormalWeb"/>
        <w:bidi/>
        <w:jc w:val="both"/>
        <w:rPr>
          <w:rFonts w:ascii="Adobe Arabic" w:hAnsi="Adobe Arabic" w:cs="B Nazanin"/>
          <w:color w:val="000000"/>
          <w:sz w:val="28"/>
          <w:szCs w:val="28"/>
          <w:rtl/>
        </w:rPr>
      </w:pPr>
      <w:r>
        <w:rPr>
          <w:rFonts w:ascii="Adobe Arabic" w:hAnsi="Adobe Arabic" w:cs="B Nazanin" w:hint="cs"/>
          <w:color w:val="000000"/>
          <w:sz w:val="28"/>
          <w:szCs w:val="28"/>
          <w:rtl/>
        </w:rPr>
        <w:t>جواب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اشکال نیز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این است که اصل احیاء زمین فعل مستحبی است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و نیازی نیست که آن را در ذیل کشاورزی آورد تا اشکال مذکور وارد شود.</w:t>
      </w:r>
    </w:p>
    <w:p w14:paraId="3FB1CD2A" w14:textId="5A5F4308" w:rsidR="00AD1862" w:rsidRDefault="00AD1862" w:rsidP="00055BC9">
      <w:pPr>
        <w:pStyle w:val="NormalWeb"/>
        <w:bidi/>
        <w:jc w:val="both"/>
        <w:rPr>
          <w:rFonts w:ascii="Adobe Arabic" w:hAnsi="Adobe Arabic" w:cs="B Nazanin"/>
          <w:color w:val="000000"/>
          <w:sz w:val="28"/>
          <w:szCs w:val="28"/>
          <w:rtl/>
        </w:rPr>
      </w:pPr>
      <w:r w:rsidRPr="00AD1862">
        <w:rPr>
          <w:rFonts w:ascii="Adobe Arabic" w:hAnsi="Adobe Arabic" w:cs="B Nazanin" w:hint="cs"/>
          <w:color w:val="000000"/>
          <w:sz w:val="28"/>
          <w:szCs w:val="28"/>
          <w:rtl/>
        </w:rPr>
        <w:lastRenderedPageBreak/>
        <w:t>خداوند متعال در قرآن می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</w:t>
      </w:r>
      <w:r w:rsidRPr="00AD1862">
        <w:rPr>
          <w:rFonts w:ascii="Adobe Arabic" w:hAnsi="Adobe Arabic" w:cs="B Nazanin" w:hint="cs"/>
          <w:color w:val="000000"/>
          <w:sz w:val="28"/>
          <w:szCs w:val="28"/>
          <w:rtl/>
        </w:rPr>
        <w:t>فرمایند:</w:t>
      </w:r>
      <w:r w:rsidRPr="00AD1862">
        <w:rPr>
          <w:rFonts w:ascii="Adobe Arabic" w:hAnsi="Adobe Arabic" w:cs="Adobe Arabic" w:hint="cs"/>
          <w:b/>
          <w:bCs/>
          <w:color w:val="008000"/>
          <w:sz w:val="31"/>
          <w:szCs w:val="31"/>
          <w:rtl/>
        </w:rPr>
        <w:t xml:space="preserve"> </w:t>
      </w:r>
      <w:r w:rsidR="00055BC9">
        <w:rPr>
          <w:rFonts w:ascii="Adobe Arabic" w:hAnsi="Adobe Arabic" w:cs="Adobe Arabic" w:hint="cs"/>
          <w:b/>
          <w:bCs/>
          <w:color w:val="008000"/>
          <w:sz w:val="31"/>
          <w:szCs w:val="31"/>
          <w:rtl/>
        </w:rPr>
        <w:t>«</w:t>
      </w:r>
      <w:r w:rsidRPr="00AD1862">
        <w:rPr>
          <w:rFonts w:ascii="Adobe Arabic" w:hAnsi="Adobe Arabic" w:cs="Adobe Arabic" w:hint="cs"/>
          <w:b/>
          <w:bCs/>
          <w:color w:val="008000"/>
          <w:sz w:val="31"/>
          <w:szCs w:val="31"/>
          <w:rtl/>
        </w:rPr>
        <w:t>وَ إِلَى ثَمُودَ أَخَاهُمْ صَالِحاً قَالَ يَا قَوْمِ اعْبُدُوا اللَّهَ مَا لَكُمْ مِنْ إِلٰهٍ غَيْرُهُ هُوَ أَنْشَأَكُمْ مِنَ الْأَرْضِ وَ اسْتَعْمَرَكُمْ فِيهَا فَاسْتَغْفِرُوهُ ثُمَّ تُوبُوا إِلَيْهِ إِنَّ رَبِّي قَرِيبٌ مُجِيبٌ</w:t>
      </w:r>
      <w:r w:rsidR="00055BC9">
        <w:rPr>
          <w:rFonts w:ascii="Adobe Arabic" w:hAnsi="Adobe Arabic" w:cs="Adobe Arabic" w:hint="cs"/>
          <w:b/>
          <w:bCs/>
          <w:color w:val="008000"/>
          <w:sz w:val="31"/>
          <w:szCs w:val="31"/>
          <w:rtl/>
        </w:rPr>
        <w:t>»</w:t>
      </w:r>
      <w:r>
        <w:rPr>
          <w:rStyle w:val="FootnoteReference"/>
          <w:rFonts w:ascii="Adobe Arabic" w:hAnsi="Adobe Arabic" w:cs="Adobe Arabic"/>
          <w:b/>
          <w:bCs/>
          <w:color w:val="008000"/>
          <w:sz w:val="31"/>
          <w:szCs w:val="31"/>
        </w:rPr>
        <w:footnoteReference w:id="6"/>
      </w:r>
      <w:r>
        <w:rPr>
          <w:rFonts w:ascii="Adobe Arabic" w:hAnsi="Adobe Arabic" w:cs="Adobe Arabic" w:hint="cs"/>
          <w:b/>
          <w:bCs/>
          <w:color w:val="008000"/>
          <w:sz w:val="31"/>
          <w:szCs w:val="31"/>
          <w:rtl/>
        </w:rPr>
        <w:t xml:space="preserve"> </w:t>
      </w:r>
      <w:r w:rsidRPr="00AD1862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چه دلیلی بهتر از این که خدا از بندگانش خواسته که زمین را آباد کنند. </w:t>
      </w:r>
    </w:p>
    <w:p w14:paraId="3C306012" w14:textId="5D1B30A2" w:rsidR="00AD1862" w:rsidRPr="00FA7279" w:rsidRDefault="00AD1862" w:rsidP="00AD1862">
      <w:pPr>
        <w:pStyle w:val="NormalWeb"/>
        <w:bidi/>
        <w:jc w:val="both"/>
        <w:rPr>
          <w:rFonts w:ascii="Adobe Arabic" w:hAnsi="Adobe Arabic" w:cs="B Titr"/>
          <w:color w:val="FF0000"/>
          <w:sz w:val="28"/>
          <w:szCs w:val="28"/>
          <w:rtl/>
        </w:rPr>
      </w:pPr>
      <w:r w:rsidRPr="00FA7279">
        <w:rPr>
          <w:rFonts w:ascii="Adobe Arabic" w:hAnsi="Adobe Arabic" w:cs="B Titr" w:hint="cs"/>
          <w:color w:val="FF0000"/>
          <w:sz w:val="28"/>
          <w:szCs w:val="28"/>
          <w:rtl/>
        </w:rPr>
        <w:t>حکم وضعی</w:t>
      </w:r>
    </w:p>
    <w:p w14:paraId="06DDBF56" w14:textId="77777777" w:rsidR="00055BC9" w:rsidRDefault="00AD1862" w:rsidP="00055BC9">
      <w:pPr>
        <w:pStyle w:val="NormalWeb"/>
        <w:bidi/>
        <w:jc w:val="both"/>
        <w:rPr>
          <w:rFonts w:ascii="Adobe Arabic" w:hAnsi="Adobe Arabic" w:cs="B Nazanin"/>
          <w:color w:val="000000"/>
          <w:sz w:val="28"/>
          <w:szCs w:val="28"/>
          <w:rtl/>
        </w:rPr>
      </w:pP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حکم وضعی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احیاء،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ملکیت است.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"لام</w:t>
      </w:r>
      <w:r w:rsidRPr="00AD1862">
        <w:rPr>
          <w:rFonts w:ascii="Adobe Arabic" w:hAnsi="Adobe Arabic" w:cs="B Nazanin" w:hint="cs"/>
          <w:color w:val="000000"/>
          <w:sz w:val="28"/>
          <w:szCs w:val="28"/>
          <w:rtl/>
        </w:rPr>
        <w:t>"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</w:t>
      </w:r>
      <w:r w:rsidRPr="00AD1862">
        <w:rPr>
          <w:rFonts w:ascii="Adobe Arabic" w:hAnsi="Adobe Arabic" w:cs="B Nazanin" w:hint="cs"/>
          <w:color w:val="000000"/>
          <w:sz w:val="28"/>
          <w:szCs w:val="28"/>
          <w:rtl/>
        </w:rPr>
        <w:t>در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8000"/>
          <w:sz w:val="32"/>
          <w:szCs w:val="32"/>
          <w:rtl/>
        </w:rPr>
        <w:t>«</w:t>
      </w:r>
      <w:r w:rsidRPr="009663D3">
        <w:rPr>
          <w:rFonts w:ascii="Adobe Arabic" w:hAnsi="Adobe Arabic" w:cs="Adobe Arabic"/>
          <w:b/>
          <w:bCs/>
          <w:color w:val="008000"/>
          <w:sz w:val="32"/>
          <w:szCs w:val="32"/>
          <w:rtl/>
        </w:rPr>
        <w:t>فَهِيَ لَهُ</w:t>
      </w:r>
      <w:r>
        <w:rPr>
          <w:rFonts w:ascii="Adobe Arabic" w:hAnsi="Adobe Arabic" w:cs="Adobe Arabic" w:hint="cs"/>
          <w:b/>
          <w:bCs/>
          <w:color w:val="008000"/>
          <w:sz w:val="32"/>
          <w:szCs w:val="32"/>
          <w:rtl/>
        </w:rPr>
        <w:t>»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برای 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ملکیت است و در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مواردی نیز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که ملکیت امکان ندارد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، آن را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 به اخ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ت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 xml:space="preserve">صاص معنا </w:t>
      </w:r>
      <w:r w:rsidR="00055BC9">
        <w:rPr>
          <w:rFonts w:ascii="Adobe Arabic" w:hAnsi="Adobe Arabic" w:cs="B Nazanin" w:hint="cs"/>
          <w:color w:val="000000"/>
          <w:sz w:val="28"/>
          <w:szCs w:val="28"/>
          <w:rtl/>
        </w:rPr>
        <w:t>می کنند</w:t>
      </w:r>
      <w:r>
        <w:rPr>
          <w:rFonts w:ascii="Adobe Arabic" w:hAnsi="Adobe Arabic" w:cs="B Nazanin" w:hint="cs"/>
          <w:color w:val="000000"/>
          <w:sz w:val="28"/>
          <w:szCs w:val="28"/>
          <w:rtl/>
        </w:rPr>
        <w:t>.</w:t>
      </w:r>
    </w:p>
    <w:p w14:paraId="229678D1" w14:textId="3467A2CF" w:rsidR="00F35B46" w:rsidRPr="006C6584" w:rsidRDefault="00AD1862" w:rsidP="00055BC9">
      <w:pPr>
        <w:pStyle w:val="NormalWeb"/>
        <w:bidi/>
        <w:jc w:val="both"/>
        <w:rPr>
          <w:rFonts w:ascii="Adobe Arabic" w:hAnsi="Adobe Arabic" w:cs="B Nazanin"/>
          <w:color w:val="000000"/>
          <w:sz w:val="28"/>
          <w:szCs w:val="28"/>
        </w:rPr>
      </w:pPr>
      <w:r>
        <w:rPr>
          <w:rFonts w:ascii="Adobe Arabic" w:hAnsi="Adobe Arabic" w:cs="B Nazanin" w:hint="cs"/>
          <w:color w:val="000000"/>
          <w:sz w:val="28"/>
          <w:szCs w:val="28"/>
          <w:rtl/>
        </w:rPr>
        <w:t>وصلی الله علی محمد و آله.</w:t>
      </w:r>
    </w:p>
    <w:sectPr w:rsidR="00F35B46" w:rsidRPr="006C6584" w:rsidSect="003D27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F6E2" w14:textId="77777777" w:rsidR="00544132" w:rsidRDefault="00544132" w:rsidP="00CF2919">
      <w:pPr>
        <w:spacing w:after="0" w:line="240" w:lineRule="auto"/>
      </w:pPr>
      <w:r>
        <w:separator/>
      </w:r>
    </w:p>
  </w:endnote>
  <w:endnote w:type="continuationSeparator" w:id="0">
    <w:p w14:paraId="6A61E00E" w14:textId="77777777" w:rsidR="00544132" w:rsidRDefault="00544132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424D0769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A0D15" w:rsidRPr="00BA0D15">
                                <w:rPr>
                                  <w:noProof/>
                                  <w:rtl/>
                                  <w:lang w:val="fa-IR"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424D0769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BA0D15" w:rsidRPr="00BA0D15">
                          <w:rPr>
                            <w:noProof/>
                            <w:rtl/>
                            <w:lang w:val="fa-IR"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shapetype w14:anchorId="059C1C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51227" w14:textId="77777777" w:rsidR="00544132" w:rsidRDefault="00544132" w:rsidP="00CF2919">
      <w:pPr>
        <w:spacing w:after="0" w:line="240" w:lineRule="auto"/>
      </w:pPr>
      <w:r>
        <w:separator/>
      </w:r>
    </w:p>
  </w:footnote>
  <w:footnote w:type="continuationSeparator" w:id="0">
    <w:p w14:paraId="1396AC45" w14:textId="77777777" w:rsidR="00544132" w:rsidRDefault="00544132" w:rsidP="00CF2919">
      <w:pPr>
        <w:spacing w:after="0" w:line="240" w:lineRule="auto"/>
      </w:pPr>
      <w:r>
        <w:continuationSeparator/>
      </w:r>
    </w:p>
  </w:footnote>
  <w:footnote w:id="1">
    <w:p w14:paraId="56966E80" w14:textId="77777777" w:rsidR="00DF22DF" w:rsidRPr="00A53351" w:rsidRDefault="00DF22DF" w:rsidP="00DF22DF">
      <w:pPr>
        <w:pStyle w:val="FootnoteText"/>
        <w:rPr>
          <w:rFonts w:cs="B Nazanin"/>
          <w:rtl/>
        </w:rPr>
      </w:pPr>
      <w:r w:rsidRPr="00A53351">
        <w:rPr>
          <w:rStyle w:val="FootnoteReference"/>
          <w:rFonts w:cs="B Nazanin"/>
        </w:rPr>
        <w:footnoteRef/>
      </w:r>
      <w:r w:rsidRPr="00A53351">
        <w:rPr>
          <w:rFonts w:cs="B Nazanin"/>
          <w:rtl/>
        </w:rPr>
        <w:t xml:space="preserve"> </w:t>
      </w:r>
      <w:hyperlink r:id="rId1" w:history="1">
        <w:r w:rsidRPr="00133D80">
          <w:rPr>
            <w:rStyle w:val="Hyperlink"/>
            <w:rFonts w:cs="B Nazanin" w:hint="cs"/>
            <w:rtl/>
          </w:rPr>
          <w:t>وسائل الشیعه، الحرالعاملی، ج</w:t>
        </w:r>
        <w:r>
          <w:rPr>
            <w:rStyle w:val="Hyperlink"/>
            <w:rFonts w:cs="B Nazanin" w:hint="cs"/>
            <w:rtl/>
          </w:rPr>
          <w:t>17</w:t>
        </w:r>
        <w:r w:rsidRPr="00133D80">
          <w:rPr>
            <w:rStyle w:val="Hyperlink"/>
            <w:rFonts w:cs="B Nazanin" w:hint="cs"/>
            <w:rtl/>
          </w:rPr>
          <w:t>، ص</w:t>
        </w:r>
        <w:r>
          <w:rPr>
            <w:rStyle w:val="Hyperlink"/>
            <w:rFonts w:cs="B Nazanin" w:hint="cs"/>
            <w:rtl/>
          </w:rPr>
          <w:t>364</w:t>
        </w:r>
        <w:r w:rsidRPr="00133D80">
          <w:rPr>
            <w:rStyle w:val="Hyperlink"/>
            <w:rFonts w:cs="B Nazanin" w:hint="cs"/>
            <w:rtl/>
          </w:rPr>
          <w:t>، باب1، ح</w:t>
        </w:r>
      </w:hyperlink>
      <w:r w:rsidRPr="00133D80">
        <w:rPr>
          <w:rStyle w:val="Hyperlink"/>
          <w:rFonts w:hint="cs"/>
          <w:rtl/>
        </w:rPr>
        <w:t>5</w:t>
      </w:r>
    </w:p>
  </w:footnote>
  <w:footnote w:id="2">
    <w:p w14:paraId="195BA98D" w14:textId="5D1C52EF" w:rsidR="00EA14F6" w:rsidRPr="00BA0D15" w:rsidRDefault="00EA14F6" w:rsidP="003E72F1">
      <w:pPr>
        <w:pStyle w:val="FootnoteText"/>
        <w:rPr>
          <w:rStyle w:val="Hyperlink"/>
          <w:rFonts w:cs="B Nazanin"/>
          <w:rtl/>
        </w:rPr>
      </w:pPr>
      <w:r w:rsidRPr="00BA0D15">
        <w:rPr>
          <w:rStyle w:val="Hyperlink"/>
          <w:rFonts w:cs="B Nazanin"/>
        </w:rPr>
        <w:footnoteRef/>
      </w:r>
      <w:r w:rsidRPr="00BA0D15">
        <w:rPr>
          <w:rStyle w:val="Hyperlink"/>
          <w:rFonts w:cs="B Nazanin"/>
          <w:rtl/>
        </w:rPr>
        <w:t xml:space="preserve"> </w:t>
      </w:r>
      <w:hyperlink r:id="rId2" w:history="1">
        <w:r w:rsidRPr="00EA14F6">
          <w:rPr>
            <w:rStyle w:val="Hyperlink"/>
            <w:rFonts w:cs="B Nazanin" w:hint="cs"/>
            <w:rtl/>
          </w:rPr>
          <w:t>وسائل الشیعه، الحرالعاملی، ج12، ص25، باب10، ح</w:t>
        </w:r>
        <w:r w:rsidRPr="00BA0D15">
          <w:rPr>
            <w:rStyle w:val="Hyperlink"/>
            <w:rFonts w:cs="B Nazanin"/>
          </w:rPr>
          <w:t>3</w:t>
        </w:r>
      </w:hyperlink>
    </w:p>
  </w:footnote>
  <w:footnote w:id="3">
    <w:p w14:paraId="7DFB30CB" w14:textId="65C40FAF" w:rsidR="003E72F1" w:rsidRPr="00BA0D15" w:rsidRDefault="003E72F1" w:rsidP="003E72F1">
      <w:pPr>
        <w:pStyle w:val="FootnoteText"/>
        <w:rPr>
          <w:rStyle w:val="Hyperlink"/>
          <w:rFonts w:cs="B Nazanin"/>
        </w:rPr>
      </w:pPr>
      <w:r w:rsidRPr="00BA0D15">
        <w:rPr>
          <w:rStyle w:val="Hyperlink"/>
          <w:rFonts w:cs="B Nazanin"/>
        </w:rPr>
        <w:footnoteRef/>
      </w:r>
      <w:r w:rsidRPr="00BA0D15">
        <w:rPr>
          <w:rStyle w:val="Hyperlink"/>
          <w:rFonts w:cs="B Nazanin"/>
          <w:rtl/>
        </w:rPr>
        <w:t xml:space="preserve"> </w:t>
      </w:r>
      <w:hyperlink r:id="rId3" w:history="1">
        <w:r w:rsidRPr="003E72F1">
          <w:rPr>
            <w:rStyle w:val="Hyperlink"/>
            <w:rFonts w:cs="B Nazanin" w:hint="cs"/>
            <w:rtl/>
          </w:rPr>
          <w:t>وسائل الشیعه، الحرالعاملی، ج13، ص194، باب3، ح7</w:t>
        </w:r>
      </w:hyperlink>
    </w:p>
  </w:footnote>
  <w:footnote w:id="4">
    <w:p w14:paraId="34B323DA" w14:textId="57522579" w:rsidR="003E72F1" w:rsidRPr="00BA0D15" w:rsidRDefault="003E72F1">
      <w:pPr>
        <w:pStyle w:val="FootnoteText"/>
        <w:rPr>
          <w:rStyle w:val="Hyperlink"/>
          <w:rFonts w:cs="B Nazanin"/>
          <w:rtl/>
        </w:rPr>
      </w:pPr>
      <w:r w:rsidRPr="00BA0D15">
        <w:rPr>
          <w:rStyle w:val="Hyperlink"/>
          <w:rFonts w:cs="B Nazanin"/>
        </w:rPr>
        <w:footnoteRef/>
      </w:r>
      <w:r w:rsidRPr="00BA0D15">
        <w:rPr>
          <w:rStyle w:val="Hyperlink"/>
          <w:rFonts w:cs="B Nazanin"/>
          <w:rtl/>
        </w:rPr>
        <w:t xml:space="preserve"> </w:t>
      </w:r>
      <w:hyperlink r:id="rId4" w:history="1">
        <w:r w:rsidRPr="003E72F1">
          <w:rPr>
            <w:rStyle w:val="Hyperlink"/>
            <w:rFonts w:cs="B Nazanin" w:hint="cs"/>
            <w:rtl/>
          </w:rPr>
          <w:t>امالی، الصدوق، ج1 ،ص431</w:t>
        </w:r>
      </w:hyperlink>
    </w:p>
  </w:footnote>
  <w:footnote w:id="5">
    <w:p w14:paraId="7744C13E" w14:textId="574B8486" w:rsidR="00F261F7" w:rsidRPr="00BA0D15" w:rsidRDefault="00F261F7" w:rsidP="00F261F7">
      <w:pPr>
        <w:pStyle w:val="FootnoteText"/>
        <w:rPr>
          <w:rStyle w:val="Hyperlink"/>
          <w:rFonts w:cs="B Nazanin"/>
        </w:rPr>
      </w:pPr>
      <w:r w:rsidRPr="00BA0D15">
        <w:rPr>
          <w:rStyle w:val="Hyperlink"/>
          <w:rFonts w:cs="B Nazanin"/>
        </w:rPr>
        <w:footnoteRef/>
      </w:r>
      <w:r w:rsidRPr="00BA0D15">
        <w:rPr>
          <w:rStyle w:val="Hyperlink"/>
          <w:rFonts w:cs="B Nazanin"/>
          <w:rtl/>
        </w:rPr>
        <w:t xml:space="preserve"> </w:t>
      </w:r>
      <w:hyperlink r:id="rId5" w:history="1">
        <w:r w:rsidRPr="00BA0D15">
          <w:rPr>
            <w:rStyle w:val="Hyperlink"/>
            <w:rFonts w:cs="B Nazanin"/>
            <w:rtl/>
          </w:rPr>
          <w:t>مستدرك الوسائل</w:t>
        </w:r>
        <w:r w:rsidRPr="00BA0D15">
          <w:rPr>
            <w:rStyle w:val="Hyperlink"/>
            <w:rFonts w:cs="B Nazanin" w:hint="cs"/>
            <w:rtl/>
          </w:rPr>
          <w:t xml:space="preserve">، </w:t>
        </w:r>
        <w:r w:rsidRPr="00BA0D15">
          <w:rPr>
            <w:rStyle w:val="Hyperlink"/>
            <w:rFonts w:cs="B Nazanin"/>
            <w:rtl/>
          </w:rPr>
          <w:t>المحدّث الن</w:t>
        </w:r>
        <w:r w:rsidR="00BA0D15" w:rsidRPr="00BA0D15">
          <w:rPr>
            <w:rStyle w:val="Hyperlink"/>
            <w:rFonts w:cs="B Nazanin" w:hint="cs"/>
            <w:rtl/>
          </w:rPr>
          <w:t>وری، ج17، ص112، ابواب کتاب احیاء الموات، باب1، ح6</w:t>
        </w:r>
      </w:hyperlink>
    </w:p>
  </w:footnote>
  <w:footnote w:id="6">
    <w:p w14:paraId="5AC38237" w14:textId="420A3B65" w:rsidR="00AD1862" w:rsidRDefault="00AD186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D1862">
        <w:rPr>
          <w:rFonts w:cs="B Nazanin" w:hint="cs"/>
          <w:rtl/>
        </w:rPr>
        <w:t>هود 123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4267F3B5" w:rsidR="00296068" w:rsidRPr="00CF2919" w:rsidRDefault="006E7CFC" w:rsidP="006C6584">
    <w:pPr>
      <w:pStyle w:val="Header"/>
      <w:rPr>
        <w:rFonts w:cs="B Nazanin"/>
      </w:rPr>
    </w:pPr>
    <w:r>
      <w:rPr>
        <w:rFonts w:cs="B Nazanin" w:hint="cs"/>
        <w:rtl/>
      </w:rPr>
      <w:t>قواعد ف</w:t>
    </w:r>
    <w:r w:rsidR="00467BF6">
      <w:rPr>
        <w:rFonts w:cs="B Nazanin" w:hint="cs"/>
        <w:rtl/>
      </w:rPr>
      <w:t xml:space="preserve">قهیه / قاعده </w:t>
    </w:r>
    <w:r w:rsidR="006C6584">
      <w:rPr>
        <w:rFonts w:cs="B Nazanin" w:hint="cs"/>
        <w:rtl/>
      </w:rPr>
      <w:t>احیاء موات</w:t>
    </w:r>
    <w:r w:rsidR="00467BF6">
      <w:rPr>
        <w:rFonts w:cs="B Nazanin" w:hint="cs"/>
        <w:rtl/>
      </w:rPr>
      <w:t xml:space="preserve"> ....</w:t>
    </w:r>
    <w:r w:rsidR="006C6584">
      <w:rPr>
        <w:rFonts w:cs="B Nazanin" w:hint="cs"/>
        <w:rtl/>
      </w:rPr>
      <w:t>....</w:t>
    </w:r>
    <w:r w:rsidR="00296068">
      <w:rPr>
        <w:rFonts w:cs="B Nazanin" w:hint="cs"/>
        <w:rtl/>
      </w:rPr>
      <w:t>...................</w:t>
    </w:r>
    <w:r w:rsidR="00D02E16">
      <w:rPr>
        <w:rFonts w:cs="B Nazanin" w:hint="cs"/>
        <w:rtl/>
      </w:rPr>
      <w:t>.......</w:t>
    </w:r>
    <w:r w:rsidR="00AB40AF">
      <w:rPr>
        <w:rFonts w:cs="B Nazanin" w:hint="cs"/>
        <w:rtl/>
      </w:rPr>
      <w:t>...........</w:t>
    </w:r>
    <w:r w:rsidR="00054D97">
      <w:rPr>
        <w:rFonts w:cs="B Nazanin" w:hint="cs"/>
        <w:rtl/>
      </w:rPr>
      <w:t>..........</w:t>
    </w:r>
    <w:r w:rsidR="00F01394">
      <w:rPr>
        <w:rFonts w:cs="B Nazanin" w:hint="cs"/>
        <w:rtl/>
      </w:rPr>
      <w:t>....</w:t>
    </w:r>
    <w:r w:rsidR="00AB40AF">
      <w:rPr>
        <w:rFonts w:cs="B Nazanin" w:hint="cs"/>
        <w:rtl/>
      </w:rPr>
      <w:t>.......</w:t>
    </w:r>
    <w:r w:rsidR="00C8627F">
      <w:rPr>
        <w:rFonts w:cs="B Nazanin" w:hint="cs"/>
        <w:rtl/>
      </w:rPr>
      <w:t>..........</w:t>
    </w:r>
    <w:r w:rsidR="00857ACD">
      <w:rPr>
        <w:rFonts w:cs="B Nazanin" w:hint="cs"/>
        <w:rtl/>
      </w:rPr>
      <w:t>.........</w:t>
    </w:r>
    <w:r w:rsidR="00FA4350">
      <w:rPr>
        <w:rFonts w:cs="B Nazanin" w:hint="cs"/>
        <w:rtl/>
      </w:rPr>
      <w:t>..........</w:t>
    </w:r>
    <w:r w:rsidR="0045218B">
      <w:rPr>
        <w:rFonts w:cs="B Nazanin" w:hint="cs"/>
        <w:rtl/>
      </w:rPr>
      <w:t>...........</w:t>
    </w:r>
    <w:r w:rsidR="00E233F6">
      <w:rPr>
        <w:rFonts w:cs="B Nazanin" w:hint="cs"/>
        <w:rtl/>
      </w:rPr>
      <w:t>...</w:t>
    </w:r>
    <w:r w:rsidR="00ED35B2">
      <w:rPr>
        <w:rFonts w:cs="B Nazanin" w:hint="cs"/>
        <w:rtl/>
      </w:rPr>
      <w:t>...........</w:t>
    </w:r>
    <w:r w:rsidR="00E233F6">
      <w:rPr>
        <w:rFonts w:cs="B Nazanin" w:hint="cs"/>
        <w:rtl/>
      </w:rPr>
      <w:t>.....</w:t>
    </w:r>
    <w:r w:rsidR="00F01394">
      <w:rPr>
        <w:rFonts w:cs="B Nazanin" w:hint="cs"/>
        <w:rtl/>
      </w:rPr>
      <w:t>....</w:t>
    </w:r>
    <w:r w:rsidR="00296068">
      <w:rPr>
        <w:rFonts w:cs="B Nazanin" w:hint="cs"/>
        <w:rtl/>
      </w:rPr>
      <w:t xml:space="preserve">........خارج فقه، </w:t>
    </w:r>
    <w:r w:rsidR="00467BF6">
      <w:rPr>
        <w:rFonts w:cs="B Nazanin" w:hint="cs"/>
        <w:rtl/>
      </w:rPr>
      <w:t>دو</w:t>
    </w:r>
    <w:r w:rsidR="00296068">
      <w:rPr>
        <w:rFonts w:cs="B Nazanin" w:hint="cs"/>
        <w:rtl/>
      </w:rPr>
      <w:t xml:space="preserve">شنبه </w:t>
    </w:r>
    <w:r w:rsidR="0045218B">
      <w:rPr>
        <w:rFonts w:cs="B Nazanin" w:hint="cs"/>
        <w:rtl/>
      </w:rPr>
      <w:t>0</w:t>
    </w:r>
    <w:r w:rsidR="00467BF6">
      <w:rPr>
        <w:rFonts w:cs="B Nazanin" w:hint="cs"/>
        <w:rtl/>
      </w:rPr>
      <w:t>3</w:t>
    </w:r>
    <w:r w:rsidR="00296068">
      <w:rPr>
        <w:rFonts w:cs="B Nazanin" w:hint="cs"/>
        <w:rtl/>
      </w:rPr>
      <w:t>/</w:t>
    </w:r>
    <w:r w:rsidR="0045218B">
      <w:rPr>
        <w:rFonts w:cs="B Nazanin" w:hint="cs"/>
        <w:rtl/>
      </w:rPr>
      <w:t>08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8E"/>
    <w:rsid w:val="00011419"/>
    <w:rsid w:val="0001468B"/>
    <w:rsid w:val="00027F8D"/>
    <w:rsid w:val="00034E92"/>
    <w:rsid w:val="0004200E"/>
    <w:rsid w:val="00043354"/>
    <w:rsid w:val="00047B3C"/>
    <w:rsid w:val="000528B2"/>
    <w:rsid w:val="00054381"/>
    <w:rsid w:val="00054D97"/>
    <w:rsid w:val="00055BC9"/>
    <w:rsid w:val="000564C4"/>
    <w:rsid w:val="00070061"/>
    <w:rsid w:val="00081262"/>
    <w:rsid w:val="00093086"/>
    <w:rsid w:val="000E49E1"/>
    <w:rsid w:val="000E7D89"/>
    <w:rsid w:val="000F610E"/>
    <w:rsid w:val="0010120C"/>
    <w:rsid w:val="00132B25"/>
    <w:rsid w:val="00133D80"/>
    <w:rsid w:val="00134915"/>
    <w:rsid w:val="00140258"/>
    <w:rsid w:val="001418BD"/>
    <w:rsid w:val="00150987"/>
    <w:rsid w:val="001513AC"/>
    <w:rsid w:val="00161E83"/>
    <w:rsid w:val="00170EA0"/>
    <w:rsid w:val="00172D13"/>
    <w:rsid w:val="001761F8"/>
    <w:rsid w:val="00181CCD"/>
    <w:rsid w:val="0018403E"/>
    <w:rsid w:val="00191ADF"/>
    <w:rsid w:val="001A4622"/>
    <w:rsid w:val="001C008E"/>
    <w:rsid w:val="001C08F2"/>
    <w:rsid w:val="001C3A92"/>
    <w:rsid w:val="001C703D"/>
    <w:rsid w:val="001D7EAA"/>
    <w:rsid w:val="001E297E"/>
    <w:rsid w:val="001F2F94"/>
    <w:rsid w:val="00206596"/>
    <w:rsid w:val="00220C7D"/>
    <w:rsid w:val="00235C17"/>
    <w:rsid w:val="00262F0A"/>
    <w:rsid w:val="00265A05"/>
    <w:rsid w:val="002664CB"/>
    <w:rsid w:val="00291F21"/>
    <w:rsid w:val="00296068"/>
    <w:rsid w:val="002A23F2"/>
    <w:rsid w:val="002B64C1"/>
    <w:rsid w:val="002C2C16"/>
    <w:rsid w:val="002C3322"/>
    <w:rsid w:val="002D5537"/>
    <w:rsid w:val="002F3BD5"/>
    <w:rsid w:val="002F3C0C"/>
    <w:rsid w:val="00305EBB"/>
    <w:rsid w:val="003104A9"/>
    <w:rsid w:val="00327451"/>
    <w:rsid w:val="00362B08"/>
    <w:rsid w:val="00365A96"/>
    <w:rsid w:val="00383298"/>
    <w:rsid w:val="003859D1"/>
    <w:rsid w:val="00387E09"/>
    <w:rsid w:val="00396407"/>
    <w:rsid w:val="003C187F"/>
    <w:rsid w:val="003D2703"/>
    <w:rsid w:val="003D2F2B"/>
    <w:rsid w:val="003D3254"/>
    <w:rsid w:val="003E72F1"/>
    <w:rsid w:val="004049BE"/>
    <w:rsid w:val="004164D7"/>
    <w:rsid w:val="004248BE"/>
    <w:rsid w:val="00427DC6"/>
    <w:rsid w:val="004338C5"/>
    <w:rsid w:val="00435973"/>
    <w:rsid w:val="00437FAA"/>
    <w:rsid w:val="0044579D"/>
    <w:rsid w:val="0045218B"/>
    <w:rsid w:val="004625CE"/>
    <w:rsid w:val="00467BF6"/>
    <w:rsid w:val="00474846"/>
    <w:rsid w:val="00476CC1"/>
    <w:rsid w:val="00483379"/>
    <w:rsid w:val="0048403D"/>
    <w:rsid w:val="004B1668"/>
    <w:rsid w:val="004C5604"/>
    <w:rsid w:val="004D06A3"/>
    <w:rsid w:val="004E5FC4"/>
    <w:rsid w:val="004F1732"/>
    <w:rsid w:val="004F68FC"/>
    <w:rsid w:val="004F6EBE"/>
    <w:rsid w:val="005023D5"/>
    <w:rsid w:val="00542CB4"/>
    <w:rsid w:val="00544132"/>
    <w:rsid w:val="00546BAC"/>
    <w:rsid w:val="00551FE7"/>
    <w:rsid w:val="00552110"/>
    <w:rsid w:val="00554CFF"/>
    <w:rsid w:val="0056299A"/>
    <w:rsid w:val="00570F8F"/>
    <w:rsid w:val="00592F6D"/>
    <w:rsid w:val="005B539A"/>
    <w:rsid w:val="005C4215"/>
    <w:rsid w:val="005D6C9C"/>
    <w:rsid w:val="005E4532"/>
    <w:rsid w:val="005E4951"/>
    <w:rsid w:val="00614558"/>
    <w:rsid w:val="00622919"/>
    <w:rsid w:val="00622D72"/>
    <w:rsid w:val="006265A7"/>
    <w:rsid w:val="00630C15"/>
    <w:rsid w:val="00633AB7"/>
    <w:rsid w:val="00635D9A"/>
    <w:rsid w:val="00636894"/>
    <w:rsid w:val="0065494B"/>
    <w:rsid w:val="00656398"/>
    <w:rsid w:val="00670871"/>
    <w:rsid w:val="006726F8"/>
    <w:rsid w:val="00672B58"/>
    <w:rsid w:val="006802F7"/>
    <w:rsid w:val="0069589A"/>
    <w:rsid w:val="0069662C"/>
    <w:rsid w:val="006A0424"/>
    <w:rsid w:val="006C6584"/>
    <w:rsid w:val="006C767B"/>
    <w:rsid w:val="006D1F4B"/>
    <w:rsid w:val="006E2731"/>
    <w:rsid w:val="006E7CFC"/>
    <w:rsid w:val="007029B3"/>
    <w:rsid w:val="0070470F"/>
    <w:rsid w:val="0070772D"/>
    <w:rsid w:val="00715D0A"/>
    <w:rsid w:val="007273D5"/>
    <w:rsid w:val="007536C1"/>
    <w:rsid w:val="007542F6"/>
    <w:rsid w:val="00761922"/>
    <w:rsid w:val="00771885"/>
    <w:rsid w:val="00781934"/>
    <w:rsid w:val="00782334"/>
    <w:rsid w:val="00787DFC"/>
    <w:rsid w:val="007D5452"/>
    <w:rsid w:val="007F3315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82144"/>
    <w:rsid w:val="00882944"/>
    <w:rsid w:val="008A2B77"/>
    <w:rsid w:val="008A6F19"/>
    <w:rsid w:val="008A72D1"/>
    <w:rsid w:val="008B3974"/>
    <w:rsid w:val="008B7922"/>
    <w:rsid w:val="008D3C96"/>
    <w:rsid w:val="008D44A4"/>
    <w:rsid w:val="008E2FF0"/>
    <w:rsid w:val="008E7ED0"/>
    <w:rsid w:val="008F0E05"/>
    <w:rsid w:val="008F4B4B"/>
    <w:rsid w:val="008F57BD"/>
    <w:rsid w:val="00901BD9"/>
    <w:rsid w:val="009047CE"/>
    <w:rsid w:val="00911027"/>
    <w:rsid w:val="00926620"/>
    <w:rsid w:val="00931049"/>
    <w:rsid w:val="009432DD"/>
    <w:rsid w:val="0094594B"/>
    <w:rsid w:val="009560F4"/>
    <w:rsid w:val="009663D3"/>
    <w:rsid w:val="00970A49"/>
    <w:rsid w:val="00986E21"/>
    <w:rsid w:val="009A102B"/>
    <w:rsid w:val="009A55FB"/>
    <w:rsid w:val="009B28DE"/>
    <w:rsid w:val="009B507D"/>
    <w:rsid w:val="009C0345"/>
    <w:rsid w:val="009D39E4"/>
    <w:rsid w:val="009E10A5"/>
    <w:rsid w:val="009E44F6"/>
    <w:rsid w:val="009F0C26"/>
    <w:rsid w:val="009F405E"/>
    <w:rsid w:val="009F42D8"/>
    <w:rsid w:val="00A02DEE"/>
    <w:rsid w:val="00A10272"/>
    <w:rsid w:val="00A22773"/>
    <w:rsid w:val="00A336AA"/>
    <w:rsid w:val="00A41EDD"/>
    <w:rsid w:val="00A50DFB"/>
    <w:rsid w:val="00A53351"/>
    <w:rsid w:val="00A54483"/>
    <w:rsid w:val="00A57AC2"/>
    <w:rsid w:val="00A60E80"/>
    <w:rsid w:val="00A70849"/>
    <w:rsid w:val="00A745C9"/>
    <w:rsid w:val="00A76E71"/>
    <w:rsid w:val="00A80C3C"/>
    <w:rsid w:val="00A9275B"/>
    <w:rsid w:val="00AA0D1C"/>
    <w:rsid w:val="00AA360A"/>
    <w:rsid w:val="00AB0B6E"/>
    <w:rsid w:val="00AB40AF"/>
    <w:rsid w:val="00AD01CF"/>
    <w:rsid w:val="00AD1862"/>
    <w:rsid w:val="00AF4B44"/>
    <w:rsid w:val="00AF6A54"/>
    <w:rsid w:val="00B00A6B"/>
    <w:rsid w:val="00B227F1"/>
    <w:rsid w:val="00B352BE"/>
    <w:rsid w:val="00B52B68"/>
    <w:rsid w:val="00B7050B"/>
    <w:rsid w:val="00B71813"/>
    <w:rsid w:val="00B7513E"/>
    <w:rsid w:val="00B755EE"/>
    <w:rsid w:val="00B80E36"/>
    <w:rsid w:val="00B818E5"/>
    <w:rsid w:val="00BA0D15"/>
    <w:rsid w:val="00BA4884"/>
    <w:rsid w:val="00BC14EE"/>
    <w:rsid w:val="00BD1682"/>
    <w:rsid w:val="00BD3975"/>
    <w:rsid w:val="00BF47F7"/>
    <w:rsid w:val="00BF6FA3"/>
    <w:rsid w:val="00C14E4C"/>
    <w:rsid w:val="00C2003C"/>
    <w:rsid w:val="00C219AF"/>
    <w:rsid w:val="00C35198"/>
    <w:rsid w:val="00C76F93"/>
    <w:rsid w:val="00C8627F"/>
    <w:rsid w:val="00C86B91"/>
    <w:rsid w:val="00C8784D"/>
    <w:rsid w:val="00C929F9"/>
    <w:rsid w:val="00CB0DDF"/>
    <w:rsid w:val="00CB5E59"/>
    <w:rsid w:val="00CB75D6"/>
    <w:rsid w:val="00CE16FB"/>
    <w:rsid w:val="00CF2919"/>
    <w:rsid w:val="00D00A95"/>
    <w:rsid w:val="00D02E16"/>
    <w:rsid w:val="00D3036A"/>
    <w:rsid w:val="00D450A9"/>
    <w:rsid w:val="00D47DC8"/>
    <w:rsid w:val="00D50C3C"/>
    <w:rsid w:val="00D62C83"/>
    <w:rsid w:val="00D67716"/>
    <w:rsid w:val="00D70B37"/>
    <w:rsid w:val="00D72D6B"/>
    <w:rsid w:val="00D74CB3"/>
    <w:rsid w:val="00D76232"/>
    <w:rsid w:val="00D82849"/>
    <w:rsid w:val="00D917CE"/>
    <w:rsid w:val="00DA1FFE"/>
    <w:rsid w:val="00DA2634"/>
    <w:rsid w:val="00DC21FB"/>
    <w:rsid w:val="00DC7DB3"/>
    <w:rsid w:val="00DD3F6A"/>
    <w:rsid w:val="00DE39CC"/>
    <w:rsid w:val="00DF22DF"/>
    <w:rsid w:val="00DF34FB"/>
    <w:rsid w:val="00DF64CA"/>
    <w:rsid w:val="00E06308"/>
    <w:rsid w:val="00E11C41"/>
    <w:rsid w:val="00E233F6"/>
    <w:rsid w:val="00E26891"/>
    <w:rsid w:val="00E26CC9"/>
    <w:rsid w:val="00E301F3"/>
    <w:rsid w:val="00E5039E"/>
    <w:rsid w:val="00E510C6"/>
    <w:rsid w:val="00E573D6"/>
    <w:rsid w:val="00E7136C"/>
    <w:rsid w:val="00E836A3"/>
    <w:rsid w:val="00E92F98"/>
    <w:rsid w:val="00E94262"/>
    <w:rsid w:val="00EA14F6"/>
    <w:rsid w:val="00EA2E13"/>
    <w:rsid w:val="00EB3E53"/>
    <w:rsid w:val="00EB41AB"/>
    <w:rsid w:val="00EC4D69"/>
    <w:rsid w:val="00ED35B2"/>
    <w:rsid w:val="00EF649C"/>
    <w:rsid w:val="00EF6F9D"/>
    <w:rsid w:val="00F01394"/>
    <w:rsid w:val="00F032C3"/>
    <w:rsid w:val="00F04222"/>
    <w:rsid w:val="00F0476C"/>
    <w:rsid w:val="00F0606E"/>
    <w:rsid w:val="00F101A0"/>
    <w:rsid w:val="00F201BE"/>
    <w:rsid w:val="00F203BF"/>
    <w:rsid w:val="00F25002"/>
    <w:rsid w:val="00F261F7"/>
    <w:rsid w:val="00F3117B"/>
    <w:rsid w:val="00F316C9"/>
    <w:rsid w:val="00F35B46"/>
    <w:rsid w:val="00F35D3F"/>
    <w:rsid w:val="00F42C47"/>
    <w:rsid w:val="00F442B9"/>
    <w:rsid w:val="00F4729E"/>
    <w:rsid w:val="00F551F7"/>
    <w:rsid w:val="00F557EB"/>
    <w:rsid w:val="00F70F55"/>
    <w:rsid w:val="00F7192C"/>
    <w:rsid w:val="00F73F26"/>
    <w:rsid w:val="00F81669"/>
    <w:rsid w:val="00F83D01"/>
    <w:rsid w:val="00F94EC3"/>
    <w:rsid w:val="00F96B71"/>
    <w:rsid w:val="00FA159F"/>
    <w:rsid w:val="00FA4350"/>
    <w:rsid w:val="00FA7279"/>
    <w:rsid w:val="00FB79AC"/>
    <w:rsid w:val="00FD292E"/>
    <w:rsid w:val="00FD6F6F"/>
    <w:rsid w:val="00FE4D37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hilight">
    <w:name w:val="hilight"/>
    <w:basedOn w:val="DefaultParagraphFont"/>
    <w:rsid w:val="004B1668"/>
  </w:style>
  <w:style w:type="character" w:styleId="FollowedHyperlink">
    <w:name w:val="FollowedHyperlink"/>
    <w:basedOn w:val="DefaultParagraphFont"/>
    <w:uiPriority w:val="99"/>
    <w:semiHidden/>
    <w:unhideWhenUsed/>
    <w:rsid w:val="0094594B"/>
    <w:rPr>
      <w:color w:val="954F72" w:themeColor="followedHyperlink"/>
      <w:u w:val="single"/>
    </w:rPr>
  </w:style>
  <w:style w:type="character" w:customStyle="1" w:styleId="currentbookname">
    <w:name w:val="current_book_name"/>
    <w:basedOn w:val="DefaultParagraphFont"/>
    <w:rsid w:val="00F261F7"/>
  </w:style>
  <w:style w:type="character" w:customStyle="1" w:styleId="currentbookpage">
    <w:name w:val="current_book_page"/>
    <w:basedOn w:val="DefaultParagraphFont"/>
    <w:rsid w:val="00F2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3/194/&#1705;&#1606;&#1608;&#1586;" TargetMode="External"/><Relationship Id="rId2" Type="http://schemas.openxmlformats.org/officeDocument/2006/relationships/hyperlink" Target="http://lib.eshia.ir/11024/12/25/&#1705;&#1606;&#1608;&#1586;" TargetMode="External"/><Relationship Id="rId1" Type="http://schemas.openxmlformats.org/officeDocument/2006/relationships/hyperlink" Target="http://lib.eshia.ir/11024/17/327/&#1581;&#1585;&#1740;&#1586;" TargetMode="External"/><Relationship Id="rId5" Type="http://schemas.openxmlformats.org/officeDocument/2006/relationships/hyperlink" Target="http://lib.eshia.ir/11015/17/112/&#1605;&#1610;&#1578;&#1577;" TargetMode="External"/><Relationship Id="rId4" Type="http://schemas.openxmlformats.org/officeDocument/2006/relationships/hyperlink" Target="http://lib.eshia.ir/15033/1/431/&#1581;&#1589;&#1575;&#1583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75FB-37B7-4865-9B5D-C65E0081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18</cp:revision>
  <dcterms:created xsi:type="dcterms:W3CDTF">2016-10-18T19:58:00Z</dcterms:created>
  <dcterms:modified xsi:type="dcterms:W3CDTF">2016-10-28T17:15:00Z</dcterms:modified>
</cp:coreProperties>
</file>