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076156" w:rsidRDefault="002D2316" w:rsidP="00076156">
      <w:pPr>
        <w:bidi/>
        <w:ind w:firstLine="288"/>
        <w:jc w:val="both"/>
        <w:rPr>
          <w:rFonts w:cs="B Nazanin"/>
          <w:sz w:val="28"/>
          <w:szCs w:val="28"/>
          <w:rtl/>
          <w:lang w:bidi="fa-IR"/>
        </w:rPr>
      </w:pPr>
      <w:r w:rsidRPr="00076156">
        <w:rPr>
          <w:rFonts w:cs="B Nazanin" w:hint="cs"/>
          <w:sz w:val="28"/>
          <w:szCs w:val="28"/>
          <w:rtl/>
          <w:lang w:bidi="fa-IR"/>
        </w:rPr>
        <w:t>بسم الله الرحمن الرحیم</w:t>
      </w:r>
    </w:p>
    <w:p w:rsidR="002D2316" w:rsidRPr="00076156" w:rsidRDefault="002D2316" w:rsidP="00076156">
      <w:pPr>
        <w:bidi/>
        <w:ind w:firstLine="288"/>
        <w:jc w:val="both"/>
        <w:rPr>
          <w:rFonts w:cs="B Nazanin"/>
          <w:sz w:val="28"/>
          <w:szCs w:val="28"/>
          <w:rtl/>
          <w:lang w:bidi="fa-IR"/>
        </w:rPr>
      </w:pPr>
      <w:r w:rsidRPr="00076156">
        <w:rPr>
          <w:rFonts w:cs="B Nazanin" w:hint="cs"/>
          <w:sz w:val="28"/>
          <w:szCs w:val="28"/>
          <w:rtl/>
          <w:lang w:bidi="fa-IR"/>
        </w:rPr>
        <w:t xml:space="preserve">درس خارج اصول، </w:t>
      </w:r>
      <w:r w:rsidR="00076156">
        <w:rPr>
          <w:rFonts w:cs="B Nazanin" w:hint="cs"/>
          <w:sz w:val="28"/>
          <w:szCs w:val="28"/>
          <w:rtl/>
          <w:lang w:bidi="fa-IR"/>
        </w:rPr>
        <w:t>دوشنبه 16</w:t>
      </w:r>
      <w:r w:rsidRPr="00076156">
        <w:rPr>
          <w:rFonts w:cs="B Nazanin" w:hint="cs"/>
          <w:sz w:val="28"/>
          <w:szCs w:val="28"/>
          <w:rtl/>
          <w:lang w:bidi="fa-IR"/>
        </w:rPr>
        <w:t>/09/1394</w:t>
      </w:r>
    </w:p>
    <w:p w:rsidR="002D2316" w:rsidRPr="00076156" w:rsidRDefault="00076156" w:rsidP="00076156">
      <w:pPr>
        <w:bidi/>
        <w:ind w:firstLine="288"/>
        <w:jc w:val="both"/>
        <w:rPr>
          <w:rFonts w:cs="B Titr"/>
          <w:color w:val="FF0000"/>
          <w:sz w:val="28"/>
          <w:szCs w:val="28"/>
          <w:rtl/>
          <w:lang w:bidi="fa-IR"/>
        </w:rPr>
      </w:pPr>
      <w:r w:rsidRPr="00076156">
        <w:rPr>
          <w:rFonts w:cs="B Titr" w:hint="cs"/>
          <w:color w:val="FF0000"/>
          <w:sz w:val="28"/>
          <w:szCs w:val="28"/>
          <w:rtl/>
          <w:lang w:bidi="fa-IR"/>
        </w:rPr>
        <w:t xml:space="preserve"> مروری بر فرمایش محقق نائینی و محقق خوئی</w:t>
      </w:r>
    </w:p>
    <w:p w:rsidR="002D2316" w:rsidRPr="00076156" w:rsidRDefault="002D2316" w:rsidP="00076156">
      <w:pPr>
        <w:bidi/>
        <w:ind w:firstLine="288"/>
        <w:jc w:val="both"/>
        <w:rPr>
          <w:rFonts w:cs="B Nazanin"/>
          <w:sz w:val="28"/>
          <w:szCs w:val="28"/>
          <w:rtl/>
          <w:lang w:bidi="fa-IR"/>
        </w:rPr>
      </w:pPr>
      <w:r w:rsidRPr="00076156">
        <w:rPr>
          <w:rFonts w:cs="B Nazanin" w:hint="cs"/>
          <w:color w:val="000080"/>
          <w:sz w:val="28"/>
          <w:szCs w:val="28"/>
          <w:rtl/>
          <w:lang w:bidi="fa-IR"/>
        </w:rPr>
        <w:t>فرمایش محفف نائینی را از نظر گذراندیم که فرموده بودند</w:t>
      </w:r>
      <w:r w:rsidRPr="00076156">
        <w:rPr>
          <w:rFonts w:cs="B Nazanin" w:hint="cs"/>
          <w:sz w:val="28"/>
          <w:szCs w:val="28"/>
          <w:rtl/>
          <w:lang w:bidi="fa-IR"/>
        </w:rPr>
        <w:t xml:space="preserve"> مدلول امر همان طلب</w:t>
      </w:r>
      <w:r w:rsidR="00076156">
        <w:rPr>
          <w:rFonts w:cs="B Nazanin" w:hint="cs"/>
          <w:sz w:val="28"/>
          <w:szCs w:val="28"/>
          <w:rtl/>
          <w:lang w:bidi="fa-IR"/>
        </w:rPr>
        <w:t xml:space="preserve"> </w:t>
      </w:r>
      <w:r w:rsidRPr="00076156">
        <w:rPr>
          <w:rFonts w:cs="B Nazanin" w:hint="cs"/>
          <w:sz w:val="28"/>
          <w:szCs w:val="28"/>
          <w:rtl/>
          <w:lang w:bidi="fa-IR"/>
        </w:rPr>
        <w:t>است و در صورتی که مولی ترخیص در ترک نکرده باشد عقل حکم می کند به وجوب و اگر ترخیص در ترک کرده باشد عقل حکم می کند به استحباب، فصلِ وجوب استحقاق عقاب علی الترک است و فصلِ استحباب عدم استحقاق عقاب علی الترک است، این هم مربوط به حکم عقل است، لذا اگر مولی امر به چیزی نمودو نسبت به جواز ترک ساکت بود در اینجا همین امر مولی موضوع می شود برای حکم عقل به لزوم اداء حق مولویت، پس فصل وجوب از حکم عقل به دست می آید و اینکه بگوییم امر وضع شده برای وجوب این حرف صحیحی نیست، امر فقط دلالت بر طلب می کند و وجوب و استحباب از حکم عقل به دست می آید.</w:t>
      </w:r>
      <w:r w:rsidR="00990A2E" w:rsidRPr="00076156">
        <w:rPr>
          <w:rStyle w:val="FootnoteReference"/>
          <w:rFonts w:cs="B Nazanin"/>
          <w:sz w:val="28"/>
          <w:szCs w:val="28"/>
          <w:rtl/>
          <w:lang w:bidi="fa-IR"/>
        </w:rPr>
        <w:t xml:space="preserve"> </w:t>
      </w:r>
      <w:r w:rsidR="00990A2E" w:rsidRPr="00076156">
        <w:rPr>
          <w:rStyle w:val="FootnoteReference"/>
          <w:rFonts w:cs="B Nazanin"/>
          <w:sz w:val="28"/>
          <w:szCs w:val="28"/>
          <w:rtl/>
          <w:lang w:bidi="fa-IR"/>
        </w:rPr>
        <w:footnoteReference w:id="1"/>
      </w:r>
    </w:p>
    <w:p w:rsidR="002D2316" w:rsidRDefault="002D2316" w:rsidP="00076156">
      <w:pPr>
        <w:bidi/>
        <w:ind w:firstLine="288"/>
        <w:jc w:val="both"/>
        <w:rPr>
          <w:rFonts w:cs="B Nazanin" w:hint="cs"/>
          <w:sz w:val="28"/>
          <w:szCs w:val="28"/>
          <w:rtl/>
          <w:lang w:bidi="fa-IR"/>
        </w:rPr>
      </w:pPr>
      <w:r w:rsidRPr="00076156">
        <w:rPr>
          <w:rFonts w:cs="B Nazanin" w:hint="cs"/>
          <w:color w:val="000080"/>
          <w:sz w:val="28"/>
          <w:szCs w:val="28"/>
          <w:rtl/>
          <w:lang w:bidi="fa-IR"/>
        </w:rPr>
        <w:t>محقق خوئی هم همین نظر را پذیرفته اند</w:t>
      </w:r>
      <w:r w:rsidRPr="00076156">
        <w:rPr>
          <w:rFonts w:cs="B Nazanin" w:hint="cs"/>
          <w:sz w:val="28"/>
          <w:szCs w:val="28"/>
          <w:rtl/>
          <w:lang w:bidi="fa-IR"/>
        </w:rPr>
        <w:t xml:space="preserve"> و با نظر خودشان در باب انشاء آن را تطبیق نموده اند.</w:t>
      </w:r>
      <w:r w:rsidR="00990A2E" w:rsidRPr="00076156">
        <w:rPr>
          <w:rStyle w:val="FootnoteReference"/>
          <w:rFonts w:cs="B Nazanin"/>
          <w:sz w:val="28"/>
          <w:szCs w:val="28"/>
          <w:rtl/>
          <w:lang w:bidi="fa-IR"/>
        </w:rPr>
        <w:t xml:space="preserve"> </w:t>
      </w:r>
      <w:r w:rsidR="00990A2E" w:rsidRPr="00076156">
        <w:rPr>
          <w:rStyle w:val="FootnoteReference"/>
          <w:rFonts w:cs="B Nazanin"/>
          <w:sz w:val="28"/>
          <w:szCs w:val="28"/>
          <w:rtl/>
          <w:lang w:bidi="fa-IR"/>
        </w:rPr>
        <w:footnoteReference w:id="2"/>
      </w:r>
    </w:p>
    <w:p w:rsidR="00076156" w:rsidRPr="00076156" w:rsidRDefault="00076156" w:rsidP="00076156">
      <w:pPr>
        <w:bidi/>
        <w:ind w:firstLine="288"/>
        <w:jc w:val="both"/>
        <w:rPr>
          <w:rFonts w:cs="B Titr"/>
          <w:color w:val="FF0000"/>
          <w:sz w:val="28"/>
          <w:szCs w:val="28"/>
          <w:rtl/>
          <w:lang w:bidi="fa-IR"/>
        </w:rPr>
      </w:pPr>
      <w:r w:rsidRPr="00076156">
        <w:rPr>
          <w:rFonts w:cs="B Titr" w:hint="cs"/>
          <w:color w:val="FF0000"/>
          <w:sz w:val="28"/>
          <w:szCs w:val="28"/>
          <w:rtl/>
          <w:lang w:bidi="fa-IR"/>
        </w:rPr>
        <w:t>و فیه</w:t>
      </w:r>
    </w:p>
    <w:p w:rsidR="002D2316" w:rsidRPr="00076156" w:rsidRDefault="002D2316" w:rsidP="00076156">
      <w:pPr>
        <w:bidi/>
        <w:ind w:firstLine="288"/>
        <w:jc w:val="both"/>
        <w:rPr>
          <w:rFonts w:cs="B Nazanin"/>
          <w:sz w:val="28"/>
          <w:szCs w:val="28"/>
          <w:rtl/>
          <w:lang w:bidi="fa-IR"/>
        </w:rPr>
      </w:pPr>
      <w:r w:rsidRPr="00076156">
        <w:rPr>
          <w:rFonts w:cs="B Nazanin" w:hint="cs"/>
          <w:sz w:val="28"/>
          <w:szCs w:val="28"/>
          <w:highlight w:val="yellow"/>
          <w:rtl/>
          <w:lang w:bidi="fa-IR"/>
        </w:rPr>
        <w:t>ما ای</w:t>
      </w:r>
      <w:r w:rsidR="00076156" w:rsidRPr="00076156">
        <w:rPr>
          <w:rFonts w:cs="B Nazanin" w:hint="cs"/>
          <w:sz w:val="28"/>
          <w:szCs w:val="28"/>
          <w:highlight w:val="yellow"/>
          <w:rtl/>
          <w:lang w:bidi="fa-IR"/>
        </w:rPr>
        <w:t>ن</w:t>
      </w:r>
      <w:r w:rsidRPr="00076156">
        <w:rPr>
          <w:rFonts w:cs="B Nazanin" w:hint="cs"/>
          <w:sz w:val="28"/>
          <w:szCs w:val="28"/>
          <w:highlight w:val="yellow"/>
          <w:rtl/>
          <w:lang w:bidi="fa-IR"/>
        </w:rPr>
        <w:t xml:space="preserve"> نظر را نپذیرفتیم </w:t>
      </w:r>
      <w:r w:rsidRPr="00076156">
        <w:rPr>
          <w:rFonts w:cs="B Nazanin" w:hint="cs"/>
          <w:sz w:val="28"/>
          <w:szCs w:val="28"/>
          <w:rtl/>
          <w:lang w:bidi="fa-IR"/>
        </w:rPr>
        <w:t>و می گوییم که ما یک طلب لزومی داریم و یک طلب ترجیحی و این تقسیم از خود امر ناشی می شود نه از حکم عقل، جواب ما به ایشان هم این بود که حکم عقل به لزوم طاعت مولی اختصاص به مولای حقیقی دارد نه موالی عرفیه حال آنکه ما در اوامر رایج هم همین دو نحوه امر را داریم، یک امر وجوبی و یک امر غیر وجوبی، البته وجوب در اینجا به معنای استحقاق عقاب نیست بلکه به معنای الزام است، ما می خواهیم بگوییم همین دو قسم لزومی و رجحانی در درون خودِ امر و طبیعت خود امر هم وجود دارد و مسئله حکم عقل به استحقاق عقاب هم وجود ندارد.</w:t>
      </w:r>
    </w:p>
    <w:p w:rsidR="002D2316" w:rsidRPr="00076156" w:rsidRDefault="002D2316" w:rsidP="00076156">
      <w:pPr>
        <w:bidi/>
        <w:ind w:firstLine="288"/>
        <w:jc w:val="both"/>
        <w:rPr>
          <w:rFonts w:cs="B Nazanin"/>
          <w:sz w:val="28"/>
          <w:szCs w:val="28"/>
          <w:rtl/>
          <w:lang w:bidi="fa-IR"/>
        </w:rPr>
      </w:pPr>
      <w:r w:rsidRPr="00076156">
        <w:rPr>
          <w:rFonts w:cs="B Nazanin" w:hint="cs"/>
          <w:sz w:val="28"/>
          <w:szCs w:val="28"/>
          <w:rtl/>
          <w:lang w:bidi="fa-IR"/>
        </w:rPr>
        <w:t xml:space="preserve">استدلال دوم ما این است که ما دو نوع مصلحت داریم، یکی مصلحت ملزمه و دیگری مصلحت غیر ملزمه، حکم عقل به تحصیل مصلحت مولی </w:t>
      </w:r>
      <w:r w:rsidR="00990A2E" w:rsidRPr="00076156">
        <w:rPr>
          <w:rFonts w:cs="B Nazanin" w:hint="cs"/>
          <w:sz w:val="28"/>
          <w:szCs w:val="28"/>
          <w:rtl/>
          <w:lang w:bidi="fa-IR"/>
        </w:rPr>
        <w:t xml:space="preserve">مربوط به مصلحت ملزمه است، ریشه و سرچشمه امر هم مصلحت است، چون مصلحتی وجود داشته امر می کند و امر ناشی از مصلحت است، اگر ما پذیرفتیم که یک مصلحت ملزمه داریم و یک مصلحت غیر ملزمه خود بخود دو نوع طلب هم پیدا می کنیم، یکی طلبی که ناشی از مصلحت ملزمه است و دیگری طلبی که ناشی از مصلحت غیر ملزمه است، ما که مطابق مسلک عدلیه قائل هستیم که </w:t>
      </w:r>
      <w:r w:rsidR="00990A2E" w:rsidRPr="00076156">
        <w:rPr>
          <w:rFonts w:cs="B Nazanin" w:hint="cs"/>
          <w:sz w:val="28"/>
          <w:szCs w:val="28"/>
          <w:rtl/>
          <w:lang w:bidi="fa-IR"/>
        </w:rPr>
        <w:lastRenderedPageBreak/>
        <w:t>احکام تابع مصالح و مفاسد هستند باید این را بپذیریم که دو نوع طلب داریم زیرا ریشه طلب مصلحت است و ما هم پذیرفتیم که دو نوع مصلحت داریم.</w:t>
      </w:r>
    </w:p>
    <w:p w:rsidR="00990A2E" w:rsidRPr="00076156" w:rsidRDefault="00990A2E" w:rsidP="00076156">
      <w:pPr>
        <w:bidi/>
        <w:ind w:firstLine="288"/>
        <w:jc w:val="both"/>
        <w:rPr>
          <w:rFonts w:cs="B Nazanin"/>
          <w:sz w:val="28"/>
          <w:szCs w:val="28"/>
          <w:rtl/>
          <w:lang w:bidi="fa-IR"/>
        </w:rPr>
      </w:pPr>
      <w:r w:rsidRPr="00076156">
        <w:rPr>
          <w:rFonts w:cs="B Nazanin" w:hint="cs"/>
          <w:sz w:val="28"/>
          <w:szCs w:val="28"/>
          <w:rtl/>
          <w:lang w:bidi="fa-IR"/>
        </w:rPr>
        <w:t>حکم عقل هم به لزوم طاعت در مورد مصلحت ملزمه است، اما اگر مصلحتی غیر ملزمه باشد طلبِ آن هم غیر ملزمه می شود لذا عقل حکم می کند به حُسن الطاعه نه لزوم الطاعه، پس عقل در مصلحت ملزمه حکم می کند به لزوم الطاعه و در مصلحت غیر ملزمه حکم می کند به حُسن الطاعه، پس مصلحتها دو قسم هستند طلبها هم دو قسم هستند حکم عقل هم دو قسم می شود به تبع.</w:t>
      </w:r>
    </w:p>
    <w:p w:rsidR="00990A2E" w:rsidRPr="00076156" w:rsidRDefault="00990A2E" w:rsidP="00076156">
      <w:pPr>
        <w:bidi/>
        <w:ind w:firstLine="288"/>
        <w:jc w:val="both"/>
        <w:rPr>
          <w:rFonts w:cs="B Nazanin"/>
          <w:sz w:val="28"/>
          <w:szCs w:val="28"/>
          <w:rtl/>
          <w:lang w:bidi="fa-IR"/>
        </w:rPr>
      </w:pPr>
      <w:r w:rsidRPr="00076156">
        <w:rPr>
          <w:rFonts w:cs="B Nazanin" w:hint="cs"/>
          <w:sz w:val="28"/>
          <w:szCs w:val="28"/>
          <w:rtl/>
          <w:lang w:bidi="fa-IR"/>
        </w:rPr>
        <w:t>مثلا می بینید گاهی بچه مولی در ال غرق شدن است، این انقاذ غریق یک مصلحت ملزمه است، اما گاهی بچه مولی می خواهد غذایی بخورد که برایش سنگین است، اینا جلوگیری از او هم مصلحتدارد ولی ملزمه نیست و غیر ملزمه است، پس ما در موالی متعارف هم دو نوع مصلحت داریم و به تبع آن دو نوع امر پیدا می کنیم، حکم عقل هم به اطاعت دو قسم می شود گاهی لزوم طاعت داریم و گاهی حُسن طاعت.</w:t>
      </w:r>
    </w:p>
    <w:p w:rsidR="00F12859" w:rsidRPr="00076156" w:rsidRDefault="00F12859" w:rsidP="00076156">
      <w:pPr>
        <w:bidi/>
        <w:ind w:firstLine="288"/>
        <w:jc w:val="both"/>
        <w:rPr>
          <w:rFonts w:cs="B Nazanin"/>
          <w:sz w:val="28"/>
          <w:szCs w:val="28"/>
          <w:rtl/>
          <w:lang w:bidi="fa-IR"/>
        </w:rPr>
      </w:pPr>
      <w:r w:rsidRPr="00076156">
        <w:rPr>
          <w:rFonts w:cs="B Nazanin" w:hint="cs"/>
          <w:sz w:val="28"/>
          <w:szCs w:val="28"/>
          <w:rtl/>
          <w:lang w:bidi="fa-IR"/>
        </w:rPr>
        <w:t>پس طلب طبیعت واحده است لکن دو صنف دارد، اگر قرینه ای قائم بشود بر استحباب که ظهور در استحباب پیدا می کند لکن اگر قرینه ای در کار نباشد خود بخود انصراف به طلب الزامی پیدا می کند، پس ما قبول داریم که امر دو قسم است لکن اینرا هم پذیرفتیم که انصراف دارد به قسم ملزمه مگر اینکه قرینه ای بر خلاف قائم بشود. محقق نائینی همه را منحصر در حکم عقل نمود لکن ما به وسیله انصراف عرفی الزام را ثابت نمودیم.</w:t>
      </w:r>
    </w:p>
    <w:p w:rsidR="00F12859" w:rsidRPr="00076156" w:rsidRDefault="00F12859" w:rsidP="00076156">
      <w:pPr>
        <w:bidi/>
        <w:ind w:firstLine="288"/>
        <w:jc w:val="both"/>
        <w:rPr>
          <w:rFonts w:cs="B Nazanin"/>
          <w:sz w:val="28"/>
          <w:szCs w:val="28"/>
          <w:rtl/>
          <w:lang w:bidi="fa-IR"/>
        </w:rPr>
      </w:pPr>
      <w:r w:rsidRPr="00076156">
        <w:rPr>
          <w:rFonts w:cs="B Nazanin" w:hint="cs"/>
          <w:sz w:val="28"/>
          <w:szCs w:val="28"/>
          <w:rtl/>
          <w:lang w:bidi="fa-IR"/>
        </w:rPr>
        <w:t>اگر کسی احیانا انصراف را نپذیرد در بسیاری موارد باید قائل به اجمال بشود حال آنکه این خلاف متعارف از اوامر است، محقق نائینی به وسیله حکم عقل وجوب را ثابت می کند لکن ما به وسیله انصراف.</w:t>
      </w:r>
    </w:p>
    <w:p w:rsidR="002D2316" w:rsidRPr="00076156" w:rsidRDefault="00076156" w:rsidP="00076156">
      <w:pPr>
        <w:bidi/>
        <w:ind w:firstLine="288"/>
        <w:jc w:val="both"/>
        <w:rPr>
          <w:rFonts w:cs="B Nazanin"/>
          <w:sz w:val="28"/>
          <w:szCs w:val="28"/>
          <w:lang w:bidi="fa-IR"/>
        </w:rPr>
      </w:pPr>
      <w:r>
        <w:rPr>
          <w:rFonts w:cs="B Nazanin" w:hint="cs"/>
          <w:sz w:val="28"/>
          <w:szCs w:val="28"/>
          <w:rtl/>
          <w:lang w:bidi="fa-IR"/>
        </w:rPr>
        <w:t>مهدی جامعی</w:t>
      </w:r>
      <w:bookmarkStart w:id="0" w:name="_GoBack"/>
      <w:bookmarkEnd w:id="0"/>
    </w:p>
    <w:sectPr w:rsidR="002D2316" w:rsidRPr="000761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AC" w:rsidRDefault="008E71AC" w:rsidP="00990A2E">
      <w:pPr>
        <w:spacing w:after="0" w:line="240" w:lineRule="auto"/>
      </w:pPr>
      <w:r>
        <w:separator/>
      </w:r>
    </w:p>
  </w:endnote>
  <w:endnote w:type="continuationSeparator" w:id="0">
    <w:p w:rsidR="008E71AC" w:rsidRDefault="008E71AC" w:rsidP="0099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AC" w:rsidRDefault="008E71AC" w:rsidP="00990A2E">
      <w:pPr>
        <w:spacing w:after="0" w:line="240" w:lineRule="auto"/>
      </w:pPr>
      <w:r>
        <w:separator/>
      </w:r>
    </w:p>
  </w:footnote>
  <w:footnote w:type="continuationSeparator" w:id="0">
    <w:p w:rsidR="008E71AC" w:rsidRDefault="008E71AC" w:rsidP="00990A2E">
      <w:pPr>
        <w:spacing w:after="0" w:line="240" w:lineRule="auto"/>
      </w:pPr>
      <w:r>
        <w:continuationSeparator/>
      </w:r>
    </w:p>
  </w:footnote>
  <w:footnote w:id="1">
    <w:p w:rsidR="00990A2E" w:rsidRDefault="00990A2E" w:rsidP="00990A2E">
      <w:pPr>
        <w:pStyle w:val="FootnoteText"/>
        <w:bidi/>
        <w:rPr>
          <w:rtl/>
          <w:lang w:bidi="fa-IR"/>
        </w:rPr>
      </w:pPr>
      <w:r>
        <w:rPr>
          <w:rStyle w:val="FootnoteReference"/>
        </w:rPr>
        <w:footnoteRef/>
      </w:r>
      <w:r>
        <w:t xml:space="preserve"> </w:t>
      </w:r>
      <w:r>
        <w:rPr>
          <w:rFonts w:hint="cs"/>
          <w:rtl/>
          <w:lang w:bidi="fa-IR"/>
        </w:rPr>
        <w:t xml:space="preserve"> </w:t>
      </w:r>
      <w:hyperlink r:id="rId1" w:history="1">
        <w:r w:rsidRPr="00ED1104">
          <w:rPr>
            <w:rStyle w:val="Hyperlink"/>
            <w:rFonts w:hint="cs"/>
            <w:rtl/>
            <w:lang w:bidi="fa-IR"/>
          </w:rPr>
          <w:t>فواید الاصول، محمد حسین غروی، ج1، ص129.</w:t>
        </w:r>
      </w:hyperlink>
    </w:p>
  </w:footnote>
  <w:footnote w:id="2">
    <w:p w:rsidR="00990A2E" w:rsidRDefault="00990A2E" w:rsidP="00990A2E">
      <w:pPr>
        <w:pStyle w:val="FootnoteText"/>
        <w:bidi/>
        <w:rPr>
          <w:rtl/>
          <w:lang w:bidi="fa-IR"/>
        </w:rPr>
      </w:pPr>
      <w:r>
        <w:rPr>
          <w:rStyle w:val="FootnoteReference"/>
        </w:rPr>
        <w:footnoteRef/>
      </w:r>
      <w:r>
        <w:t xml:space="preserve"> </w:t>
      </w:r>
      <w:r>
        <w:rPr>
          <w:rFonts w:hint="cs"/>
          <w:rtl/>
          <w:lang w:bidi="fa-IR"/>
        </w:rPr>
        <w:t xml:space="preserve"> </w:t>
      </w:r>
      <w:hyperlink r:id="rId2" w:history="1">
        <w:r w:rsidRPr="00ED1104">
          <w:rPr>
            <w:rStyle w:val="Hyperlink"/>
            <w:rFonts w:hint="cs"/>
            <w:rtl/>
            <w:lang w:bidi="fa-IR"/>
          </w:rPr>
          <w:t>محاضرات فی الاصول، سید ابوالقاسم خوئی، ج2، ص13.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1C"/>
    <w:rsid w:val="0007278C"/>
    <w:rsid w:val="00076156"/>
    <w:rsid w:val="000A0AE7"/>
    <w:rsid w:val="000D49FA"/>
    <w:rsid w:val="00152670"/>
    <w:rsid w:val="00153A9F"/>
    <w:rsid w:val="00180FB6"/>
    <w:rsid w:val="001C5101"/>
    <w:rsid w:val="0022342F"/>
    <w:rsid w:val="002B11F3"/>
    <w:rsid w:val="002D2316"/>
    <w:rsid w:val="002D4977"/>
    <w:rsid w:val="00325CBD"/>
    <w:rsid w:val="00374878"/>
    <w:rsid w:val="003F6972"/>
    <w:rsid w:val="00422FDB"/>
    <w:rsid w:val="00451BE4"/>
    <w:rsid w:val="00472143"/>
    <w:rsid w:val="00525EA9"/>
    <w:rsid w:val="00572495"/>
    <w:rsid w:val="00577182"/>
    <w:rsid w:val="0064049A"/>
    <w:rsid w:val="006A6899"/>
    <w:rsid w:val="006A7A0D"/>
    <w:rsid w:val="007F4B6C"/>
    <w:rsid w:val="00807BE3"/>
    <w:rsid w:val="008721F6"/>
    <w:rsid w:val="008E71AC"/>
    <w:rsid w:val="00964968"/>
    <w:rsid w:val="009864EB"/>
    <w:rsid w:val="00990A2E"/>
    <w:rsid w:val="009D338F"/>
    <w:rsid w:val="00B12B75"/>
    <w:rsid w:val="00BF0D62"/>
    <w:rsid w:val="00C458C6"/>
    <w:rsid w:val="00C64A79"/>
    <w:rsid w:val="00CA4594"/>
    <w:rsid w:val="00CC4940"/>
    <w:rsid w:val="00D44CD5"/>
    <w:rsid w:val="00DC491C"/>
    <w:rsid w:val="00E012B1"/>
    <w:rsid w:val="00E4168E"/>
    <w:rsid w:val="00F12859"/>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A2E"/>
    <w:rPr>
      <w:sz w:val="20"/>
      <w:szCs w:val="20"/>
    </w:rPr>
  </w:style>
  <w:style w:type="character" w:styleId="FootnoteReference">
    <w:name w:val="footnote reference"/>
    <w:basedOn w:val="DefaultParagraphFont"/>
    <w:uiPriority w:val="99"/>
    <w:semiHidden/>
    <w:unhideWhenUsed/>
    <w:rsid w:val="00990A2E"/>
    <w:rPr>
      <w:vertAlign w:val="superscript"/>
    </w:rPr>
  </w:style>
  <w:style w:type="character" w:styleId="Hyperlink">
    <w:name w:val="Hyperlink"/>
    <w:basedOn w:val="DefaultParagraphFont"/>
    <w:uiPriority w:val="99"/>
    <w:unhideWhenUsed/>
    <w:rsid w:val="00990A2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0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A2E"/>
    <w:rPr>
      <w:sz w:val="20"/>
      <w:szCs w:val="20"/>
    </w:rPr>
  </w:style>
  <w:style w:type="character" w:styleId="FootnoteReference">
    <w:name w:val="footnote reference"/>
    <w:basedOn w:val="DefaultParagraphFont"/>
    <w:uiPriority w:val="99"/>
    <w:semiHidden/>
    <w:unhideWhenUsed/>
    <w:rsid w:val="00990A2E"/>
    <w:rPr>
      <w:vertAlign w:val="superscript"/>
    </w:rPr>
  </w:style>
  <w:style w:type="character" w:styleId="Hyperlink">
    <w:name w:val="Hyperlink"/>
    <w:basedOn w:val="DefaultParagraphFont"/>
    <w:uiPriority w:val="99"/>
    <w:unhideWhenUsed/>
    <w:rsid w:val="00990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6/2/13/&#1575;&#1604;&#1589;&#1581;&#1610;&#1581;" TargetMode="External"/><Relationship Id="rId1" Type="http://schemas.openxmlformats.org/officeDocument/2006/relationships/hyperlink" Target="http://lib.eshia.ir/13102/1/129/&#1575;&#1604;&#1579;&#1575;&#1606;&#1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4</cp:revision>
  <dcterms:created xsi:type="dcterms:W3CDTF">2015-12-12T06:53:00Z</dcterms:created>
  <dcterms:modified xsi:type="dcterms:W3CDTF">2015-12-12T10:10:00Z</dcterms:modified>
</cp:coreProperties>
</file>