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F157B9" w:rsidRDefault="00935A55" w:rsidP="00F157B9">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695A93">
        <w:rPr>
          <w:rFonts w:hint="cs"/>
          <w:rtl/>
        </w:rPr>
        <w:t>قاعده</w:t>
      </w:r>
      <w:r w:rsidR="00695A93">
        <w:rPr>
          <w:rtl/>
        </w:rPr>
        <w:t xml:space="preserve"> </w:t>
      </w:r>
      <w:r w:rsidR="00695A93">
        <w:rPr>
          <w:rFonts w:hint="cs"/>
          <w:rtl/>
        </w:rPr>
        <w:t>لا</w:t>
      </w:r>
      <w:r w:rsidR="00695A93">
        <w:rPr>
          <w:rtl/>
        </w:rPr>
        <w:t xml:space="preserve"> </w:t>
      </w:r>
      <w:r w:rsidR="00695A93">
        <w:rPr>
          <w:rFonts w:hint="cs"/>
          <w:rtl/>
        </w:rPr>
        <w:t>ضرر</w:t>
      </w:r>
      <w:r w:rsidR="00724537">
        <w:rPr>
          <w:rFonts w:hint="cs"/>
          <w:rtl/>
        </w:rPr>
        <w:t>/</w:t>
      </w:r>
      <w:bookmarkStart w:id="1" w:name="BokSabj_d"/>
      <w:bookmarkEnd w:id="1"/>
      <w:r w:rsidR="00695A93">
        <w:rPr>
          <w:rFonts w:hint="cs"/>
          <w:rtl/>
        </w:rPr>
        <w:t>مفاد</w:t>
      </w:r>
      <w:r w:rsidR="00596C1E">
        <w:rPr>
          <w:rFonts w:hint="cs"/>
          <w:rtl/>
        </w:rPr>
        <w:t xml:space="preserve"> </w:t>
      </w:r>
      <w:r w:rsidR="00724537">
        <w:rPr>
          <w:rFonts w:hint="cs"/>
          <w:rtl/>
        </w:rPr>
        <w:t>/</w:t>
      </w:r>
      <w:bookmarkStart w:id="2" w:name="BokSabj2_d"/>
      <w:bookmarkEnd w:id="2"/>
      <w:r w:rsidR="00695A93">
        <w:rPr>
          <w:rFonts w:hint="cs"/>
          <w:rtl/>
        </w:rPr>
        <w:t>معنای</w:t>
      </w:r>
      <w:r w:rsidR="00695A93">
        <w:rPr>
          <w:rtl/>
        </w:rPr>
        <w:t xml:space="preserve"> </w:t>
      </w:r>
      <w:r w:rsidR="00695A93">
        <w:rPr>
          <w:rFonts w:hint="cs"/>
          <w:rtl/>
        </w:rPr>
        <w:t>ضرار</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F157B9" w:rsidRDefault="00F157B9" w:rsidP="00F157B9">
                            <w:pPr>
                              <w:rPr>
                                <w:rStyle w:val="Emphasis"/>
                                <w:rFonts w:cs="B Badr"/>
                                <w:bCs w:val="0"/>
                                <w:i w:val="0"/>
                                <w:color w:val="auto"/>
                                <w:rtl/>
                              </w:rPr>
                            </w:pPr>
                            <w:r w:rsidRPr="00F157B9">
                              <w:rPr>
                                <w:rFonts w:hint="cs"/>
                                <w:rtl/>
                              </w:rPr>
                              <w:t>بحث در بررسی مفاد قاعده لا ضرر به معنای ضرار رسید و بیان شد مرحوم اصفهانی در مورد معنای ضرار و باب مفاعله بر این عقیده است که معنای باب مفاعله تعدیه است به همان معنایی که فعل به واسطه ادات متعدی می شود، اما در ادامه اشکالی به بیان ایشان مطرح شد به این بیان که مفاد تعدیه با ادات، با تعدیه به مفاعله متفاوت است و نمی توان هر دو تعدیه را به یک معنا دانست.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F157B9" w:rsidRDefault="00F157B9" w:rsidP="00F157B9">
                      <w:pPr>
                        <w:rPr>
                          <w:rStyle w:val="Emphasis"/>
                          <w:rFonts w:cs="B Badr"/>
                          <w:bCs w:val="0"/>
                          <w:i w:val="0"/>
                          <w:color w:val="auto"/>
                          <w:rtl/>
                        </w:rPr>
                      </w:pPr>
                      <w:r w:rsidRPr="00F157B9">
                        <w:rPr>
                          <w:rFonts w:hint="cs"/>
                          <w:rtl/>
                        </w:rPr>
                        <w:t>بحث در بررسی مفاد قاعده لا ضرر به معنای ضرار رسید و بیان شد مرحوم اصفهانی در مورد معنای ضرار و باب مفاعله بر این عقیده است که معنای باب مفاعله تعدیه است به همان معنایی که فعل به واسطه ادات متعدی می شود، اما در ادامه اشکالی به بیان ایشان مطرح شد به این بیان که مفاد تعدیه با ادات، با تعدیه به مفاعله متفاوت است و نمی توان هر دو تعدیه را به یک معنا دانست.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F157B9" w:rsidRPr="00F157B9" w:rsidRDefault="00F157B9" w:rsidP="00F157B9">
      <w:pPr>
        <w:spacing w:line="240" w:lineRule="auto"/>
        <w:ind w:left="24"/>
        <w:rPr>
          <w:rFonts w:eastAsia="Times New Roman" w:cs="Times New Roman"/>
          <w:color w:val="000000"/>
          <w:szCs w:val="22"/>
          <w:lang w:bidi="ar-SA"/>
        </w:rPr>
      </w:pPr>
      <w:r w:rsidRPr="00F157B9">
        <w:rPr>
          <w:rFonts w:eastAsia="Times New Roman" w:cs="Times New Roman"/>
          <w:color w:val="000000"/>
          <w:szCs w:val="22"/>
          <w:rtl/>
          <w:lang w:bidi="ar-SA"/>
        </w:rPr>
        <w:t> </w:t>
      </w:r>
    </w:p>
    <w:p w:rsidR="00F157B9" w:rsidRPr="00F157B9" w:rsidRDefault="00F157B9" w:rsidP="00F157B9">
      <w:pPr>
        <w:spacing w:line="240" w:lineRule="auto"/>
        <w:ind w:left="24"/>
        <w:rPr>
          <w:rFonts w:ascii="Arial" w:eastAsia="Times New Roman" w:hAnsi="Arial" w:cs="Arial" w:hint="cs"/>
          <w:color w:val="000000"/>
          <w:sz w:val="28"/>
          <w:rtl/>
          <w:lang w:bidi="ar-SA"/>
        </w:rPr>
      </w:pPr>
      <w:r w:rsidRPr="00F157B9">
        <w:rPr>
          <w:rFonts w:ascii="Arial" w:eastAsia="Times New Roman" w:hAnsi="Arial" w:cs="Arial"/>
          <w:color w:val="000000"/>
          <w:sz w:val="28"/>
          <w:rtl/>
          <w:lang w:bidi="ar-SA"/>
        </w:rPr>
        <w:t> </w:t>
      </w:r>
    </w:p>
    <w:p w:rsidR="00F157B9" w:rsidRDefault="00F157B9" w:rsidP="00F157B9">
      <w:pPr>
        <w:spacing w:line="240" w:lineRule="auto"/>
        <w:ind w:left="24"/>
        <w:rPr>
          <w:rFonts w:eastAsia="Times New Roman" w:cs="B Roya"/>
          <w:color w:val="000000"/>
          <w:sz w:val="28"/>
          <w:rtl/>
        </w:rPr>
      </w:pPr>
    </w:p>
    <w:p w:rsidR="00F157B9" w:rsidRDefault="00F157B9" w:rsidP="00F157B9">
      <w:pPr>
        <w:spacing w:line="240" w:lineRule="auto"/>
        <w:rPr>
          <w:rFonts w:eastAsia="Times New Roman" w:cs="B Roya"/>
          <w:color w:val="000000"/>
          <w:sz w:val="28"/>
          <w:rtl/>
        </w:rPr>
      </w:pPr>
    </w:p>
    <w:p w:rsidR="00F157B9" w:rsidRPr="00F157B9" w:rsidRDefault="00F157B9" w:rsidP="00F157B9">
      <w:pPr>
        <w:pStyle w:val="Heading2"/>
        <w:rPr>
          <w:rtl/>
        </w:rPr>
      </w:pPr>
      <w:r w:rsidRPr="00F157B9">
        <w:rPr>
          <w:rFonts w:hint="cs"/>
          <w:rtl/>
        </w:rPr>
        <w:t xml:space="preserve">اشکال به بیان مرحوم اصفهانی: مفاعله، موجب انقلاب معنا </w:t>
      </w:r>
    </w:p>
    <w:p w:rsidR="00F157B9" w:rsidRDefault="00F157B9" w:rsidP="00F157B9">
      <w:pPr>
        <w:rPr>
          <w:rFonts w:hint="cs"/>
          <w:rtl/>
        </w:rPr>
      </w:pPr>
      <w:r>
        <w:rPr>
          <w:rFonts w:hint="cs"/>
          <w:rtl/>
        </w:rPr>
        <w:t xml:space="preserve">اولا؛ </w:t>
      </w:r>
      <w:r w:rsidRPr="00F157B9">
        <w:rPr>
          <w:rFonts w:hint="cs"/>
          <w:rtl/>
        </w:rPr>
        <w:t xml:space="preserve">نباید عمد را در مفاد مفاعله داخل کرد بلکه این هیئت باعث انقلاب در معنای </w:t>
      </w:r>
      <w:r>
        <w:rPr>
          <w:rFonts w:cs="Cambria" w:hint="cs"/>
          <w:rtl/>
        </w:rPr>
        <w:t>"</w:t>
      </w:r>
      <w:r w:rsidRPr="00F157B9">
        <w:rPr>
          <w:rFonts w:hint="cs"/>
          <w:rtl/>
        </w:rPr>
        <w:t>جلس</w:t>
      </w:r>
      <w:r>
        <w:rPr>
          <w:rFonts w:cs="Cambria" w:hint="cs"/>
          <w:rtl/>
        </w:rPr>
        <w:t>"</w:t>
      </w:r>
      <w:r w:rsidRPr="00F157B9">
        <w:rPr>
          <w:rFonts w:hint="cs"/>
          <w:rtl/>
        </w:rPr>
        <w:t xml:space="preserve"> می شود، و جالس</w:t>
      </w:r>
      <w:r>
        <w:rPr>
          <w:rFonts w:hint="cs"/>
          <w:rtl/>
        </w:rPr>
        <w:t xml:space="preserve"> به معنای هم نشینی می شود.</w:t>
      </w:r>
    </w:p>
    <w:p w:rsidR="00F157B9" w:rsidRDefault="00F157B9" w:rsidP="00F157B9">
      <w:pPr>
        <w:rPr>
          <w:rtl/>
        </w:rPr>
      </w:pPr>
      <w:r>
        <w:rPr>
          <w:rFonts w:hint="cs"/>
          <w:rtl/>
        </w:rPr>
        <w:t xml:space="preserve">ثانیا؛ </w:t>
      </w:r>
      <w:r w:rsidRPr="00F157B9">
        <w:rPr>
          <w:rFonts w:hint="cs"/>
          <w:rtl/>
        </w:rPr>
        <w:t>در بسیاری از موارد معنای مشارکت در هیئت مفاعله وجود دارد کما این که نسبت به ض</w:t>
      </w:r>
      <w:r>
        <w:rPr>
          <w:rFonts w:hint="cs"/>
          <w:rtl/>
        </w:rPr>
        <w:t>ارب و قاتل این مشارکت وجود دارد و غیر قابل انکار است،</w:t>
      </w:r>
      <w:r w:rsidRPr="00F157B9">
        <w:rPr>
          <w:rFonts w:hint="cs"/>
          <w:rtl/>
        </w:rPr>
        <w:t xml:space="preserve"> بن</w:t>
      </w:r>
      <w:r>
        <w:rPr>
          <w:rFonts w:hint="cs"/>
          <w:rtl/>
        </w:rPr>
        <w:t xml:space="preserve">ابراین نمی توان مشارکت را از جمیع </w:t>
      </w:r>
      <w:r w:rsidRPr="00F157B9">
        <w:rPr>
          <w:rFonts w:hint="cs"/>
          <w:rtl/>
        </w:rPr>
        <w:t>موارد هیئت مفاعله نفی نمود.</w:t>
      </w:r>
    </w:p>
    <w:p w:rsidR="00F157B9" w:rsidRDefault="00F157B9" w:rsidP="00F157B9">
      <w:pPr>
        <w:rPr>
          <w:rtl/>
        </w:rPr>
      </w:pPr>
      <w:r>
        <w:rPr>
          <w:rFonts w:hint="cs"/>
          <w:rtl/>
        </w:rPr>
        <w:t>لذا حق این است که هیأت مفاعله در این موارد دال بر نوعی از مشارکت است</w:t>
      </w:r>
      <w:r>
        <w:rPr>
          <w:rStyle w:val="FootnoteReference"/>
          <w:rtl/>
        </w:rPr>
        <w:footnoteReference w:id="1"/>
      </w:r>
      <w:r>
        <w:rPr>
          <w:rFonts w:hint="cs"/>
          <w:rtl/>
        </w:rPr>
        <w:t xml:space="preserve"> منتها مشارکتی که با مشارکت در باب تفاعل متفاوت است به این بیان که فعل در باب مفاعله مقید به نوعی از مشارکت اخذ می شود، به عنوان مثال </w:t>
      </w:r>
      <w:r>
        <w:rPr>
          <w:rFonts w:cs="Cambria" w:hint="cs"/>
          <w:rtl/>
        </w:rPr>
        <w:t>"</w:t>
      </w:r>
      <w:r>
        <w:rPr>
          <w:rFonts w:hint="cs"/>
          <w:rtl/>
        </w:rPr>
        <w:t>ضارب</w:t>
      </w:r>
      <w:r>
        <w:rPr>
          <w:rFonts w:cs="Cambria" w:hint="cs"/>
          <w:rtl/>
        </w:rPr>
        <w:t>"</w:t>
      </w:r>
      <w:r>
        <w:rPr>
          <w:rFonts w:hint="cs"/>
          <w:rtl/>
        </w:rPr>
        <w:t xml:space="preserve"> به واسطه هیئت مفاعله به معنای زدنی است که اجمالا کتک خوردن هم در آن وجود داشته و صرف زدن نبوده است.  </w:t>
      </w:r>
    </w:p>
    <w:p w:rsidR="00F157B9" w:rsidRDefault="00F157B9" w:rsidP="00F157B9">
      <w:pPr>
        <w:rPr>
          <w:rtl/>
        </w:rPr>
      </w:pPr>
    </w:p>
    <w:p w:rsidR="005845ED" w:rsidRPr="005845ED" w:rsidRDefault="005845ED" w:rsidP="005845ED">
      <w:pPr>
        <w:pStyle w:val="Heading1"/>
        <w:rPr>
          <w:rtl/>
        </w:rPr>
      </w:pPr>
      <w:r w:rsidRPr="005845ED">
        <w:rPr>
          <w:rFonts w:hint="cs"/>
          <w:rtl/>
        </w:rPr>
        <w:t>احتمالات در معنای ضرار</w:t>
      </w:r>
    </w:p>
    <w:p w:rsidR="00F157B9" w:rsidRPr="00F157B9" w:rsidRDefault="00F157B9" w:rsidP="005845ED">
      <w:pPr>
        <w:rPr>
          <w:rFonts w:hint="cs"/>
          <w:rtl/>
        </w:rPr>
      </w:pPr>
      <w:r w:rsidRPr="00F157B9">
        <w:rPr>
          <w:rFonts w:hint="cs"/>
          <w:rtl/>
        </w:rPr>
        <w:t xml:space="preserve">در مورد ضرار </w:t>
      </w:r>
      <w:r>
        <w:rPr>
          <w:rFonts w:hint="cs"/>
          <w:rtl/>
        </w:rPr>
        <w:t>(</w:t>
      </w:r>
      <w:r w:rsidRPr="00F157B9">
        <w:rPr>
          <w:rFonts w:hint="cs"/>
          <w:rtl/>
        </w:rPr>
        <w:t>هیئت مفاعله</w:t>
      </w:r>
      <w:r>
        <w:rPr>
          <w:rFonts w:hint="cs"/>
          <w:rtl/>
        </w:rPr>
        <w:t>)</w:t>
      </w:r>
      <w:r w:rsidRPr="00F157B9">
        <w:rPr>
          <w:rFonts w:hint="cs"/>
          <w:rtl/>
        </w:rPr>
        <w:t xml:space="preserve"> </w:t>
      </w:r>
      <w:r>
        <w:rPr>
          <w:rFonts w:hint="cs"/>
          <w:rtl/>
        </w:rPr>
        <w:t xml:space="preserve">از مجموع کلمات، شش احتمال </w:t>
      </w:r>
      <w:r w:rsidR="005845ED">
        <w:rPr>
          <w:rFonts w:hint="cs"/>
          <w:rtl/>
        </w:rPr>
        <w:t>وجود دارد.</w:t>
      </w:r>
    </w:p>
    <w:p w:rsidR="00F157B9" w:rsidRPr="00F157B9" w:rsidRDefault="00F157B9" w:rsidP="005845ED">
      <w:pPr>
        <w:rPr>
          <w:rFonts w:hint="cs"/>
          <w:rtl/>
        </w:rPr>
      </w:pPr>
      <w:r w:rsidRPr="00F157B9">
        <w:rPr>
          <w:rFonts w:hint="cs"/>
          <w:rtl/>
        </w:rPr>
        <w:t xml:space="preserve"> </w:t>
      </w:r>
      <w:r w:rsidR="005845ED">
        <w:rPr>
          <w:rFonts w:hint="cs"/>
          <w:rtl/>
        </w:rPr>
        <w:t xml:space="preserve">1. </w:t>
      </w:r>
      <w:r w:rsidRPr="00F157B9">
        <w:rPr>
          <w:rFonts w:hint="cs"/>
          <w:rtl/>
        </w:rPr>
        <w:t>ضرار به معنای مشارکت طرفین</w:t>
      </w:r>
      <w:r w:rsidR="005845ED">
        <w:rPr>
          <w:rFonts w:hint="cs"/>
          <w:rtl/>
        </w:rPr>
        <w:t>.</w:t>
      </w:r>
    </w:p>
    <w:p w:rsidR="00F157B9" w:rsidRPr="005845ED" w:rsidRDefault="005845ED" w:rsidP="005845ED">
      <w:pPr>
        <w:rPr>
          <w:rFonts w:hint="cs"/>
          <w:szCs w:val="22"/>
          <w:rtl/>
        </w:rPr>
      </w:pPr>
      <w:r>
        <w:rPr>
          <w:rFonts w:hint="cs"/>
          <w:rtl/>
        </w:rPr>
        <w:t xml:space="preserve">2. </w:t>
      </w:r>
      <w:r w:rsidR="00F157B9" w:rsidRPr="00F157B9">
        <w:rPr>
          <w:rFonts w:hint="cs"/>
          <w:rtl/>
        </w:rPr>
        <w:t>ضرار به معنای ضرر و تاکید ضرر</w:t>
      </w:r>
      <w:r>
        <w:rPr>
          <w:rFonts w:hint="cs"/>
          <w:rtl/>
        </w:rPr>
        <w:t>(مرحو م آخوند)،</w:t>
      </w:r>
      <w:r w:rsidR="00F157B9" w:rsidRPr="00F157B9">
        <w:rPr>
          <w:rFonts w:hint="cs"/>
          <w:rtl/>
        </w:rPr>
        <w:t xml:space="preserve"> البته ناگفته نماند که این تأکید مستلزم هم معنایی مصدر و اسم مصدر نیست بلکه مراد این است ک</w:t>
      </w:r>
      <w:r>
        <w:rPr>
          <w:rFonts w:hint="cs"/>
          <w:rtl/>
        </w:rPr>
        <w:t>ه معنای مشارکت در آن وجود ندارد و از این حیث عینیت وجود دارد نه به نحو مطلق.</w:t>
      </w:r>
    </w:p>
    <w:p w:rsidR="00F157B9" w:rsidRPr="00F157B9" w:rsidRDefault="005845ED" w:rsidP="005845ED">
      <w:pPr>
        <w:rPr>
          <w:rFonts w:hint="cs"/>
          <w:szCs w:val="22"/>
          <w:rtl/>
        </w:rPr>
      </w:pPr>
      <w:r>
        <w:rPr>
          <w:rFonts w:hint="cs"/>
          <w:rtl/>
        </w:rPr>
        <w:lastRenderedPageBreak/>
        <w:t xml:space="preserve">3. </w:t>
      </w:r>
      <w:r w:rsidR="00F157B9" w:rsidRPr="00F157B9">
        <w:rPr>
          <w:rFonts w:hint="cs"/>
          <w:rtl/>
        </w:rPr>
        <w:t>ضرار به معنای مجازات</w:t>
      </w:r>
      <w:r>
        <w:rPr>
          <w:rFonts w:hint="cs"/>
          <w:rtl/>
        </w:rPr>
        <w:t>،</w:t>
      </w:r>
      <w:r w:rsidR="00F157B9" w:rsidRPr="00F157B9">
        <w:rPr>
          <w:rFonts w:hint="cs"/>
          <w:rtl/>
        </w:rPr>
        <w:t xml:space="preserve"> پس لا ضرار یعنی اگر کسی به انسان ضرر زد نباید برای جبران </w:t>
      </w:r>
      <w:r>
        <w:rPr>
          <w:rFonts w:hint="cs"/>
          <w:rtl/>
        </w:rPr>
        <w:t xml:space="preserve">این ضرر و انتقام، </w:t>
      </w:r>
      <w:r w:rsidR="00F157B9" w:rsidRPr="00F157B9">
        <w:rPr>
          <w:rFonts w:hint="cs"/>
          <w:rtl/>
        </w:rPr>
        <w:t>به ضارّ ضرر زد.</w:t>
      </w:r>
    </w:p>
    <w:p w:rsidR="00F157B9" w:rsidRDefault="005845ED" w:rsidP="005845ED">
      <w:pPr>
        <w:rPr>
          <w:rtl/>
        </w:rPr>
      </w:pPr>
      <w:r>
        <w:rPr>
          <w:rFonts w:hint="cs"/>
          <w:rtl/>
        </w:rPr>
        <w:t xml:space="preserve">4. </w:t>
      </w:r>
      <w:r w:rsidR="00F157B9" w:rsidRPr="00F157B9">
        <w:rPr>
          <w:rFonts w:hint="cs"/>
          <w:rtl/>
        </w:rPr>
        <w:t>ضرار به معنای محض ضرر زدن است بدون این که نفعی هم از این ضرر زد</w:t>
      </w:r>
      <w:r>
        <w:rPr>
          <w:rFonts w:hint="cs"/>
          <w:rtl/>
        </w:rPr>
        <w:t>ن ببرد، بر اساس روایت حمزه غنوی و ماجرای سر شتر و پوست آن.</w:t>
      </w:r>
      <w:r>
        <w:rPr>
          <w:rStyle w:val="FootnoteReference"/>
          <w:rtl/>
        </w:rPr>
        <w:footnoteReference w:id="2"/>
      </w:r>
    </w:p>
    <w:p w:rsidR="00DE0801" w:rsidRPr="001E55E7" w:rsidRDefault="001E55E7" w:rsidP="001E55E7">
      <w:pPr>
        <w:spacing w:before="100" w:beforeAutospacing="1" w:after="100" w:afterAutospacing="1" w:line="240" w:lineRule="auto"/>
        <w:rPr>
          <w:rStyle w:val="IntenseEmphasis"/>
          <w:rFonts w:hint="cs"/>
          <w:rtl/>
        </w:rPr>
      </w:pPr>
      <w:r w:rsidRPr="001E55E7">
        <w:rPr>
          <w:rStyle w:val="IntenseEmphasis"/>
          <w:rFonts w:hint="cs"/>
          <w:rtl/>
        </w:rPr>
        <w:t>مُحَمَّدُ بْنُ يَحْيَى عَنْ مُحَمَّدِ بْنِ الْحُسَيْنِ عَنْ يَزِيدَ بْنِ إِسْحَاقَ شَعِرٍ عَنْ هَارُونَ بْنِ حَمْزَةَ الْغَنَوِيِّ عَنْ أَبِي عَبْدِ اللَّهِ ع فِي رَجُلٍ شَهِدَ بَعِيراً مَرِيضاً وَ هُوَ يُبَاعُ فَاشْتَرَاهُ رَجُلٌ بِعَشَرَةِ دَرَاهِمَ فَجَاءَ وَ أَشْرَكَ فِيهِ رَجُلًا بِدِرْهَمَيْنِ بِالرَّأْسِ وَ الْجِلْدِ فَقُضِيَ أَنَّ الْبَعِيرَ بَرَأَ فَبَلَغَ ثَمَنُهُ دَنَانِيرَ قَالَ فَقَالَ لِصَاحِبِ الدِّرْهَمَيْنِ خُذْ خُمُسَ مَا بَلَغَ فَأَبَى قَالَ أُرِيدُ الرَّأْسَ وَ الْجِلْدَ فَقَالَ لَيْسَ لَهُ ذَلِكَ هَذَا الضِّرَارُ وَ قَدْ أُعْطِيَ حَقَّهُ إِذَا أُعْطِيَ الْخُمُسَ.</w:t>
      </w:r>
      <w:r w:rsidR="002333C7">
        <w:rPr>
          <w:rStyle w:val="FootnoteReference"/>
          <w:rFonts w:cs="B Nazanin"/>
          <w:b/>
          <w:i/>
          <w:color w:val="008000"/>
          <w:rtl/>
        </w:rPr>
        <w:footnoteReference w:id="3"/>
      </w:r>
    </w:p>
    <w:p w:rsidR="00F157B9" w:rsidRPr="005845ED" w:rsidRDefault="005845ED" w:rsidP="005845ED">
      <w:pPr>
        <w:rPr>
          <w:rFonts w:cs="Arial" w:hint="cs"/>
          <w:rtl/>
        </w:rPr>
      </w:pPr>
      <w:r w:rsidRPr="001E55E7">
        <w:rPr>
          <w:rStyle w:val="IntenseEmphasis"/>
          <w:rFonts w:hint="cs"/>
          <w:color w:val="0D0D0D" w:themeColor="text1" w:themeTint="F2"/>
          <w:rtl/>
        </w:rPr>
        <w:t>5</w:t>
      </w:r>
      <w:r w:rsidRPr="001E55E7">
        <w:rPr>
          <w:rFonts w:hint="cs"/>
          <w:color w:val="0D0D0D" w:themeColor="text1" w:themeTint="F2"/>
          <w:rtl/>
        </w:rPr>
        <w:t>.</w:t>
      </w:r>
      <w:r>
        <w:rPr>
          <w:rFonts w:hint="cs"/>
          <w:rtl/>
        </w:rPr>
        <w:t xml:space="preserve"> </w:t>
      </w:r>
      <w:r w:rsidR="00F157B9" w:rsidRPr="005845ED">
        <w:rPr>
          <w:rFonts w:hint="cs"/>
          <w:rtl/>
        </w:rPr>
        <w:t>ضرار به معنای تعمد ایصال ضرر</w:t>
      </w:r>
      <w:r>
        <w:rPr>
          <w:rFonts w:hint="cs"/>
          <w:rtl/>
        </w:rPr>
        <w:t xml:space="preserve"> (مرحوم اصفهانی).</w:t>
      </w:r>
      <w:r w:rsidR="00F157B9" w:rsidRPr="005845ED">
        <w:rPr>
          <w:rFonts w:hint="cs"/>
          <w:rtl/>
        </w:rPr>
        <w:t xml:space="preserve"> </w:t>
      </w:r>
    </w:p>
    <w:p w:rsidR="00F157B9" w:rsidRPr="00F157B9" w:rsidRDefault="005845ED" w:rsidP="005845ED">
      <w:pPr>
        <w:rPr>
          <w:rFonts w:cs="Arial" w:hint="cs"/>
          <w:rtl/>
        </w:rPr>
      </w:pPr>
      <w:r>
        <w:rPr>
          <w:rFonts w:hint="cs"/>
          <w:rtl/>
        </w:rPr>
        <w:t xml:space="preserve">6. </w:t>
      </w:r>
      <w:r w:rsidR="00F157B9" w:rsidRPr="00F157B9">
        <w:rPr>
          <w:rFonts w:hint="cs"/>
          <w:rtl/>
        </w:rPr>
        <w:t>ضرار به معنای تصدی و اقدام بر ضرر زدن ولو این که من</w:t>
      </w:r>
      <w:r>
        <w:rPr>
          <w:rFonts w:hint="cs"/>
          <w:rtl/>
        </w:rPr>
        <w:t>جر به تحقق نشود (مرحوم خویی).</w:t>
      </w:r>
    </w:p>
    <w:p w:rsidR="008C3162" w:rsidRDefault="008C3162" w:rsidP="001C1362">
      <w:pPr>
        <w:rPr>
          <w:rtl/>
        </w:rPr>
      </w:pPr>
    </w:p>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8E9" w:rsidRDefault="004708E9" w:rsidP="008B750B">
      <w:pPr>
        <w:spacing w:line="240" w:lineRule="auto"/>
      </w:pPr>
      <w:r>
        <w:separator/>
      </w:r>
    </w:p>
  </w:endnote>
  <w:endnote w:type="continuationSeparator" w:id="0">
    <w:p w:rsidR="004708E9" w:rsidRDefault="004708E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Roy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33C7" w:rsidRPr="002333C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95A93" w:rsidP="001B6799">
          <w:pPr>
            <w:pStyle w:val="Footer"/>
            <w:bidi w:val="0"/>
            <w:rPr>
              <w:color w:val="808080" w:themeColor="background1" w:themeShade="80"/>
              <w:rtl/>
            </w:rPr>
          </w:pPr>
          <w:bookmarkStart w:id="11" w:name="BokAdres"/>
          <w:bookmarkEnd w:id="11"/>
          <w:r>
            <w:rPr>
              <w:color w:val="808080" w:themeColor="background1" w:themeShade="80"/>
            </w:rPr>
            <w:t>U1mg1_13941006-038_ar1_mfeb.ir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8E9" w:rsidRDefault="004708E9" w:rsidP="008B750B">
      <w:pPr>
        <w:spacing w:line="240" w:lineRule="auto"/>
      </w:pPr>
      <w:r>
        <w:separator/>
      </w:r>
    </w:p>
  </w:footnote>
  <w:footnote w:type="continuationSeparator" w:id="0">
    <w:p w:rsidR="004708E9" w:rsidRDefault="004708E9" w:rsidP="008B750B">
      <w:pPr>
        <w:spacing w:line="240" w:lineRule="auto"/>
      </w:pPr>
      <w:r>
        <w:continuationSeparator/>
      </w:r>
    </w:p>
  </w:footnote>
  <w:footnote w:id="1">
    <w:p w:rsidR="00F157B9" w:rsidRDefault="00F157B9">
      <w:pPr>
        <w:pStyle w:val="FootnoteText"/>
        <w:rPr>
          <w:rFonts w:hint="cs"/>
        </w:rPr>
      </w:pPr>
      <w:r>
        <w:rPr>
          <w:rStyle w:val="FootnoteReference"/>
        </w:rPr>
        <w:footnoteRef/>
      </w:r>
      <w:r>
        <w:rPr>
          <w:rtl/>
        </w:rPr>
        <w:t xml:space="preserve"> </w:t>
      </w:r>
      <w:r>
        <w:rPr>
          <w:rFonts w:hint="cs"/>
          <w:rtl/>
        </w:rPr>
        <w:t>. اگر معنای اصلی نباشد.</w:t>
      </w:r>
    </w:p>
  </w:footnote>
  <w:footnote w:id="2">
    <w:p w:rsidR="005845ED" w:rsidRDefault="005845ED">
      <w:pPr>
        <w:pStyle w:val="FootnoteText"/>
        <w:rPr>
          <w:rFonts w:hint="cs"/>
        </w:rPr>
      </w:pPr>
      <w:r>
        <w:rPr>
          <w:rStyle w:val="FootnoteReference"/>
        </w:rPr>
        <w:footnoteRef/>
      </w:r>
      <w:r>
        <w:rPr>
          <w:rtl/>
        </w:rPr>
        <w:t xml:space="preserve"> </w:t>
      </w:r>
      <w:r>
        <w:rPr>
          <w:rFonts w:hint="cs"/>
          <w:rtl/>
        </w:rPr>
        <w:t xml:space="preserve">. </w:t>
      </w:r>
      <w:r>
        <w:rPr>
          <w:rFonts w:hint="cs"/>
          <w:rtl/>
        </w:rPr>
        <w:t>البته برخی روایت سمره را هم بر این معنا تطبیق نموده اند.</w:t>
      </w:r>
    </w:p>
  </w:footnote>
  <w:footnote w:id="3">
    <w:p w:rsidR="002333C7" w:rsidRDefault="002333C7">
      <w:pPr>
        <w:pStyle w:val="FootnoteText"/>
        <w:rPr>
          <w:rFonts w:hint="cs"/>
        </w:rPr>
      </w:pPr>
      <w:r>
        <w:rPr>
          <w:rStyle w:val="FootnoteReference"/>
        </w:rPr>
        <w:footnoteRef/>
      </w:r>
      <w:r>
        <w:rPr>
          <w:rtl/>
        </w:rPr>
        <w:t xml:space="preserve"> </w:t>
      </w:r>
      <w:r>
        <w:rPr>
          <w:rFonts w:hint="cs"/>
          <w:rtl/>
        </w:rPr>
        <w:t xml:space="preserve">. </w:t>
      </w:r>
      <w:r w:rsidRPr="002333C7">
        <w:rPr>
          <w:rFonts w:hint="cs"/>
          <w:rtl/>
        </w:rPr>
        <w:t>الكافي</w:t>
      </w:r>
      <w:r w:rsidRPr="002333C7">
        <w:rPr>
          <w:rtl/>
        </w:rPr>
        <w:t xml:space="preserve"> (</w:t>
      </w:r>
      <w:r w:rsidRPr="002333C7">
        <w:rPr>
          <w:rFonts w:hint="cs"/>
          <w:rtl/>
        </w:rPr>
        <w:t>ط</w:t>
      </w:r>
      <w:r w:rsidRPr="002333C7">
        <w:rPr>
          <w:rtl/>
        </w:rPr>
        <w:t xml:space="preserve"> - </w:t>
      </w:r>
      <w:r w:rsidRPr="002333C7">
        <w:rPr>
          <w:rFonts w:hint="cs"/>
          <w:rtl/>
        </w:rPr>
        <w:t>الإسلامية</w:t>
      </w:r>
      <w:r w:rsidRPr="002333C7">
        <w:rPr>
          <w:rtl/>
        </w:rPr>
        <w:t>)</w:t>
      </w:r>
      <w:r w:rsidRPr="002333C7">
        <w:rPr>
          <w:rFonts w:hint="cs"/>
          <w:rtl/>
        </w:rPr>
        <w:t>،</w:t>
      </w:r>
      <w:r w:rsidRPr="002333C7">
        <w:rPr>
          <w:rtl/>
        </w:rPr>
        <w:t xml:space="preserve"> </w:t>
      </w:r>
      <w:r w:rsidRPr="002333C7">
        <w:rPr>
          <w:rFonts w:hint="cs"/>
          <w:rtl/>
        </w:rPr>
        <w:t>ج‌</w:t>
      </w:r>
      <w:r w:rsidRPr="002333C7">
        <w:rPr>
          <w:rtl/>
        </w:rPr>
        <w:t>5</w:t>
      </w:r>
      <w:r w:rsidRPr="002333C7">
        <w:rPr>
          <w:rFonts w:hint="cs"/>
          <w:rtl/>
        </w:rPr>
        <w:t>،</w:t>
      </w:r>
      <w:r w:rsidRPr="002333C7">
        <w:rPr>
          <w:rtl/>
        </w:rPr>
        <w:t xml:space="preserve"> </w:t>
      </w:r>
      <w:r w:rsidRPr="002333C7">
        <w:rPr>
          <w:rFonts w:hint="cs"/>
          <w:rtl/>
        </w:rPr>
        <w:t>ص</w:t>
      </w:r>
      <w:r w:rsidRPr="002333C7">
        <w:rPr>
          <w:rtl/>
        </w:rPr>
        <w:t>: 293</w:t>
      </w:r>
      <w:bookmarkStart w:id="3" w:name="_GoBack"/>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695A93">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695A9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695A93">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695A93">
      <w:rPr>
        <w:sz w:val="24"/>
        <w:szCs w:val="24"/>
        <w:rtl/>
      </w:rPr>
      <w:t>6 /10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695A93">
      <w:rPr>
        <w:rFonts w:hint="cs"/>
        <w:sz w:val="24"/>
        <w:szCs w:val="24"/>
        <w:rtl/>
      </w:rPr>
      <w:t>مفاد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695A93">
      <w:rPr>
        <w:rFonts w:hint="cs"/>
        <w:sz w:val="24"/>
        <w:szCs w:val="24"/>
        <w:rtl/>
      </w:rPr>
      <w:t>سيد</w:t>
    </w:r>
    <w:r w:rsidR="00695A93">
      <w:rPr>
        <w:sz w:val="24"/>
        <w:szCs w:val="24"/>
        <w:rtl/>
      </w:rPr>
      <w:t xml:space="preserve"> </w:t>
    </w:r>
    <w:r w:rsidR="00695A93">
      <w:rPr>
        <w:rFonts w:hint="cs"/>
        <w:sz w:val="24"/>
        <w:szCs w:val="24"/>
        <w:rtl/>
      </w:rPr>
      <w:t>علي</w:t>
    </w:r>
    <w:r w:rsidR="00695A93">
      <w:rPr>
        <w:sz w:val="24"/>
        <w:szCs w:val="24"/>
        <w:rtl/>
      </w:rPr>
      <w:t xml:space="preserve"> </w:t>
    </w:r>
    <w:r w:rsidR="00695A9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695A93">
      <w:rPr>
        <w:rFonts w:hint="cs"/>
        <w:sz w:val="24"/>
        <w:szCs w:val="24"/>
        <w:rtl/>
      </w:rPr>
      <w:t>معنای</w:t>
    </w:r>
    <w:r w:rsidR="00695A93">
      <w:rPr>
        <w:sz w:val="24"/>
        <w:szCs w:val="24"/>
        <w:rtl/>
      </w:rPr>
      <w:t xml:space="preserve"> </w:t>
    </w:r>
    <w:r w:rsidR="00695A93">
      <w:rPr>
        <w:rFonts w:hint="cs"/>
        <w:sz w:val="24"/>
        <w:szCs w:val="24"/>
        <w:rtl/>
      </w:rPr>
      <w:t>ضرار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1804F5"/>
    <w:multiLevelType w:val="multilevel"/>
    <w:tmpl w:val="C96E15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8B61B4"/>
    <w:multiLevelType w:val="hybridMultilevel"/>
    <w:tmpl w:val="683C5B8A"/>
    <w:lvl w:ilvl="0" w:tplc="218AF49A">
      <w:start w:val="5"/>
      <w:numFmt w:val="decimal"/>
      <w:lvlText w:val="%1."/>
      <w:lvlJc w:val="left"/>
      <w:pPr>
        <w:ind w:left="1440" w:hanging="360"/>
      </w:pPr>
      <w:rPr>
        <w:rFonts w:cs="B Roya"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4"/>
  </w:num>
  <w:num w:numId="15">
    <w:abstractNumId w:val="15"/>
  </w:num>
  <w:num w:numId="16">
    <w:abstractNumId w:val="11"/>
    <w:lvlOverride w:ilvl="1">
      <w:startOverride w:val="1"/>
    </w:lvlOverride>
  </w:num>
  <w:num w:numId="17">
    <w:abstractNumId w:val="11"/>
    <w:lvlOverride w:ilvl="1">
      <w:startOverride w:val="2"/>
    </w:lvlOverride>
  </w:num>
  <w:num w:numId="18">
    <w:abstractNumId w:val="11"/>
    <w:lvlOverride w:ilvl="1">
      <w:startOverride w:val="4"/>
    </w:lvlOverride>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1E55E7"/>
    <w:rsid w:val="0020241A"/>
    <w:rsid w:val="00203821"/>
    <w:rsid w:val="0021630D"/>
    <w:rsid w:val="002333C7"/>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708E9"/>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845ED"/>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95A93"/>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0801"/>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57B9"/>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D4A4F1-84B3-4C02-8BB4-3DBA0EE9F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56034124">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7253980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97026170">
      <w:bodyDiv w:val="1"/>
      <w:marLeft w:val="0"/>
      <w:marRight w:val="0"/>
      <w:marTop w:val="0"/>
      <w:marBottom w:val="0"/>
      <w:divBdr>
        <w:top w:val="none" w:sz="0" w:space="0" w:color="auto"/>
        <w:left w:val="none" w:sz="0" w:space="0" w:color="auto"/>
        <w:bottom w:val="none" w:sz="0" w:space="0" w:color="auto"/>
        <w:right w:val="none" w:sz="0" w:space="0" w:color="auto"/>
      </w:divBdr>
      <w:divsChild>
        <w:div w:id="400257822">
          <w:marLeft w:val="0"/>
          <w:marRight w:val="0"/>
          <w:marTop w:val="0"/>
          <w:marBottom w:val="0"/>
          <w:divBdr>
            <w:top w:val="none" w:sz="0" w:space="0" w:color="auto"/>
            <w:left w:val="none" w:sz="0" w:space="0" w:color="auto"/>
            <w:bottom w:val="none" w:sz="0" w:space="0" w:color="auto"/>
            <w:right w:val="none" w:sz="0" w:space="0" w:color="auto"/>
          </w:divBdr>
          <w:divsChild>
            <w:div w:id="1824858685">
              <w:marLeft w:val="0"/>
              <w:marRight w:val="0"/>
              <w:marTop w:val="0"/>
              <w:marBottom w:val="0"/>
              <w:divBdr>
                <w:top w:val="none" w:sz="0" w:space="0" w:color="auto"/>
                <w:left w:val="none" w:sz="0" w:space="0" w:color="auto"/>
                <w:bottom w:val="none" w:sz="0" w:space="0" w:color="auto"/>
                <w:right w:val="none" w:sz="0" w:space="0" w:color="auto"/>
              </w:divBdr>
              <w:divsChild>
                <w:div w:id="10932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15D82-2E18-45A3-A623-063EFE563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29</TotalTime>
  <Pages>2</Pages>
  <Words>307</Words>
  <Characters>1752</Characters>
  <Application>Microsoft Office Word</Application>
  <DocSecurity>0</DocSecurity>
  <Lines>14</Lines>
  <Paragraphs>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2055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2015-12-27T16:33:00Z</dcterms:created>
  <dcterms:modified xsi:type="dcterms:W3CDTF">2015-12-27T17:01:00Z</dcterms:modified>
</cp:coreProperties>
</file>