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Default="00935A55" w:rsidP="0020241A">
      <w:pPr>
        <w:spacing w:line="240" w:lineRule="auto"/>
        <w:jc w:val="center"/>
        <w:rPr>
          <w:b/>
          <w:bCs/>
          <w:rtl/>
        </w:rPr>
      </w:pPr>
      <w:r w:rsidRPr="00935A55">
        <w:rPr>
          <w:rFonts w:hint="cs"/>
          <w:b/>
          <w:bCs/>
          <w:rtl/>
        </w:rPr>
        <w:t>ب</w:t>
      </w:r>
      <w:r w:rsidR="00C91EB6">
        <w:rPr>
          <w:rFonts w:hint="cs"/>
          <w:b/>
          <w:bCs/>
          <w:rtl/>
        </w:rPr>
        <w:t>ا</w:t>
      </w:r>
      <w:r w:rsidRPr="00935A55">
        <w:rPr>
          <w:rFonts w:hint="cs"/>
          <w:b/>
          <w:bCs/>
          <w:rtl/>
        </w:rPr>
        <w:t>سمه تعالی</w:t>
      </w:r>
    </w:p>
    <w:p w:rsidR="00C91EB6" w:rsidRPr="00C91EB6" w:rsidRDefault="00C91EB6" w:rsidP="00C91EB6"/>
    <w:p w:rsidR="00F343FB" w:rsidRDefault="00F842AD" w:rsidP="0020241A">
      <w:r w:rsidRPr="00EB78E3">
        <w:rPr>
          <w:rStyle w:val="Emphasis"/>
          <w:rFonts w:hint="cs"/>
          <w:rtl/>
        </w:rPr>
        <w:t>موضوع:</w:t>
      </w:r>
      <w:r>
        <w:rPr>
          <w:rFonts w:hint="cs"/>
          <w:rtl/>
        </w:rPr>
        <w:t xml:space="preserve"> </w:t>
      </w:r>
      <w:bookmarkStart w:id="0" w:name="Bokkolli"/>
      <w:bookmarkEnd w:id="0"/>
      <w:r w:rsidR="00F53452">
        <w:rPr>
          <w:rFonts w:hint="cs"/>
          <w:rtl/>
        </w:rPr>
        <w:t>قاعده</w:t>
      </w:r>
      <w:r w:rsidR="00F53452">
        <w:rPr>
          <w:rtl/>
        </w:rPr>
        <w:t xml:space="preserve"> </w:t>
      </w:r>
      <w:r w:rsidR="00F53452">
        <w:rPr>
          <w:rFonts w:hint="cs"/>
          <w:rtl/>
        </w:rPr>
        <w:t>لا</w:t>
      </w:r>
      <w:r w:rsidR="00F53452">
        <w:rPr>
          <w:rtl/>
        </w:rPr>
        <w:t xml:space="preserve"> </w:t>
      </w:r>
      <w:r w:rsidR="00F53452">
        <w:rPr>
          <w:rFonts w:hint="cs"/>
          <w:rtl/>
        </w:rPr>
        <w:t>ضرر</w:t>
      </w:r>
      <w:r w:rsidR="00724537">
        <w:rPr>
          <w:rFonts w:hint="cs"/>
          <w:rtl/>
        </w:rPr>
        <w:t>/</w:t>
      </w:r>
      <w:bookmarkStart w:id="1" w:name="BokSabj_d"/>
      <w:bookmarkEnd w:id="1"/>
      <w:r w:rsidR="00F53452">
        <w:rPr>
          <w:rFonts w:hint="cs"/>
          <w:rtl/>
        </w:rPr>
        <w:t>تعارض</w:t>
      </w:r>
      <w:r w:rsidR="00F53452">
        <w:rPr>
          <w:rtl/>
        </w:rPr>
        <w:t xml:space="preserve"> </w:t>
      </w:r>
      <w:r w:rsidR="00F53452">
        <w:rPr>
          <w:rFonts w:hint="cs"/>
          <w:rtl/>
        </w:rPr>
        <w:t>ضررین</w:t>
      </w:r>
      <w:r w:rsidR="00596C1E">
        <w:rPr>
          <w:rFonts w:hint="cs"/>
          <w:rtl/>
        </w:rPr>
        <w:t xml:space="preserve"> </w:t>
      </w:r>
      <w:r w:rsidR="00724537">
        <w:rPr>
          <w:rFonts w:hint="cs"/>
          <w:rtl/>
        </w:rPr>
        <w:t>/</w:t>
      </w:r>
      <w:bookmarkStart w:id="2" w:name="BokSabj2_d"/>
      <w:bookmarkEnd w:id="2"/>
      <w:r w:rsidR="00F53452">
        <w:rPr>
          <w:rFonts w:hint="cs"/>
          <w:rtl/>
        </w:rPr>
        <w:t>قاعده</w:t>
      </w:r>
      <w:r w:rsidR="00F53452">
        <w:rPr>
          <w:rtl/>
        </w:rPr>
        <w:t xml:space="preserve"> </w:t>
      </w:r>
      <w:r w:rsidR="00F53452">
        <w:rPr>
          <w:rFonts w:hint="cs"/>
          <w:rtl/>
        </w:rPr>
        <w:t>سلطنت</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566AC9" w:rsidRDefault="00566AC9" w:rsidP="00124E3D">
                            <w:pPr>
                              <w:rPr>
                                <w:rStyle w:val="Emphasis"/>
                                <w:rtl/>
                              </w:rPr>
                            </w:pPr>
                            <w:r w:rsidRPr="00124E3D">
                              <w:rPr>
                                <w:rStyle w:val="Emphasis"/>
                                <w:rFonts w:hint="cs"/>
                                <w:rtl/>
                              </w:rPr>
                              <w:t>خلاصه مباحث گذشته:</w:t>
                            </w:r>
                          </w:p>
                          <w:p w:rsidR="00566AC9" w:rsidRPr="00125E19" w:rsidRDefault="00566AC9" w:rsidP="00125E19">
                            <w:pPr>
                              <w:spacing w:line="240" w:lineRule="auto"/>
                              <w:rPr>
                                <w:rStyle w:val="Emphasis"/>
                                <w:rFonts w:ascii="Times New Roman" w:eastAsia="Times New Roman" w:hAnsi="Times New Roman" w:cs="B Badr"/>
                                <w:bCs w:val="0"/>
                                <w:i w:val="0"/>
                                <w:color w:val="000000"/>
                                <w:sz w:val="28"/>
                                <w:rtl/>
                              </w:rPr>
                            </w:pPr>
                            <w:r w:rsidRPr="00125E19">
                              <w:rPr>
                                <w:rFonts w:ascii="Times New Roman" w:eastAsia="Times New Roman" w:hAnsi="Times New Roman" w:hint="cs"/>
                                <w:color w:val="000000"/>
                                <w:sz w:val="28"/>
                                <w:rtl/>
                              </w:rPr>
                              <w:t>بحث در تنبیه اول از تنبیهات تعارض ضررین بود که بر اساس این تنبیه بیان شد لا ضرر به خاطر قصور مقتضی یا تعارض جاری نمی شود. در این جلسه بحث از این می شود که بعد از عدم جریان لا ضرر مرجع چیست؟</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566AC9" w:rsidRDefault="00566AC9" w:rsidP="00124E3D">
                      <w:pPr>
                        <w:rPr>
                          <w:rStyle w:val="Emphasis"/>
                          <w:rtl/>
                        </w:rPr>
                      </w:pPr>
                      <w:r w:rsidRPr="00124E3D">
                        <w:rPr>
                          <w:rStyle w:val="Emphasis"/>
                          <w:rFonts w:hint="cs"/>
                          <w:rtl/>
                        </w:rPr>
                        <w:t>خلاصه مباحث گذشته:</w:t>
                      </w:r>
                    </w:p>
                    <w:p w:rsidR="00566AC9" w:rsidRPr="00125E19" w:rsidRDefault="00566AC9" w:rsidP="00125E19">
                      <w:pPr>
                        <w:spacing w:line="240" w:lineRule="auto"/>
                        <w:rPr>
                          <w:rStyle w:val="Emphasis"/>
                          <w:rFonts w:ascii="Times New Roman" w:eastAsia="Times New Roman" w:hAnsi="Times New Roman" w:cs="B Badr"/>
                          <w:bCs w:val="0"/>
                          <w:i w:val="0"/>
                          <w:color w:val="000000"/>
                          <w:sz w:val="28"/>
                          <w:rtl/>
                        </w:rPr>
                      </w:pPr>
                      <w:r w:rsidRPr="00125E19">
                        <w:rPr>
                          <w:rFonts w:ascii="Times New Roman" w:eastAsia="Times New Roman" w:hAnsi="Times New Roman" w:hint="cs"/>
                          <w:color w:val="000000"/>
                          <w:sz w:val="28"/>
                          <w:rtl/>
                        </w:rPr>
                        <w:t>بحث در تنبیه اول از تنبیهات تعارض ضررین بود که بر اساس این تنبیه بیان شد لا ضرر به خاطر قصور مقتضی یا تعارض جاری نمی شود. در این جلسه بحث از این می شود که بعد از عدم جریان لا ضرر مرجع چیست؟</w:t>
                      </w:r>
                    </w:p>
                  </w:txbxContent>
                </v:textbox>
              </v:shape>
            </w:pict>
          </mc:Fallback>
        </mc:AlternateContent>
      </w:r>
    </w:p>
    <w:p w:rsidR="003A6148" w:rsidRPr="003A6148" w:rsidRDefault="003A6148" w:rsidP="003A6148"/>
    <w:p w:rsidR="003A6148" w:rsidRPr="003A6148" w:rsidRDefault="003A6148" w:rsidP="003A6148"/>
    <w:p w:rsidR="00402F40" w:rsidRDefault="00402F40" w:rsidP="00125E19">
      <w:pPr>
        <w:pStyle w:val="Heading3"/>
        <w:rPr>
          <w:rtl/>
        </w:rPr>
      </w:pPr>
    </w:p>
    <w:p w:rsidR="00125E19" w:rsidRDefault="00125E19" w:rsidP="00125E19">
      <w:pPr>
        <w:pStyle w:val="Heading3"/>
        <w:rPr>
          <w:rtl/>
        </w:rPr>
      </w:pPr>
      <w:bookmarkStart w:id="3" w:name="_GoBack"/>
      <w:r>
        <w:rPr>
          <w:rFonts w:hint="cs"/>
          <w:rtl/>
        </w:rPr>
        <w:t>قاعده سلطنت</w:t>
      </w:r>
    </w:p>
    <w:p w:rsidR="00125E19" w:rsidRPr="00125E19" w:rsidRDefault="00125E19" w:rsidP="00125E19">
      <w:pPr>
        <w:rPr>
          <w:rtl/>
        </w:rPr>
      </w:pPr>
      <w:r w:rsidRPr="00125E19">
        <w:rPr>
          <w:rFonts w:hint="cs"/>
          <w:rtl/>
        </w:rPr>
        <w:t>به نظر می رسد که در مسأله جواز و عدم جواز حفر بئر در فرض تعار</w:t>
      </w:r>
      <w:r>
        <w:rPr>
          <w:rFonts w:hint="cs"/>
          <w:rtl/>
        </w:rPr>
        <w:t xml:space="preserve">ض ضررین، مرجع قاعده سلطنت است، </w:t>
      </w:r>
      <w:r w:rsidRPr="00125E19">
        <w:rPr>
          <w:rFonts w:hint="cs"/>
          <w:rtl/>
        </w:rPr>
        <w:t xml:space="preserve">و حال آن که تنها چیزی که اطلاق سلطنت را محدود می کند لا ضرر </w:t>
      </w:r>
      <w:r w:rsidR="00402F40">
        <w:rPr>
          <w:rFonts w:hint="cs"/>
          <w:rtl/>
        </w:rPr>
        <w:t>است و</w:t>
      </w:r>
      <w:r w:rsidRPr="00125E19">
        <w:rPr>
          <w:rFonts w:hint="cs"/>
          <w:rtl/>
        </w:rPr>
        <w:t xml:space="preserve"> در ما نحن فیه </w:t>
      </w:r>
      <w:r w:rsidR="00402F40">
        <w:rPr>
          <w:rFonts w:hint="cs"/>
          <w:rtl/>
        </w:rPr>
        <w:t xml:space="preserve">هم </w:t>
      </w:r>
      <w:r w:rsidRPr="00125E19">
        <w:rPr>
          <w:rFonts w:hint="cs"/>
          <w:rtl/>
        </w:rPr>
        <w:t>لاضرر به دلیل معارضه یا عدم مقتضی جاری نمی شود تا اطلاق محدود شود.</w:t>
      </w:r>
    </w:p>
    <w:p w:rsidR="00125E19" w:rsidRPr="00125E19" w:rsidRDefault="00125E19" w:rsidP="00125E19">
      <w:pPr>
        <w:pStyle w:val="Heading4"/>
        <w:rPr>
          <w:rtl/>
        </w:rPr>
      </w:pPr>
      <w:r w:rsidRPr="00125E19">
        <w:rPr>
          <w:rFonts w:hint="cs"/>
          <w:rtl/>
        </w:rPr>
        <w:t>اشکال مرحوم صدر</w:t>
      </w:r>
    </w:p>
    <w:p w:rsidR="00125E19" w:rsidRPr="00125E19" w:rsidRDefault="00125E19" w:rsidP="00125E19">
      <w:pPr>
        <w:pStyle w:val="Heading5"/>
        <w:rPr>
          <w:rtl/>
        </w:rPr>
      </w:pPr>
      <w:r w:rsidRPr="00125E19">
        <w:rPr>
          <w:rFonts w:hint="cs"/>
          <w:rtl/>
        </w:rPr>
        <w:t>اشکال سندی: ارسال حدیث</w:t>
      </w:r>
    </w:p>
    <w:p w:rsidR="00125E19" w:rsidRPr="00125E19" w:rsidRDefault="00125E19" w:rsidP="00125E19">
      <w:pPr>
        <w:rPr>
          <w:rtl/>
        </w:rPr>
      </w:pPr>
      <w:r w:rsidRPr="00125E19">
        <w:rPr>
          <w:rFonts w:hint="cs"/>
          <w:rtl/>
        </w:rPr>
        <w:t xml:space="preserve"> دلیل سلطنت روایتی ضعیفه دارد، یعنی روایت «الناس مسلطون علی اموالهم»  حدیثی مرسل است، لذا در مقام، مرجع اصول عملیه خواهد بود.</w:t>
      </w:r>
    </w:p>
    <w:p w:rsidR="00125E19" w:rsidRPr="00125E19" w:rsidRDefault="00125E19" w:rsidP="00125E19">
      <w:pPr>
        <w:pStyle w:val="Heading5"/>
        <w:rPr>
          <w:rtl/>
        </w:rPr>
      </w:pPr>
      <w:r w:rsidRPr="00125E19">
        <w:rPr>
          <w:rFonts w:hint="cs"/>
          <w:rtl/>
        </w:rPr>
        <w:t>اشکال دلالی: عدم اطلاق دلیل سلطنت</w:t>
      </w:r>
    </w:p>
    <w:p w:rsidR="00125E19" w:rsidRPr="00125E19" w:rsidRDefault="00125E19" w:rsidP="00125E19">
      <w:pPr>
        <w:rPr>
          <w:rtl/>
        </w:rPr>
      </w:pPr>
      <w:r w:rsidRPr="00125E19">
        <w:rPr>
          <w:rFonts w:hint="cs"/>
          <w:rtl/>
        </w:rPr>
        <w:t>بر فرض تمامیت دلیل و مدرک حدیث سلطنت هم این دلیل اطلاقی نسبت به موردی که سلطه بر مال مستتبع تضرر بر غیر است، ندارد.</w:t>
      </w:r>
    </w:p>
    <w:p w:rsidR="00125E19" w:rsidRPr="00125E19" w:rsidRDefault="00125E19" w:rsidP="00125E19">
      <w:pPr>
        <w:rPr>
          <w:rtl/>
        </w:rPr>
      </w:pPr>
      <w:r w:rsidRPr="00125E19">
        <w:rPr>
          <w:rFonts w:hint="cs"/>
          <w:rtl/>
        </w:rPr>
        <w:t>بنابراین نمی توان بعد از سقوط لا ضرر مرجع را قاعده سلطنت دانست، چرا که اقتضایی در دلیل نسبت به موارد تضرر مالک ندارد.</w:t>
      </w:r>
    </w:p>
    <w:p w:rsidR="00125E19" w:rsidRPr="00125E19" w:rsidRDefault="00125E19" w:rsidP="00125E19">
      <w:pPr>
        <w:pStyle w:val="Heading6"/>
        <w:rPr>
          <w:rtl/>
        </w:rPr>
      </w:pPr>
      <w:r w:rsidRPr="00125E19">
        <w:rPr>
          <w:rFonts w:hint="cs"/>
          <w:rtl/>
        </w:rPr>
        <w:t>جواب</w:t>
      </w:r>
    </w:p>
    <w:p w:rsidR="00125E19" w:rsidRPr="00125E19" w:rsidRDefault="00125E19" w:rsidP="00125E19">
      <w:pPr>
        <w:spacing w:line="240" w:lineRule="auto"/>
        <w:rPr>
          <w:rFonts w:ascii="Times New Roman" w:eastAsia="Times New Roman" w:hAnsi="Times New Roman"/>
          <w:color w:val="000000"/>
          <w:sz w:val="28"/>
          <w:rtl/>
        </w:rPr>
      </w:pPr>
      <w:r w:rsidRPr="00125E19">
        <w:rPr>
          <w:rFonts w:ascii="Times New Roman" w:eastAsia="Times New Roman" w:hAnsi="Times New Roman" w:hint="cs"/>
          <w:color w:val="000000"/>
          <w:sz w:val="28"/>
          <w:rtl/>
        </w:rPr>
        <w:t>نسبت به هر دو اشکال ایشان خدشه وارد است.</w:t>
      </w:r>
    </w:p>
    <w:p w:rsidR="00125E19" w:rsidRPr="00125E19" w:rsidRDefault="00125E19" w:rsidP="00125E19">
      <w:pPr>
        <w:pStyle w:val="Heading7"/>
        <w:rPr>
          <w:rtl/>
        </w:rPr>
      </w:pPr>
      <w:r w:rsidRPr="00125E19">
        <w:rPr>
          <w:rFonts w:hint="cs"/>
          <w:rtl/>
        </w:rPr>
        <w:lastRenderedPageBreak/>
        <w:t>جواب اشکال دلالی: وجود مقتضی اطلاق</w:t>
      </w:r>
    </w:p>
    <w:p w:rsidR="00125E19" w:rsidRPr="00125E19" w:rsidRDefault="00125E19" w:rsidP="00125E19">
      <w:pPr>
        <w:rPr>
          <w:rtl/>
        </w:rPr>
      </w:pPr>
      <w:r w:rsidRPr="00125E19">
        <w:rPr>
          <w:rFonts w:hint="cs"/>
          <w:rtl/>
        </w:rPr>
        <w:t xml:space="preserve"> عدم اطلاق قاعده سلطنت بعد از پذیرش آن، وجهی ندارد، چرا که بر فرض پذیرش علی القاعده، این مضمون هم مقتضی اطلاق است. (ممکن است که این نقص در کلام ایشان از ناحیه مقرر وارد شده باشد.)</w:t>
      </w:r>
    </w:p>
    <w:p w:rsidR="00125E19" w:rsidRPr="00125E19" w:rsidRDefault="00125E19" w:rsidP="00125E19">
      <w:pPr>
        <w:pStyle w:val="Heading7"/>
        <w:rPr>
          <w:rtl/>
        </w:rPr>
      </w:pPr>
      <w:r w:rsidRPr="00125E19">
        <w:rPr>
          <w:rFonts w:hint="cs"/>
          <w:rtl/>
        </w:rPr>
        <w:t>جواب اشکال سندی: وجود روایاتی معتبر و هم مضمون قاعده</w:t>
      </w:r>
    </w:p>
    <w:p w:rsidR="00125E19" w:rsidRPr="00125E19" w:rsidRDefault="00125E19" w:rsidP="00125E19">
      <w:pPr>
        <w:spacing w:line="240" w:lineRule="auto"/>
        <w:rPr>
          <w:rFonts w:ascii="Times New Roman" w:eastAsia="Times New Roman" w:hAnsi="Times New Roman"/>
          <w:color w:val="000000"/>
          <w:sz w:val="28"/>
          <w:rtl/>
        </w:rPr>
      </w:pPr>
      <w:r w:rsidRPr="00125E19">
        <w:rPr>
          <w:rFonts w:ascii="Times New Roman" w:eastAsia="Times New Roman" w:hAnsi="Times New Roman" w:hint="cs"/>
          <w:color w:val="000000"/>
          <w:sz w:val="28"/>
          <w:rtl/>
        </w:rPr>
        <w:t>اما در مورد ضعف سند و ارسال مدرک قاعده سلطنت باید گفت که اگر چه که حدیث معروف سلطت ضعیف است، ولی روایاتی با این مضمون وجود دارد که تا حدود زیادی برای مدعا در ما نحن فیه کفایت می کند.</w:t>
      </w:r>
    </w:p>
    <w:p w:rsidR="00125E19" w:rsidRPr="00125E19" w:rsidRDefault="00125E19" w:rsidP="00125E19">
      <w:pPr>
        <w:spacing w:line="240" w:lineRule="auto"/>
        <w:rPr>
          <w:rFonts w:ascii="Times New Roman" w:eastAsia="Times New Roman" w:hAnsi="Times New Roman"/>
          <w:color w:val="000000"/>
          <w:sz w:val="28"/>
          <w:rtl/>
        </w:rPr>
      </w:pPr>
      <w:r w:rsidRPr="00125E19">
        <w:rPr>
          <w:rFonts w:ascii="Times New Roman" w:eastAsia="Times New Roman" w:hAnsi="Times New Roman" w:hint="cs"/>
          <w:color w:val="000000"/>
          <w:sz w:val="28"/>
          <w:rtl/>
        </w:rPr>
        <w:t xml:space="preserve">روایت اول: </w:t>
      </w:r>
      <w:r w:rsidRPr="00125E19">
        <w:rPr>
          <w:rStyle w:val="IntenseEmphasis"/>
          <w:rFonts w:hint="cs"/>
          <w:rtl/>
        </w:rPr>
        <w:t>«</w:t>
      </w:r>
      <w:r w:rsidRPr="00125E19">
        <w:rPr>
          <w:rStyle w:val="IntenseEmphasis"/>
          <w:rtl/>
        </w:rPr>
        <w:t>لَا يَحِلُّ دَمُ امْرِئٍ مُسْلِمٍ وَ لَا مَالُهُ إِلَّا بِطِيبَةِ نَفْسِهِ»</w:t>
      </w:r>
      <w:r>
        <w:rPr>
          <w:rStyle w:val="FootnoteReference"/>
          <w:rFonts w:cs="B Nazanin"/>
          <w:b/>
          <w:i/>
          <w:color w:val="008000"/>
          <w:rtl/>
        </w:rPr>
        <w:footnoteReference w:id="1"/>
      </w:r>
    </w:p>
    <w:p w:rsidR="00125E19" w:rsidRDefault="00125E19" w:rsidP="00125E19">
      <w:pPr>
        <w:spacing w:line="240" w:lineRule="auto"/>
        <w:rPr>
          <w:rStyle w:val="IntenseEmphasis"/>
          <w:rtl/>
        </w:rPr>
      </w:pPr>
      <w:r w:rsidRPr="00125E19">
        <w:rPr>
          <w:rFonts w:ascii="Times New Roman" w:eastAsia="Times New Roman" w:hAnsi="Times New Roman" w:hint="cs"/>
          <w:color w:val="000000"/>
          <w:sz w:val="28"/>
          <w:rtl/>
        </w:rPr>
        <w:t xml:space="preserve">روایت دوم: </w:t>
      </w:r>
      <w:r w:rsidRPr="00125E19">
        <w:rPr>
          <w:rStyle w:val="IntenseEmphasis"/>
          <w:rFonts w:hint="cs"/>
          <w:rtl/>
        </w:rPr>
        <w:t>«</w:t>
      </w:r>
      <w:r w:rsidRPr="00125E19">
        <w:rPr>
          <w:rStyle w:val="IntenseEmphasis"/>
          <w:rtl/>
        </w:rPr>
        <w:t>صَاحِبُ الْمَالِ أَحَقُّ بِمَالِهِ مَا دَامَ فِيهِ شَيْ‌ءٌ مِنَ الرُّوحِ يَضَعُهُ حَيْثُ شَاءَ.»</w:t>
      </w:r>
      <w:r>
        <w:rPr>
          <w:rStyle w:val="FootnoteReference"/>
          <w:rFonts w:cs="B Nazanin"/>
          <w:b/>
          <w:i/>
          <w:color w:val="008000"/>
          <w:rtl/>
        </w:rPr>
        <w:footnoteReference w:id="2"/>
      </w:r>
    </w:p>
    <w:p w:rsidR="00125E19" w:rsidRPr="00125E19" w:rsidRDefault="00125E19" w:rsidP="00125E19">
      <w:pPr>
        <w:spacing w:line="240" w:lineRule="auto"/>
        <w:rPr>
          <w:rFonts w:ascii="Times New Roman" w:eastAsia="Times New Roman" w:hAnsi="Times New Roman"/>
          <w:color w:val="000000"/>
          <w:sz w:val="28"/>
          <w:rtl/>
        </w:rPr>
      </w:pPr>
      <w:r w:rsidRPr="00125E19">
        <w:rPr>
          <w:rFonts w:ascii="Times New Roman" w:eastAsia="Times New Roman" w:hAnsi="Times New Roman" w:hint="cs"/>
          <w:color w:val="000000" w:themeColor="text1"/>
          <w:sz w:val="27"/>
          <w:szCs w:val="27"/>
          <w:rtl/>
        </w:rPr>
        <w:t>روایت سوم:</w:t>
      </w:r>
      <w:r w:rsidRPr="00125E19">
        <w:rPr>
          <w:rFonts w:ascii="Times New Roman" w:eastAsia="Times New Roman" w:hAnsi="Times New Roman" w:hint="cs"/>
          <w:color w:val="286564"/>
          <w:sz w:val="27"/>
          <w:szCs w:val="27"/>
          <w:rtl/>
        </w:rPr>
        <w:t xml:space="preserve"> </w:t>
      </w:r>
      <w:r w:rsidRPr="00125E19">
        <w:rPr>
          <w:rStyle w:val="IntenseEmphasis"/>
          <w:rFonts w:hint="cs"/>
          <w:rtl/>
        </w:rPr>
        <w:t>«</w:t>
      </w:r>
      <w:r w:rsidRPr="00125E19">
        <w:rPr>
          <w:rStyle w:val="IntenseEmphasis"/>
          <w:rtl/>
        </w:rPr>
        <w:t>الرَّجُلُ أَحَقُّ بِمَالِهِ مَا دَامَ فِيهِ الرُّوحُ إِنْ أَوْصَى بِهِ كُلِّهِ فَهُوَ جَائِزٌ لَهُ.</w:t>
      </w:r>
      <w:r w:rsidRPr="00125E19">
        <w:rPr>
          <w:rStyle w:val="IntenseEmphasis"/>
          <w:rFonts w:hint="cs"/>
          <w:rtl/>
        </w:rPr>
        <w:t>»</w:t>
      </w:r>
      <w:r>
        <w:rPr>
          <w:rStyle w:val="FootnoteReference"/>
          <w:rFonts w:cs="B Nazanin"/>
          <w:b/>
          <w:i/>
          <w:color w:val="008000"/>
          <w:rtl/>
        </w:rPr>
        <w:footnoteReference w:id="3"/>
      </w:r>
    </w:p>
    <w:p w:rsidR="00125E19" w:rsidRPr="00125E19" w:rsidRDefault="00125E19" w:rsidP="00125E19">
      <w:pPr>
        <w:spacing w:line="240" w:lineRule="auto"/>
        <w:rPr>
          <w:rFonts w:ascii="Times New Roman" w:eastAsia="Times New Roman" w:hAnsi="Times New Roman"/>
          <w:color w:val="000000"/>
          <w:sz w:val="27"/>
          <w:szCs w:val="27"/>
          <w:rtl/>
        </w:rPr>
      </w:pPr>
      <w:r w:rsidRPr="00125E19">
        <w:rPr>
          <w:rFonts w:ascii="Times New Roman" w:eastAsia="Times New Roman" w:hAnsi="Times New Roman" w:hint="cs"/>
          <w:color w:val="000000"/>
          <w:sz w:val="27"/>
          <w:szCs w:val="27"/>
          <w:rtl/>
        </w:rPr>
        <w:t>روایات دیگری هم با مضامینی متشابه وجود دارد که فی الجمله معنا و قاعده سلطنت را اثبات می کند.</w:t>
      </w:r>
    </w:p>
    <w:p w:rsidR="00125E19" w:rsidRPr="00125E19" w:rsidRDefault="00125E19" w:rsidP="00125E19">
      <w:pPr>
        <w:pStyle w:val="Heading8"/>
        <w:rPr>
          <w:rtl/>
        </w:rPr>
      </w:pPr>
      <w:r w:rsidRPr="00125E19">
        <w:rPr>
          <w:rFonts w:hint="cs"/>
          <w:rtl/>
        </w:rPr>
        <w:t>تعارض داخلی قاعده سلطنت</w:t>
      </w:r>
    </w:p>
    <w:p w:rsidR="00125E19" w:rsidRPr="00125E19" w:rsidRDefault="00125E19" w:rsidP="00125E19">
      <w:pPr>
        <w:spacing w:line="240" w:lineRule="auto"/>
        <w:rPr>
          <w:rFonts w:ascii="Times New Roman" w:eastAsia="Times New Roman" w:hAnsi="Times New Roman"/>
          <w:color w:val="000000"/>
          <w:sz w:val="27"/>
          <w:szCs w:val="27"/>
          <w:rtl/>
        </w:rPr>
      </w:pPr>
      <w:r w:rsidRPr="00125E19">
        <w:rPr>
          <w:rFonts w:ascii="Times New Roman" w:eastAsia="Times New Roman" w:hAnsi="Times New Roman" w:hint="cs"/>
          <w:color w:val="000000"/>
          <w:sz w:val="27"/>
          <w:szCs w:val="27"/>
          <w:rtl/>
        </w:rPr>
        <w:t xml:space="preserve"> حدیث سلطنت هم مبتلا به تعارض داخلی است، چرا که در ناحیه مقابل هم تسلط مالک نسبت به اموال و املاکش مفروض است، لذا حدیث سلطنت هم تعارض داخلی پیدا می کند.</w:t>
      </w:r>
    </w:p>
    <w:p w:rsidR="00125E19" w:rsidRPr="00125E19" w:rsidRDefault="00125E19" w:rsidP="00125E19">
      <w:pPr>
        <w:pStyle w:val="Heading9"/>
        <w:rPr>
          <w:rtl/>
        </w:rPr>
      </w:pPr>
      <w:r w:rsidRPr="00125E19">
        <w:rPr>
          <w:rFonts w:hint="cs"/>
          <w:szCs w:val="22"/>
          <w:rtl/>
        </w:rPr>
        <w:t>ا</w:t>
      </w:r>
      <w:r w:rsidRPr="00125E19">
        <w:rPr>
          <w:rFonts w:hint="cs"/>
          <w:rtl/>
        </w:rPr>
        <w:t>شکال مرحوم عراقی: فقدان سلطه تحفظی</w:t>
      </w:r>
    </w:p>
    <w:p w:rsidR="00125E19" w:rsidRPr="00125E19" w:rsidRDefault="00125E19" w:rsidP="00125E19">
      <w:pPr>
        <w:spacing w:line="240" w:lineRule="auto"/>
        <w:rPr>
          <w:rFonts w:ascii="Times New Roman" w:eastAsia="Times New Roman" w:hAnsi="Times New Roman"/>
          <w:color w:val="000000"/>
          <w:sz w:val="27"/>
          <w:szCs w:val="27"/>
          <w:rtl/>
        </w:rPr>
      </w:pPr>
      <w:r w:rsidRPr="00125E19">
        <w:rPr>
          <w:rFonts w:ascii="Times New Roman" w:eastAsia="Times New Roman" w:hAnsi="Times New Roman" w:hint="cs"/>
          <w:color w:val="000000"/>
          <w:sz w:val="27"/>
          <w:szCs w:val="27"/>
          <w:rtl/>
        </w:rPr>
        <w:t xml:space="preserve"> اگر حدیث سلطنت تمام باشد، مبتلاء به تعارض داخلی نیست، چرا که مفاد این حدیث سلطه ی تصرف بر مال است، حال آن که طرف مقابل (همسایه) به سلطه تحفظی نیاز دارد، نه این که صرف سلطه تصرفی که مقتضای قاعده سلطنت است کفایت می کند. </w:t>
      </w:r>
    </w:p>
    <w:p w:rsidR="00125E19" w:rsidRPr="00125E19" w:rsidRDefault="00125E19" w:rsidP="00125E19">
      <w:pPr>
        <w:pStyle w:val="Heading9"/>
        <w:rPr>
          <w:rtl/>
        </w:rPr>
      </w:pPr>
      <w:r w:rsidRPr="00125E19">
        <w:rPr>
          <w:rFonts w:hint="cs"/>
          <w:rtl/>
        </w:rPr>
        <w:t xml:space="preserve">جواب: </w:t>
      </w:r>
      <w:r>
        <w:rPr>
          <w:rFonts w:hint="cs"/>
          <w:rtl/>
        </w:rPr>
        <w:t xml:space="preserve">وجود اقتضای سلطه تحفظی </w:t>
      </w:r>
    </w:p>
    <w:p w:rsidR="00125E19" w:rsidRPr="00125E19" w:rsidRDefault="00125E19" w:rsidP="00566AC9">
      <w:pPr>
        <w:spacing w:line="240" w:lineRule="auto"/>
        <w:rPr>
          <w:rFonts w:ascii="Times New Roman" w:eastAsia="Times New Roman" w:hAnsi="Times New Roman"/>
          <w:color w:val="000000"/>
          <w:sz w:val="27"/>
          <w:szCs w:val="27"/>
          <w:rtl/>
        </w:rPr>
      </w:pPr>
      <w:r w:rsidRPr="00125E19">
        <w:rPr>
          <w:rFonts w:ascii="Times New Roman" w:eastAsia="Times New Roman" w:hAnsi="Times New Roman" w:hint="cs"/>
          <w:color w:val="000000"/>
          <w:sz w:val="27"/>
          <w:szCs w:val="27"/>
          <w:rtl/>
        </w:rPr>
        <w:t>اگر مدرک روایت «الناس مسلطون علی اموالهم» باشد، سلطه حفاظتی شامل نمی شود، ولی اگر مدرک قاعده روایت «</w:t>
      </w:r>
      <w:r w:rsidR="00566AC9" w:rsidRPr="00566AC9">
        <w:rPr>
          <w:rFonts w:ascii="Times New Roman" w:eastAsia="Times New Roman" w:hAnsi="Times New Roman" w:hint="cs"/>
          <w:color w:val="000000"/>
          <w:sz w:val="27"/>
          <w:szCs w:val="27"/>
          <w:rtl/>
        </w:rPr>
        <w:t>لَا</w:t>
      </w:r>
      <w:r w:rsidR="00566AC9" w:rsidRPr="00566AC9">
        <w:rPr>
          <w:rFonts w:ascii="Times New Roman" w:eastAsia="Times New Roman" w:hAnsi="Times New Roman"/>
          <w:color w:val="000000"/>
          <w:sz w:val="27"/>
          <w:szCs w:val="27"/>
          <w:rtl/>
        </w:rPr>
        <w:t xml:space="preserve"> </w:t>
      </w:r>
      <w:r w:rsidR="00566AC9" w:rsidRPr="00566AC9">
        <w:rPr>
          <w:rFonts w:ascii="Times New Roman" w:eastAsia="Times New Roman" w:hAnsi="Times New Roman" w:hint="cs"/>
          <w:color w:val="000000"/>
          <w:sz w:val="27"/>
          <w:szCs w:val="27"/>
          <w:rtl/>
        </w:rPr>
        <w:t>يَحِلُّ</w:t>
      </w:r>
      <w:r w:rsidR="00566AC9" w:rsidRPr="00566AC9">
        <w:rPr>
          <w:rFonts w:ascii="Times New Roman" w:eastAsia="Times New Roman" w:hAnsi="Times New Roman"/>
          <w:color w:val="000000"/>
          <w:sz w:val="27"/>
          <w:szCs w:val="27"/>
          <w:rtl/>
        </w:rPr>
        <w:t xml:space="preserve"> </w:t>
      </w:r>
      <w:r w:rsidR="00566AC9" w:rsidRPr="00566AC9">
        <w:rPr>
          <w:rFonts w:ascii="Times New Roman" w:eastAsia="Times New Roman" w:hAnsi="Times New Roman" w:hint="cs"/>
          <w:color w:val="000000"/>
          <w:sz w:val="27"/>
          <w:szCs w:val="27"/>
          <w:rtl/>
        </w:rPr>
        <w:t>دَمُ</w:t>
      </w:r>
      <w:r w:rsidR="00566AC9" w:rsidRPr="00566AC9">
        <w:rPr>
          <w:rFonts w:ascii="Times New Roman" w:eastAsia="Times New Roman" w:hAnsi="Times New Roman"/>
          <w:color w:val="000000"/>
          <w:sz w:val="27"/>
          <w:szCs w:val="27"/>
          <w:rtl/>
        </w:rPr>
        <w:t xml:space="preserve"> </w:t>
      </w:r>
      <w:r w:rsidR="00566AC9" w:rsidRPr="00566AC9">
        <w:rPr>
          <w:rFonts w:ascii="Times New Roman" w:eastAsia="Times New Roman" w:hAnsi="Times New Roman" w:hint="cs"/>
          <w:color w:val="000000"/>
          <w:sz w:val="27"/>
          <w:szCs w:val="27"/>
          <w:rtl/>
        </w:rPr>
        <w:t>امْرِئٍ</w:t>
      </w:r>
      <w:r w:rsidR="00566AC9" w:rsidRPr="00566AC9">
        <w:rPr>
          <w:rFonts w:ascii="Times New Roman" w:eastAsia="Times New Roman" w:hAnsi="Times New Roman"/>
          <w:color w:val="000000"/>
          <w:sz w:val="27"/>
          <w:szCs w:val="27"/>
          <w:rtl/>
        </w:rPr>
        <w:t xml:space="preserve"> </w:t>
      </w:r>
      <w:r w:rsidR="00566AC9" w:rsidRPr="00566AC9">
        <w:rPr>
          <w:rFonts w:ascii="Times New Roman" w:eastAsia="Times New Roman" w:hAnsi="Times New Roman" w:hint="cs"/>
          <w:color w:val="000000"/>
          <w:sz w:val="27"/>
          <w:szCs w:val="27"/>
          <w:rtl/>
        </w:rPr>
        <w:t>مُسْلِمٍ</w:t>
      </w:r>
      <w:r w:rsidR="00566AC9" w:rsidRPr="00566AC9">
        <w:rPr>
          <w:rFonts w:ascii="Times New Roman" w:eastAsia="Times New Roman" w:hAnsi="Times New Roman"/>
          <w:color w:val="000000"/>
          <w:sz w:val="27"/>
          <w:szCs w:val="27"/>
          <w:rtl/>
        </w:rPr>
        <w:t xml:space="preserve"> </w:t>
      </w:r>
      <w:r w:rsidR="00566AC9" w:rsidRPr="00566AC9">
        <w:rPr>
          <w:rFonts w:ascii="Times New Roman" w:eastAsia="Times New Roman" w:hAnsi="Times New Roman" w:hint="cs"/>
          <w:color w:val="000000"/>
          <w:sz w:val="27"/>
          <w:szCs w:val="27"/>
          <w:rtl/>
        </w:rPr>
        <w:t>وَ</w:t>
      </w:r>
      <w:r w:rsidR="00566AC9" w:rsidRPr="00566AC9">
        <w:rPr>
          <w:rFonts w:ascii="Times New Roman" w:eastAsia="Times New Roman" w:hAnsi="Times New Roman"/>
          <w:color w:val="000000"/>
          <w:sz w:val="27"/>
          <w:szCs w:val="27"/>
          <w:rtl/>
        </w:rPr>
        <w:t xml:space="preserve"> </w:t>
      </w:r>
      <w:r w:rsidR="00566AC9" w:rsidRPr="00566AC9">
        <w:rPr>
          <w:rFonts w:ascii="Times New Roman" w:eastAsia="Times New Roman" w:hAnsi="Times New Roman" w:hint="cs"/>
          <w:color w:val="000000"/>
          <w:sz w:val="27"/>
          <w:szCs w:val="27"/>
          <w:rtl/>
        </w:rPr>
        <w:t>لَا</w:t>
      </w:r>
      <w:r w:rsidR="00566AC9" w:rsidRPr="00566AC9">
        <w:rPr>
          <w:rFonts w:ascii="Times New Roman" w:eastAsia="Times New Roman" w:hAnsi="Times New Roman"/>
          <w:color w:val="000000"/>
          <w:sz w:val="27"/>
          <w:szCs w:val="27"/>
          <w:rtl/>
        </w:rPr>
        <w:t xml:space="preserve"> </w:t>
      </w:r>
      <w:r w:rsidR="00566AC9" w:rsidRPr="00566AC9">
        <w:rPr>
          <w:rFonts w:ascii="Times New Roman" w:eastAsia="Times New Roman" w:hAnsi="Times New Roman" w:hint="cs"/>
          <w:color w:val="000000"/>
          <w:sz w:val="27"/>
          <w:szCs w:val="27"/>
          <w:rtl/>
        </w:rPr>
        <w:t>مَالُهُ</w:t>
      </w:r>
      <w:r w:rsidR="00566AC9" w:rsidRPr="00566AC9">
        <w:rPr>
          <w:rFonts w:ascii="Times New Roman" w:eastAsia="Times New Roman" w:hAnsi="Times New Roman"/>
          <w:color w:val="000000"/>
          <w:sz w:val="27"/>
          <w:szCs w:val="27"/>
          <w:rtl/>
        </w:rPr>
        <w:t xml:space="preserve"> </w:t>
      </w:r>
      <w:r w:rsidR="00566AC9" w:rsidRPr="00566AC9">
        <w:rPr>
          <w:rFonts w:ascii="Times New Roman" w:eastAsia="Times New Roman" w:hAnsi="Times New Roman" w:hint="cs"/>
          <w:color w:val="000000"/>
          <w:sz w:val="27"/>
          <w:szCs w:val="27"/>
          <w:rtl/>
        </w:rPr>
        <w:t>إِلَّا</w:t>
      </w:r>
      <w:r w:rsidR="00566AC9" w:rsidRPr="00566AC9">
        <w:rPr>
          <w:rFonts w:ascii="Times New Roman" w:eastAsia="Times New Roman" w:hAnsi="Times New Roman"/>
          <w:color w:val="000000"/>
          <w:sz w:val="27"/>
          <w:szCs w:val="27"/>
          <w:rtl/>
        </w:rPr>
        <w:t xml:space="preserve"> </w:t>
      </w:r>
      <w:r w:rsidR="00566AC9" w:rsidRPr="00566AC9">
        <w:rPr>
          <w:rFonts w:ascii="Times New Roman" w:eastAsia="Times New Roman" w:hAnsi="Times New Roman" w:hint="cs"/>
          <w:color w:val="000000"/>
          <w:sz w:val="27"/>
          <w:szCs w:val="27"/>
          <w:rtl/>
        </w:rPr>
        <w:t>بِطِيبَةِ</w:t>
      </w:r>
      <w:r w:rsidR="00566AC9" w:rsidRPr="00566AC9">
        <w:rPr>
          <w:rFonts w:ascii="Times New Roman" w:eastAsia="Times New Roman" w:hAnsi="Times New Roman"/>
          <w:color w:val="000000"/>
          <w:sz w:val="27"/>
          <w:szCs w:val="27"/>
          <w:rtl/>
        </w:rPr>
        <w:t xml:space="preserve"> </w:t>
      </w:r>
      <w:r w:rsidR="00566AC9" w:rsidRPr="00566AC9">
        <w:rPr>
          <w:rFonts w:ascii="Times New Roman" w:eastAsia="Times New Roman" w:hAnsi="Times New Roman" w:hint="cs"/>
          <w:color w:val="000000"/>
          <w:sz w:val="27"/>
          <w:szCs w:val="27"/>
          <w:rtl/>
        </w:rPr>
        <w:t>نَفْسِهِ</w:t>
      </w:r>
      <w:r w:rsidRPr="00125E19">
        <w:rPr>
          <w:rFonts w:ascii="Times New Roman" w:eastAsia="Times New Roman" w:hAnsi="Times New Roman" w:hint="cs"/>
          <w:color w:val="000000"/>
          <w:sz w:val="27"/>
          <w:szCs w:val="27"/>
          <w:rtl/>
        </w:rPr>
        <w:t>» باشد، استفاده سلطه حفاظتی از آن اوضح است، به این بیان که دلالت واضح این روایت در قضیه حفر بئر ابتدائا در منع خشکاندن چاه همسایه بدون طیب خاطر او ست، و به عبارت دیگر قدر متیقن از سلطه در این روایت، سلطه حفاظتی است، بنابراین بین دو سلطه تعارض محقق می شود.</w:t>
      </w:r>
    </w:p>
    <w:p w:rsidR="00125E19" w:rsidRPr="00125E19" w:rsidRDefault="00125E19" w:rsidP="00125E19">
      <w:pPr>
        <w:spacing w:line="240" w:lineRule="auto"/>
        <w:rPr>
          <w:rFonts w:ascii="Times New Roman" w:eastAsia="Times New Roman" w:hAnsi="Times New Roman"/>
          <w:color w:val="000000"/>
          <w:sz w:val="27"/>
          <w:szCs w:val="27"/>
          <w:rtl/>
        </w:rPr>
      </w:pPr>
      <w:r w:rsidRPr="00125E19">
        <w:rPr>
          <w:rFonts w:ascii="Times New Roman" w:eastAsia="Times New Roman" w:hAnsi="Times New Roman" w:hint="cs"/>
          <w:color w:val="000000"/>
          <w:sz w:val="27"/>
          <w:szCs w:val="27"/>
          <w:rtl/>
        </w:rPr>
        <w:lastRenderedPageBreak/>
        <w:t>در واقع حدیث سلطنت مفادی حیثی دارد و مفاد حیثی آن به این معناست که از حیث تصرف در مال شخصی جواز وجود دارد، اما نسبت به جایی که تصرف مستلزم به تصرف در مال دیگری است، دیگر این سلطه نفوذی ندارد و قاعده نسبت به چنین تصرفی ساکت است.</w:t>
      </w:r>
      <w:r>
        <w:rPr>
          <w:rStyle w:val="FootnoteReference"/>
          <w:rFonts w:ascii="Times New Roman" w:eastAsia="Times New Roman" w:hAnsi="Times New Roman"/>
          <w:color w:val="000000"/>
          <w:sz w:val="27"/>
          <w:szCs w:val="27"/>
          <w:rtl/>
        </w:rPr>
        <w:footnoteReference w:id="4"/>
      </w:r>
    </w:p>
    <w:p w:rsidR="00125E19" w:rsidRDefault="00125E19" w:rsidP="00125E19">
      <w:pPr>
        <w:spacing w:line="240" w:lineRule="auto"/>
        <w:rPr>
          <w:rFonts w:ascii="Times New Roman" w:eastAsia="Times New Roman" w:hAnsi="Times New Roman"/>
          <w:color w:val="000000"/>
          <w:sz w:val="27"/>
          <w:szCs w:val="27"/>
          <w:rtl/>
        </w:rPr>
      </w:pPr>
      <w:r w:rsidRPr="00125E19">
        <w:rPr>
          <w:rFonts w:ascii="Times New Roman" w:eastAsia="Times New Roman" w:hAnsi="Times New Roman" w:hint="cs"/>
          <w:color w:val="000000"/>
          <w:sz w:val="27"/>
          <w:szCs w:val="27"/>
          <w:rtl/>
        </w:rPr>
        <w:t>لذا نسبت به چنین تصرفی(تصرف ترخیصی) اصلا برای قاعده و حدیث مقتضی متصور نیست، بنابراین به دلیل حرمت تصرف در مال دیگران بدون اذن آن ها حق چنین تصرفی در مال خودش را هم ندارد.</w:t>
      </w:r>
    </w:p>
    <w:p w:rsidR="00125E19" w:rsidRPr="00125E19" w:rsidRDefault="00125E19" w:rsidP="00125E19">
      <w:pPr>
        <w:spacing w:line="240" w:lineRule="auto"/>
        <w:rPr>
          <w:rFonts w:ascii="Times New Roman" w:eastAsia="Times New Roman" w:hAnsi="Times New Roman"/>
          <w:color w:val="000000"/>
          <w:sz w:val="27"/>
          <w:szCs w:val="27"/>
          <w:rtl/>
        </w:rPr>
      </w:pPr>
      <w:r>
        <w:rPr>
          <w:rFonts w:ascii="Times New Roman" w:eastAsia="Times New Roman" w:hAnsi="Times New Roman" w:hint="cs"/>
          <w:color w:val="000000"/>
          <w:sz w:val="27"/>
          <w:szCs w:val="27"/>
          <w:rtl/>
        </w:rPr>
        <w:t xml:space="preserve">همان گونه که گذشت احکام ترخیصی در همه جا حیثی هستند بر خلاف احکام الزامی که قاعدتا به نحو فعلی و منجز جعل شده اند. </w:t>
      </w:r>
    </w:p>
    <w:p w:rsidR="00125E19" w:rsidRPr="00125E19" w:rsidRDefault="00125E19" w:rsidP="00125E19">
      <w:pPr>
        <w:pStyle w:val="Heading2"/>
        <w:rPr>
          <w:rtl/>
        </w:rPr>
      </w:pPr>
      <w:r w:rsidRPr="00125E19">
        <w:rPr>
          <w:rFonts w:hint="cs"/>
          <w:rtl/>
        </w:rPr>
        <w:t>تنبیه دوم</w:t>
      </w:r>
      <w:r>
        <w:rPr>
          <w:rFonts w:hint="cs"/>
          <w:rtl/>
        </w:rPr>
        <w:t>: اقدام</w:t>
      </w:r>
    </w:p>
    <w:p w:rsidR="00125E19" w:rsidRPr="00125E19" w:rsidRDefault="00125E19" w:rsidP="00125E19">
      <w:pPr>
        <w:spacing w:line="240" w:lineRule="auto"/>
        <w:rPr>
          <w:rFonts w:ascii="Times New Roman" w:eastAsia="Times New Roman" w:hAnsi="Times New Roman"/>
          <w:color w:val="000000"/>
          <w:sz w:val="28"/>
          <w:rtl/>
        </w:rPr>
      </w:pPr>
      <w:r w:rsidRPr="00125E19">
        <w:rPr>
          <w:rFonts w:ascii="Times New Roman" w:eastAsia="Times New Roman" w:hAnsi="Times New Roman" w:hint="cs"/>
          <w:color w:val="000000"/>
          <w:sz w:val="28"/>
          <w:rtl/>
        </w:rPr>
        <w:t xml:space="preserve">در جایی لا ضرر جاری می شود که شخص اقدام بر ضرر نکرده باشد، یعنی عقد غبنی با فرض اقدام شخص بر غبن، لازم و حتی خیار هم منتفی است، نکته این امر هم امتنانی بودن لا ضرر است، چرا که مخالفت شارع با چنین اقدامی، و منع از تحقق هدف مُقدِم، خلاف امتنان است.  </w:t>
      </w:r>
    </w:p>
    <w:bookmarkEnd w:id="3"/>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B67" w:rsidRDefault="00C42B67" w:rsidP="008B750B">
      <w:pPr>
        <w:spacing w:line="240" w:lineRule="auto"/>
      </w:pPr>
      <w:r>
        <w:separator/>
      </w:r>
    </w:p>
  </w:endnote>
  <w:endnote w:type="continuationSeparator" w:id="0">
    <w:p w:rsidR="00C42B67" w:rsidRDefault="00C42B6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566AC9" w:rsidRPr="006D44C1" w:rsidTr="0020241A">
      <w:tc>
        <w:tcPr>
          <w:tcW w:w="3382" w:type="dxa"/>
          <w:tcBorders>
            <w:top w:val="nil"/>
            <w:left w:val="nil"/>
            <w:bottom w:val="nil"/>
            <w:right w:val="nil"/>
          </w:tcBorders>
        </w:tcPr>
        <w:p w:rsidR="00566AC9" w:rsidRDefault="00566AC9"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566AC9" w:rsidRDefault="00566AC9" w:rsidP="006D44C1">
          <w:pPr>
            <w:pStyle w:val="Footer"/>
            <w:jc w:val="right"/>
            <w:rPr>
              <w:rtl/>
            </w:rPr>
          </w:pPr>
          <w:r>
            <w:rPr>
              <w:rFonts w:hint="cs"/>
              <w:rtl/>
            </w:rPr>
            <w:t xml:space="preserve">صفحه </w:t>
          </w:r>
          <w:r>
            <w:fldChar w:fldCharType="begin"/>
          </w:r>
          <w:r>
            <w:instrText>PAGE   \* MERGEFORMAT</w:instrText>
          </w:r>
          <w:r>
            <w:fldChar w:fldCharType="separate"/>
          </w:r>
          <w:r w:rsidR="006F1342" w:rsidRPr="006F1342">
            <w:rPr>
              <w:noProof/>
              <w:rtl/>
              <w:lang w:val="fa-IR"/>
            </w:rPr>
            <w:t>3</w:t>
          </w:r>
          <w:r>
            <w:rPr>
              <w:noProof/>
            </w:rPr>
            <w:fldChar w:fldCharType="end"/>
          </w:r>
        </w:p>
      </w:tc>
      <w:tc>
        <w:tcPr>
          <w:tcW w:w="4786" w:type="dxa"/>
          <w:tcBorders>
            <w:top w:val="nil"/>
            <w:left w:val="nil"/>
            <w:bottom w:val="nil"/>
            <w:right w:val="nil"/>
          </w:tcBorders>
          <w:vAlign w:val="center"/>
        </w:tcPr>
        <w:p w:rsidR="00566AC9" w:rsidRPr="006D44C1" w:rsidRDefault="00566AC9" w:rsidP="001B6799">
          <w:pPr>
            <w:pStyle w:val="Footer"/>
            <w:bidi w:val="0"/>
            <w:rPr>
              <w:color w:val="808080" w:themeColor="background1" w:themeShade="80"/>
              <w:rtl/>
            </w:rPr>
          </w:pPr>
          <w:bookmarkStart w:id="11" w:name="BokAdres"/>
          <w:bookmarkEnd w:id="11"/>
          <w:r>
            <w:rPr>
              <w:color w:val="808080" w:themeColor="background1" w:themeShade="80"/>
            </w:rPr>
            <w:t>U1mg1_13941119-067_ar1_mfeb.ir</w:t>
          </w:r>
        </w:p>
      </w:tc>
    </w:tr>
  </w:tbl>
  <w:p w:rsidR="00566AC9" w:rsidRDefault="00566AC9"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B67" w:rsidRDefault="00C42B67" w:rsidP="008B750B">
      <w:pPr>
        <w:spacing w:line="240" w:lineRule="auto"/>
      </w:pPr>
      <w:r>
        <w:separator/>
      </w:r>
    </w:p>
  </w:footnote>
  <w:footnote w:type="continuationSeparator" w:id="0">
    <w:p w:rsidR="00C42B67" w:rsidRDefault="00C42B67" w:rsidP="008B750B">
      <w:pPr>
        <w:spacing w:line="240" w:lineRule="auto"/>
      </w:pPr>
      <w:r>
        <w:continuationSeparator/>
      </w:r>
    </w:p>
  </w:footnote>
  <w:footnote w:id="1">
    <w:p w:rsidR="00566AC9" w:rsidRDefault="00566AC9">
      <w:pPr>
        <w:pStyle w:val="FootnoteText"/>
      </w:pPr>
      <w:r>
        <w:rPr>
          <w:rStyle w:val="FootnoteReference"/>
        </w:rPr>
        <w:footnoteRef/>
      </w:r>
      <w:r>
        <w:rPr>
          <w:rtl/>
        </w:rPr>
        <w:t xml:space="preserve"> </w:t>
      </w:r>
      <w:r>
        <w:rPr>
          <w:rFonts w:hint="cs"/>
          <w:rtl/>
        </w:rPr>
        <w:t xml:space="preserve">. </w:t>
      </w:r>
      <w:r w:rsidRPr="00125E19">
        <w:rPr>
          <w:rFonts w:hint="cs"/>
          <w:rtl/>
        </w:rPr>
        <w:t>الكافي</w:t>
      </w:r>
      <w:r w:rsidRPr="00125E19">
        <w:rPr>
          <w:rtl/>
        </w:rPr>
        <w:t xml:space="preserve"> (</w:t>
      </w:r>
      <w:r w:rsidRPr="00125E19">
        <w:rPr>
          <w:rFonts w:hint="cs"/>
          <w:rtl/>
        </w:rPr>
        <w:t>ط</w:t>
      </w:r>
      <w:r w:rsidRPr="00125E19">
        <w:rPr>
          <w:rtl/>
        </w:rPr>
        <w:t xml:space="preserve"> - </w:t>
      </w:r>
      <w:r w:rsidRPr="00125E19">
        <w:rPr>
          <w:rFonts w:hint="cs"/>
          <w:rtl/>
        </w:rPr>
        <w:t>الإسلامية</w:t>
      </w:r>
      <w:r w:rsidRPr="00125E19">
        <w:rPr>
          <w:rtl/>
        </w:rPr>
        <w:t>)</w:t>
      </w:r>
      <w:r w:rsidRPr="00125E19">
        <w:rPr>
          <w:rFonts w:hint="cs"/>
          <w:rtl/>
        </w:rPr>
        <w:t>،</w:t>
      </w:r>
      <w:r w:rsidRPr="00125E19">
        <w:rPr>
          <w:rtl/>
        </w:rPr>
        <w:t xml:space="preserve"> </w:t>
      </w:r>
      <w:r w:rsidRPr="00125E19">
        <w:rPr>
          <w:rFonts w:hint="cs"/>
          <w:rtl/>
        </w:rPr>
        <w:t>ج‌</w:t>
      </w:r>
      <w:r w:rsidRPr="00125E19">
        <w:rPr>
          <w:rtl/>
        </w:rPr>
        <w:t>7</w:t>
      </w:r>
      <w:r w:rsidRPr="00125E19">
        <w:rPr>
          <w:rFonts w:hint="cs"/>
          <w:rtl/>
        </w:rPr>
        <w:t>،</w:t>
      </w:r>
      <w:r w:rsidRPr="00125E19">
        <w:rPr>
          <w:rtl/>
        </w:rPr>
        <w:t xml:space="preserve"> </w:t>
      </w:r>
      <w:r w:rsidRPr="00125E19">
        <w:rPr>
          <w:rFonts w:hint="cs"/>
          <w:rtl/>
        </w:rPr>
        <w:t>ص</w:t>
      </w:r>
      <w:r w:rsidRPr="00125E19">
        <w:rPr>
          <w:rtl/>
        </w:rPr>
        <w:t>: 273</w:t>
      </w:r>
      <w:r>
        <w:rPr>
          <w:rFonts w:hint="cs"/>
          <w:rtl/>
        </w:rPr>
        <w:t>.</w:t>
      </w:r>
    </w:p>
  </w:footnote>
  <w:footnote w:id="2">
    <w:p w:rsidR="00566AC9" w:rsidRDefault="00566AC9">
      <w:pPr>
        <w:pStyle w:val="FootnoteText"/>
      </w:pPr>
      <w:r>
        <w:rPr>
          <w:rStyle w:val="FootnoteReference"/>
        </w:rPr>
        <w:footnoteRef/>
      </w:r>
      <w:r>
        <w:rPr>
          <w:rtl/>
        </w:rPr>
        <w:t xml:space="preserve"> </w:t>
      </w:r>
      <w:r>
        <w:rPr>
          <w:rFonts w:hint="cs"/>
          <w:rtl/>
        </w:rPr>
        <w:t xml:space="preserve">. </w:t>
      </w:r>
      <w:r w:rsidRPr="00125E19">
        <w:rPr>
          <w:rFonts w:hint="cs"/>
          <w:rtl/>
        </w:rPr>
        <w:t>الكافي</w:t>
      </w:r>
      <w:r w:rsidRPr="00125E19">
        <w:rPr>
          <w:rtl/>
        </w:rPr>
        <w:t xml:space="preserve"> (</w:t>
      </w:r>
      <w:r w:rsidRPr="00125E19">
        <w:rPr>
          <w:rFonts w:hint="cs"/>
          <w:rtl/>
        </w:rPr>
        <w:t>ط</w:t>
      </w:r>
      <w:r w:rsidRPr="00125E19">
        <w:rPr>
          <w:rtl/>
        </w:rPr>
        <w:t xml:space="preserve"> - </w:t>
      </w:r>
      <w:r w:rsidRPr="00125E19">
        <w:rPr>
          <w:rFonts w:hint="cs"/>
          <w:rtl/>
        </w:rPr>
        <w:t>الإسلامية</w:t>
      </w:r>
      <w:r w:rsidRPr="00125E19">
        <w:rPr>
          <w:rtl/>
        </w:rPr>
        <w:t>)</w:t>
      </w:r>
      <w:r w:rsidRPr="00125E19">
        <w:rPr>
          <w:rFonts w:hint="cs"/>
          <w:rtl/>
        </w:rPr>
        <w:t>،</w:t>
      </w:r>
      <w:r w:rsidRPr="00125E19">
        <w:rPr>
          <w:rtl/>
        </w:rPr>
        <w:t xml:space="preserve"> </w:t>
      </w:r>
      <w:r w:rsidRPr="00125E19">
        <w:rPr>
          <w:rFonts w:hint="cs"/>
          <w:rtl/>
        </w:rPr>
        <w:t>ج‌</w:t>
      </w:r>
      <w:r w:rsidRPr="00125E19">
        <w:rPr>
          <w:rtl/>
        </w:rPr>
        <w:t>7</w:t>
      </w:r>
      <w:r w:rsidRPr="00125E19">
        <w:rPr>
          <w:rFonts w:hint="cs"/>
          <w:rtl/>
        </w:rPr>
        <w:t>،</w:t>
      </w:r>
      <w:r w:rsidRPr="00125E19">
        <w:rPr>
          <w:rtl/>
        </w:rPr>
        <w:t xml:space="preserve"> </w:t>
      </w:r>
      <w:r w:rsidRPr="00125E19">
        <w:rPr>
          <w:rFonts w:hint="cs"/>
          <w:rtl/>
        </w:rPr>
        <w:t>ص</w:t>
      </w:r>
      <w:r w:rsidRPr="00125E19">
        <w:rPr>
          <w:rtl/>
        </w:rPr>
        <w:t>: 7</w:t>
      </w:r>
      <w:r>
        <w:rPr>
          <w:rFonts w:hint="cs"/>
          <w:rtl/>
        </w:rPr>
        <w:t>.</w:t>
      </w:r>
    </w:p>
  </w:footnote>
  <w:footnote w:id="3">
    <w:p w:rsidR="00566AC9" w:rsidRDefault="00566AC9">
      <w:pPr>
        <w:pStyle w:val="FootnoteText"/>
      </w:pPr>
      <w:r>
        <w:rPr>
          <w:rStyle w:val="FootnoteReference"/>
        </w:rPr>
        <w:footnoteRef/>
      </w:r>
      <w:r>
        <w:rPr>
          <w:rtl/>
        </w:rPr>
        <w:t xml:space="preserve"> </w:t>
      </w:r>
      <w:r>
        <w:rPr>
          <w:rFonts w:hint="cs"/>
          <w:rtl/>
        </w:rPr>
        <w:t>. همان.</w:t>
      </w:r>
    </w:p>
  </w:footnote>
  <w:footnote w:id="4">
    <w:p w:rsidR="00566AC9" w:rsidRDefault="00566AC9">
      <w:pPr>
        <w:pStyle w:val="FootnoteText"/>
      </w:pPr>
      <w:r>
        <w:rPr>
          <w:rStyle w:val="FootnoteReference"/>
        </w:rPr>
        <w:footnoteRef/>
      </w:r>
      <w:r>
        <w:rPr>
          <w:rtl/>
        </w:rPr>
        <w:t xml:space="preserve"> </w:t>
      </w:r>
      <w:r>
        <w:rPr>
          <w:rFonts w:hint="cs"/>
          <w:rtl/>
        </w:rPr>
        <w:t xml:space="preserve">. </w:t>
      </w:r>
      <w:r>
        <w:rPr>
          <w:rFonts w:hint="cs"/>
          <w:rtl/>
        </w:rPr>
        <w:t>البته با توجه به کلام مرحوم صدر در بحوث، ایشان به این حیثی بودن قاعده سلطنت ملتفت و قائل بوده است.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6AC9" w:rsidRPr="001D2E9A" w:rsidRDefault="00566AC9"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w:t>
    </w:r>
    <w:bookmarkStart w:id="4" w:name="BokNum"/>
    <w:bookmarkEnd w:id="4"/>
    <w:r>
      <w:rPr>
        <w:b/>
        <w:bCs/>
        <w:sz w:val="20"/>
        <w:szCs w:val="24"/>
        <w:rtl/>
      </w:rPr>
      <w:t>067</w:t>
    </w:r>
    <w:r>
      <w:rPr>
        <w:rFonts w:hint="cs"/>
        <w:b/>
        <w:bCs/>
        <w:sz w:val="20"/>
        <w:szCs w:val="24"/>
        <w:rtl/>
      </w:rPr>
      <w:tab/>
    </w:r>
    <w:r w:rsidRPr="00C32A7E">
      <w:rPr>
        <w:rFonts w:hint="cs"/>
        <w:b/>
        <w:bCs/>
        <w:color w:val="632423" w:themeColor="accent2" w:themeShade="80"/>
        <w:sz w:val="20"/>
        <w:szCs w:val="24"/>
        <w:rtl/>
      </w:rPr>
      <w:t xml:space="preserve">درس خارج </w:t>
    </w:r>
    <w:bookmarkStart w:id="5" w:name="Bokdars"/>
    <w:bookmarkEnd w:id="5"/>
    <w:r>
      <w:rPr>
        <w:rFonts w:hint="cs"/>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6" w:name="Bokostad"/>
    <w:bookmarkEnd w:id="6"/>
    <w:r>
      <w:rPr>
        <w:rFonts w:hint="cs"/>
        <w:b/>
        <w:bCs/>
        <w:color w:val="632423" w:themeColor="accent2" w:themeShade="80"/>
        <w:sz w:val="20"/>
        <w:szCs w:val="24"/>
        <w:rtl/>
      </w:rPr>
      <w:t>قائيني</w:t>
    </w:r>
    <w:r w:rsidRPr="00C32A7E">
      <w:rPr>
        <w:rFonts w:cs="ALAEM" w:hint="cs"/>
        <w:b/>
        <w:bCs/>
        <w:color w:val="632423" w:themeColor="accent2" w:themeShade="80"/>
        <w:sz w:val="14"/>
        <w:szCs w:val="14"/>
        <w:rtl/>
      </w:rPr>
      <w:t>(</w:t>
    </w:r>
    <w:r w:rsidRPr="00C32A7E">
      <w:rPr>
        <w:rFonts w:ascii="Times New Roman" w:hAnsi="Times New Roman" w:hint="cs"/>
        <w:b/>
        <w:bCs/>
        <w:color w:val="632423" w:themeColor="accent2" w:themeShade="80"/>
        <w:sz w:val="14"/>
        <w:szCs w:val="14"/>
        <w:rtl/>
      </w:rPr>
      <w:t>دام</w:t>
    </w:r>
    <w:r w:rsidRPr="00C32A7E">
      <w:rPr>
        <w:rFonts w:hint="cs"/>
        <w:b/>
        <w:bCs/>
        <w:color w:val="632423" w:themeColor="accent2" w:themeShade="80"/>
        <w:sz w:val="14"/>
        <w:szCs w:val="14"/>
        <w:rtl/>
      </w:rPr>
      <w:t xml:space="preserve"> </w:t>
    </w:r>
    <w:r w:rsidRPr="00C32A7E">
      <w:rPr>
        <w:rFonts w:ascii="Times New Roman" w:hAnsi="Times New Roman" w:hint="cs"/>
        <w:b/>
        <w:bCs/>
        <w:color w:val="632423" w:themeColor="accent2" w:themeShade="80"/>
        <w:sz w:val="14"/>
        <w:szCs w:val="14"/>
        <w:rtl/>
      </w:rPr>
      <w:t>ظله</w:t>
    </w:r>
    <w:r w:rsidRPr="00C32A7E">
      <w:rPr>
        <w:rFonts w:cs="ALAEM"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Pr>
        <w:sz w:val="24"/>
        <w:szCs w:val="24"/>
        <w:rtl/>
      </w:rPr>
      <w:t>19 /11 /1394</w:t>
    </w:r>
  </w:p>
  <w:p w:rsidR="00566AC9" w:rsidRPr="00F16B53" w:rsidRDefault="00566AC9"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sz w:val="24"/>
        <w:szCs w:val="24"/>
        <w:rtl/>
      </w:rPr>
      <w:t>:</w:t>
    </w:r>
    <w:bookmarkStart w:id="8" w:name="BokSabj"/>
    <w:bookmarkEnd w:id="8"/>
    <w:r>
      <w:rPr>
        <w:rFonts w:hint="cs"/>
        <w:sz w:val="24"/>
        <w:szCs w:val="24"/>
        <w:rtl/>
      </w:rPr>
      <w:t>تعارض</w:t>
    </w:r>
    <w:r>
      <w:rPr>
        <w:sz w:val="24"/>
        <w:szCs w:val="24"/>
        <w:rtl/>
      </w:rPr>
      <w:t xml:space="preserve"> </w:t>
    </w:r>
    <w:r>
      <w:rPr>
        <w:rFonts w:hint="cs"/>
        <w:sz w:val="24"/>
        <w:szCs w:val="24"/>
        <w:rtl/>
      </w:rPr>
      <w:t xml:space="preserve">ضررین  </w:t>
    </w:r>
    <w:r>
      <w:rPr>
        <w:rFonts w:hint="cs"/>
        <w:sz w:val="24"/>
        <w:szCs w:val="24"/>
        <w:rtl/>
      </w:rPr>
      <w:tab/>
    </w:r>
    <w:r w:rsidRPr="001D2E9A">
      <w:rPr>
        <w:rFonts w:hint="cs"/>
        <w:b/>
        <w:bCs/>
        <w:color w:val="7030A0"/>
        <w:sz w:val="24"/>
        <w:szCs w:val="24"/>
        <w:rtl/>
      </w:rPr>
      <w:t>مقرر</w:t>
    </w:r>
    <w:r>
      <w:rPr>
        <w:rFonts w:hint="cs"/>
        <w:sz w:val="24"/>
        <w:szCs w:val="24"/>
        <w:rtl/>
      </w:rPr>
      <w:t>:</w:t>
    </w:r>
    <w:bookmarkStart w:id="9" w:name="Bokmoqarer"/>
    <w:bookmarkEnd w:id="9"/>
    <w:r>
      <w:rPr>
        <w:rFonts w:hint="cs"/>
        <w:sz w:val="24"/>
        <w:szCs w:val="24"/>
        <w:rtl/>
      </w:rPr>
      <w:t>سيد</w:t>
    </w:r>
    <w:r>
      <w:rPr>
        <w:sz w:val="24"/>
        <w:szCs w:val="24"/>
        <w:rtl/>
      </w:rPr>
      <w:t xml:space="preserve"> </w:t>
    </w:r>
    <w:r>
      <w:rPr>
        <w:rFonts w:hint="cs"/>
        <w:sz w:val="24"/>
        <w:szCs w:val="24"/>
        <w:rtl/>
      </w:rPr>
      <w:t>علي</w:t>
    </w:r>
    <w:r>
      <w:rPr>
        <w:sz w:val="24"/>
        <w:szCs w:val="24"/>
        <w:rtl/>
      </w:rPr>
      <w:t xml:space="preserve"> </w:t>
    </w:r>
    <w:r>
      <w:rPr>
        <w:rFonts w:hint="cs"/>
        <w:sz w:val="24"/>
        <w:szCs w:val="24"/>
        <w:rtl/>
      </w:rPr>
      <w:t>رهنمايي</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0" w:name="BokSabj2"/>
    <w:bookmarkEnd w:id="10"/>
    <w:r>
      <w:rPr>
        <w:rFonts w:hint="cs"/>
        <w:sz w:val="24"/>
        <w:szCs w:val="24"/>
        <w:rtl/>
      </w:rPr>
      <w:t>قاعده</w:t>
    </w:r>
    <w:r>
      <w:rPr>
        <w:sz w:val="24"/>
        <w:szCs w:val="24"/>
        <w:rtl/>
      </w:rPr>
      <w:t xml:space="preserve"> </w:t>
    </w:r>
    <w:r>
      <w:rPr>
        <w:rFonts w:hint="cs"/>
        <w:sz w:val="24"/>
        <w:szCs w:val="24"/>
        <w:rtl/>
      </w:rPr>
      <w:t>سلطنت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5E19"/>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02F40"/>
    <w:rsid w:val="00425015"/>
    <w:rsid w:val="00430994"/>
    <w:rsid w:val="00441B6D"/>
    <w:rsid w:val="004556EF"/>
    <w:rsid w:val="00462B07"/>
    <w:rsid w:val="00465BD2"/>
    <w:rsid w:val="00475C7D"/>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66AC9"/>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6F1342"/>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42B67"/>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53452"/>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C547274-FE18-41A2-B8E2-D50381132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407533590">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A85EA-5BEA-4500-834B-196DC9344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36</TotalTime>
  <Pages>3</Pages>
  <Words>497</Words>
  <Characters>2834</Characters>
  <Application>Microsoft Office Word</Application>
  <DocSecurity>0</DocSecurity>
  <Lines>23</Lines>
  <Paragraphs>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3325</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5</cp:revision>
  <dcterms:created xsi:type="dcterms:W3CDTF">2016-02-08T13:29:00Z</dcterms:created>
  <dcterms:modified xsi:type="dcterms:W3CDTF">2016-02-17T13:20:00Z</dcterms:modified>
</cp:coreProperties>
</file>