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1EB6" w:rsidRPr="000E0C1F" w:rsidRDefault="00935A55" w:rsidP="000E0C1F">
      <w:pPr>
        <w:spacing w:line="240" w:lineRule="auto"/>
        <w:jc w:val="center"/>
        <w:rPr>
          <w:b/>
          <w:bCs/>
        </w:rPr>
      </w:pPr>
      <w:r w:rsidRPr="00935A55">
        <w:rPr>
          <w:rFonts w:hint="cs"/>
          <w:b/>
          <w:bCs/>
          <w:rtl/>
        </w:rPr>
        <w:t>ب</w:t>
      </w:r>
      <w:r w:rsidR="00C91EB6">
        <w:rPr>
          <w:rFonts w:hint="cs"/>
          <w:b/>
          <w:bCs/>
          <w:rtl/>
        </w:rPr>
        <w:t>ا</w:t>
      </w:r>
      <w:r w:rsidRPr="00935A55">
        <w:rPr>
          <w:rFonts w:hint="cs"/>
          <w:b/>
          <w:bCs/>
          <w:rtl/>
        </w:rPr>
        <w:t>سمه تعالی</w:t>
      </w:r>
    </w:p>
    <w:p w:rsidR="00F343FB" w:rsidRDefault="00F842AD" w:rsidP="0020241A">
      <w:r w:rsidRPr="00EB78E3">
        <w:rPr>
          <w:rStyle w:val="Emphasis"/>
          <w:rFonts w:hint="cs"/>
          <w:rtl/>
        </w:rPr>
        <w:t>موضوع:</w:t>
      </w:r>
      <w:r>
        <w:rPr>
          <w:rFonts w:hint="cs"/>
          <w:rtl/>
        </w:rPr>
        <w:t xml:space="preserve"> </w:t>
      </w:r>
      <w:bookmarkStart w:id="0" w:name="Bokkolli"/>
      <w:bookmarkEnd w:id="0"/>
      <w:r w:rsidR="006A1CA2">
        <w:rPr>
          <w:rFonts w:hint="cs"/>
          <w:rtl/>
        </w:rPr>
        <w:t>قاعده</w:t>
      </w:r>
      <w:r w:rsidR="006A1CA2">
        <w:rPr>
          <w:rtl/>
        </w:rPr>
        <w:t xml:space="preserve"> </w:t>
      </w:r>
      <w:r w:rsidR="006A1CA2">
        <w:rPr>
          <w:rFonts w:hint="cs"/>
          <w:rtl/>
        </w:rPr>
        <w:t>لا</w:t>
      </w:r>
      <w:r w:rsidR="006A1CA2">
        <w:rPr>
          <w:rtl/>
        </w:rPr>
        <w:t xml:space="preserve"> </w:t>
      </w:r>
      <w:r w:rsidR="006A1CA2">
        <w:rPr>
          <w:rFonts w:hint="cs"/>
          <w:rtl/>
        </w:rPr>
        <w:t>ضرر</w:t>
      </w:r>
      <w:r w:rsidR="00724537">
        <w:rPr>
          <w:rFonts w:hint="cs"/>
          <w:rtl/>
        </w:rPr>
        <w:t>/</w:t>
      </w:r>
      <w:bookmarkStart w:id="1" w:name="BokSabj_d"/>
      <w:bookmarkEnd w:id="1"/>
      <w:r w:rsidR="006A1CA2">
        <w:rPr>
          <w:rFonts w:hint="cs"/>
          <w:rtl/>
        </w:rPr>
        <w:t>مفاد</w:t>
      </w:r>
      <w:r w:rsidR="006A1CA2">
        <w:rPr>
          <w:rtl/>
        </w:rPr>
        <w:t xml:space="preserve"> </w:t>
      </w:r>
      <w:r w:rsidR="006A1CA2">
        <w:rPr>
          <w:rFonts w:hint="cs"/>
          <w:rtl/>
        </w:rPr>
        <w:t>قاعده</w:t>
      </w:r>
      <w:r w:rsidR="00596C1E">
        <w:rPr>
          <w:rFonts w:hint="cs"/>
          <w:rtl/>
        </w:rPr>
        <w:t xml:space="preserve"> </w:t>
      </w:r>
      <w:r w:rsidR="00724537">
        <w:rPr>
          <w:rFonts w:hint="cs"/>
          <w:rtl/>
        </w:rPr>
        <w:t>/</w:t>
      </w:r>
      <w:bookmarkStart w:id="2" w:name="BokSabj2_d"/>
      <w:bookmarkEnd w:id="2"/>
      <w:r w:rsidR="006A1CA2">
        <w:rPr>
          <w:rFonts w:hint="cs"/>
          <w:rtl/>
        </w:rPr>
        <w:t>ضرار</w:t>
      </w:r>
      <w:r w:rsidR="001B6799">
        <w:rPr>
          <w:rFonts w:hint="cs"/>
          <w:rtl/>
        </w:rPr>
        <w:t xml:space="preserve"> </w:t>
      </w:r>
    </w:p>
    <w:p w:rsidR="003A6148" w:rsidRDefault="00124E3D" w:rsidP="003A6148">
      <w:r>
        <w:rPr>
          <w:noProof/>
          <w:rtl/>
          <w:lang w:bidi="ar-SA"/>
        </w:rPr>
        <mc:AlternateContent>
          <mc:Choice Requires="wps">
            <w:drawing>
              <wp:anchor distT="0" distB="0" distL="114300" distR="114300" simplePos="0" relativeHeight="251659264" behindDoc="0" locked="0" layoutInCell="1" allowOverlap="1" wp14:anchorId="358921E0" wp14:editId="68E5715A">
                <wp:simplePos x="0" y="0"/>
                <wp:positionH relativeFrom="column">
                  <wp:align>center</wp:align>
                </wp:positionH>
                <wp:positionV relativeFrom="paragraph">
                  <wp:posOffset>0</wp:posOffset>
                </wp:positionV>
                <wp:extent cx="6317673" cy="1403985"/>
                <wp:effectExtent l="0" t="0" r="26035" b="15875"/>
                <wp:wrapNone/>
                <wp:docPr id="307" name="کادر مت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7673" cy="1403985"/>
                        </a:xfrm>
                        <a:prstGeom prst="rect">
                          <a:avLst/>
                        </a:prstGeom>
                        <a:solidFill>
                          <a:srgbClr val="FFFFFF"/>
                        </a:solidFill>
                        <a:ln w="9525">
                          <a:solidFill>
                            <a:srgbClr val="000000"/>
                          </a:solidFill>
                          <a:miter lim="800000"/>
                          <a:headEnd/>
                          <a:tailEnd/>
                        </a:ln>
                      </wps:spPr>
                      <wps:txbx>
                        <w:txbxContent>
                          <w:p w:rsidR="00124E3D" w:rsidRDefault="00124E3D" w:rsidP="00124E3D">
                            <w:pPr>
                              <w:rPr>
                                <w:rStyle w:val="Emphasis"/>
                                <w:rtl/>
                              </w:rPr>
                            </w:pPr>
                            <w:r w:rsidRPr="00124E3D">
                              <w:rPr>
                                <w:rStyle w:val="Emphasis"/>
                                <w:rFonts w:hint="cs"/>
                                <w:rtl/>
                              </w:rPr>
                              <w:t>خلاصه مباحث گذشته:</w:t>
                            </w:r>
                          </w:p>
                          <w:p w:rsidR="00124E3D" w:rsidRPr="000E0C1F" w:rsidRDefault="000E0C1F" w:rsidP="000E0C1F">
                            <w:pPr>
                              <w:rPr>
                                <w:rStyle w:val="Emphasis"/>
                                <w:rFonts w:cs="B Badr"/>
                                <w:bCs w:val="0"/>
                                <w:i w:val="0"/>
                                <w:color w:val="auto"/>
                                <w:rtl/>
                              </w:rPr>
                            </w:pPr>
                            <w:r w:rsidRPr="000E0C1F">
                              <w:rPr>
                                <w:rFonts w:hint="cs"/>
                                <w:rtl/>
                              </w:rPr>
                              <w:t>برخلاف مشهور نظر مرحوم اصفهانی بر این بود که مفاعله متقوم به مشارکت نیست نه با الاصالة و نه بالتبع، بلکه حق این است که مفاد  هیئت مفاعله تعدیه است، که این تعدیه در افعال لازم باعث متعدی شدن فعل می شود به همان مفادی که به واسطه ادات متعدی می شود و در افعال متعدی هم به همان نحوی که به واسه ادات دو مفعولی می شود به واسطه این باب نیز متعدی می شود، اما در مواردی که قابلیت این تعدی هم نیست یک نوع قصد و عمدی را در معنای فعل اخذ می کند.</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58921E0" id="_x0000_t202" coordsize="21600,21600" o:spt="202" path="m,l,21600r21600,l21600,xe">
                <v:stroke joinstyle="miter"/>
                <v:path gradientshapeok="t" o:connecttype="rect"/>
              </v:shapetype>
              <v:shape id="کادر متن 2" o:spid="_x0000_s1026" type="#_x0000_t202" style="position:absolute;left:0;text-align:left;margin-left:0;margin-top:0;width:497.45pt;height:110.55pt;z-index:251659264;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">
                <v:textbox style="mso-fit-shape-to-text:t">
                  <w:txbxContent>
                    <w:p w:rsidR="00124E3D" w:rsidRDefault="00124E3D" w:rsidP="00124E3D">
                      <w:pPr>
                        <w:rPr>
                          <w:rStyle w:val="Emphasis"/>
                          <w:rtl/>
                        </w:rPr>
                      </w:pPr>
                      <w:r w:rsidRPr="00124E3D">
                        <w:rPr>
                          <w:rStyle w:val="Emphasis"/>
                          <w:rFonts w:hint="cs"/>
                          <w:rtl/>
                        </w:rPr>
                        <w:t>خلاصه مباحث گذشته:</w:t>
                      </w:r>
                    </w:p>
                    <w:p w:rsidR="00124E3D" w:rsidRPr="000E0C1F" w:rsidRDefault="000E0C1F" w:rsidP="000E0C1F">
                      <w:pPr>
                        <w:rPr>
                          <w:rStyle w:val="Emphasis"/>
                          <w:rFonts w:cs="B Badr"/>
                          <w:bCs w:val="0"/>
                          <w:i w:val="0"/>
                          <w:color w:val="auto"/>
                          <w:rtl/>
                        </w:rPr>
                      </w:pPr>
                      <w:r w:rsidRPr="000E0C1F">
                        <w:rPr>
                          <w:rFonts w:hint="cs"/>
                          <w:rtl/>
                        </w:rPr>
                        <w:t>برخلاف مشهور نظر مرحوم اصفهانی بر این بود که مفاعله متقوم به مشارکت نیست نه با الاصالة و نه بالتبع، بلکه حق این است که مفاد  هیئت مفاعله تعدیه است، که این تعدیه در افعال لازم باعث متعدی شدن فعل می شود به همان مفادی که به واسطه ادات متعدی می شود و در افعال متعدی هم به همان نحوی که به واسه ادات دو مفعولی می شود به واسطه این باب نیز متعدی می شود، اما در مواردی که قابلیت این تعدی هم نیست یک نوع قصد و عمدی را در معنای فعل اخذ می کند.</w:t>
                      </w:r>
                    </w:p>
                  </w:txbxContent>
                </v:textbox>
              </v:shape>
            </w:pict>
          </mc:Fallback>
        </mc:AlternateContent>
      </w:r>
    </w:p>
    <w:p w:rsidR="003A6148" w:rsidRPr="003A6148" w:rsidRDefault="003A6148" w:rsidP="003A6148"/>
    <w:p w:rsidR="000E0C1F" w:rsidRDefault="000E0C1F" w:rsidP="001C1362">
      <w:pPr>
        <w:rPr>
          <w:rtl/>
        </w:rPr>
      </w:pPr>
    </w:p>
    <w:p w:rsidR="000E0C1F" w:rsidRDefault="000E0C1F" w:rsidP="000E0C1F">
      <w:pPr>
        <w:rPr>
          <w:rtl/>
        </w:rPr>
      </w:pPr>
    </w:p>
    <w:p w:rsidR="000E0C1F" w:rsidRDefault="000E0C1F" w:rsidP="000E0C1F">
      <w:pPr>
        <w:rPr>
          <w:rtl/>
        </w:rPr>
      </w:pPr>
    </w:p>
    <w:p w:rsidR="000E0C1F" w:rsidRDefault="000E0C1F" w:rsidP="000E0C1F">
      <w:pPr>
        <w:rPr>
          <w:rtl/>
        </w:rPr>
      </w:pPr>
    </w:p>
    <w:p w:rsidR="000E0C1F" w:rsidRDefault="000E0C1F" w:rsidP="000E0C1F">
      <w:pPr>
        <w:rPr>
          <w:rtl/>
        </w:rPr>
      </w:pPr>
    </w:p>
    <w:p w:rsidR="000E0C1F" w:rsidRDefault="000E0C1F" w:rsidP="000E0C1F">
      <w:pPr>
        <w:pStyle w:val="Heading2"/>
        <w:rPr>
          <w:rtl/>
        </w:rPr>
      </w:pPr>
      <w:r>
        <w:rPr>
          <w:rFonts w:hint="cs"/>
          <w:rtl/>
        </w:rPr>
        <w:t>کلام مرحوم خویی در مورد معنای «ضرار»</w:t>
      </w:r>
    </w:p>
    <w:p w:rsidR="000E0C1F" w:rsidRPr="000E0C1F" w:rsidRDefault="000E0C1F" w:rsidP="000E0C1F">
      <w:pPr>
        <w:rPr>
          <w:rFonts w:hint="cs"/>
          <w:rtl/>
        </w:rPr>
      </w:pPr>
      <w:r w:rsidRPr="000E0C1F">
        <w:rPr>
          <w:rFonts w:hint="cs"/>
          <w:rtl/>
        </w:rPr>
        <w:t>مرحوم خویی در مقام حق را با مرحوم اصفهانی می داند و بیان</w:t>
      </w:r>
      <w:r>
        <w:rPr>
          <w:rFonts w:hint="cs"/>
          <w:rtl/>
        </w:rPr>
        <w:t>ی دارد که به نظر، تلقی ایشان</w:t>
      </w:r>
      <w:r w:rsidRPr="000E0C1F">
        <w:rPr>
          <w:rFonts w:hint="cs"/>
          <w:rtl/>
        </w:rPr>
        <w:t xml:space="preserve"> از </w:t>
      </w:r>
      <w:r>
        <w:rPr>
          <w:rFonts w:hint="cs"/>
          <w:rtl/>
        </w:rPr>
        <w:t>کلام مرحوم اصفهانی، غیر از آن چیزی بود که گذشت که صحیح نیست.</w:t>
      </w:r>
    </w:p>
    <w:p w:rsidR="000E0C1F" w:rsidRPr="000E0C1F" w:rsidRDefault="000E0C1F" w:rsidP="000E0C1F">
      <w:pPr>
        <w:rPr>
          <w:rFonts w:hint="cs"/>
          <w:rtl/>
        </w:rPr>
      </w:pPr>
      <w:r w:rsidRPr="000E0C1F">
        <w:rPr>
          <w:rFonts w:hint="cs"/>
          <w:rtl/>
        </w:rPr>
        <w:t>ایشان می فرماید مفاد این هیئت وقوع ماده نیست</w:t>
      </w:r>
      <w:r>
        <w:rPr>
          <w:rFonts w:hint="cs"/>
          <w:rtl/>
        </w:rPr>
        <w:t xml:space="preserve">، به عنوان مثال </w:t>
      </w:r>
      <w:r w:rsidR="00E06B38">
        <w:rPr>
          <w:rFonts w:hint="cs"/>
          <w:rtl/>
        </w:rPr>
        <w:t>قاتل</w:t>
      </w:r>
      <w:r w:rsidRPr="000E0C1F">
        <w:rPr>
          <w:rFonts w:hint="cs"/>
          <w:rtl/>
        </w:rPr>
        <w:t xml:space="preserve"> به </w:t>
      </w:r>
      <w:r w:rsidR="00E06B38">
        <w:rPr>
          <w:rFonts w:hint="cs"/>
          <w:rtl/>
        </w:rPr>
        <w:t xml:space="preserve">معنای به </w:t>
      </w:r>
      <w:r w:rsidRPr="000E0C1F">
        <w:rPr>
          <w:rFonts w:hint="cs"/>
          <w:rtl/>
        </w:rPr>
        <w:t xml:space="preserve">صدد آمدن و اراده کردن است اعم از این که این فعل محقق هم بشود یا نه، لذا تفاوت مفاعله با متعدی </w:t>
      </w:r>
      <w:r w:rsidR="00E06B38">
        <w:rPr>
          <w:rFonts w:hint="cs"/>
          <w:rtl/>
        </w:rPr>
        <w:t>ثلاثی مجرد در نظر مرحوم خویی</w:t>
      </w:r>
      <w:r w:rsidRPr="000E0C1F">
        <w:rPr>
          <w:rFonts w:hint="cs"/>
          <w:rtl/>
        </w:rPr>
        <w:t xml:space="preserve"> همین است، ی</w:t>
      </w:r>
      <w:r w:rsidR="00E06B38">
        <w:rPr>
          <w:rFonts w:hint="cs"/>
          <w:rtl/>
        </w:rPr>
        <w:t xml:space="preserve">عنی مجرد صرف وقوع و تحقق فعل بر خلاف هیئت مفاعله، </w:t>
      </w:r>
      <w:r w:rsidRPr="000E0C1F">
        <w:rPr>
          <w:rFonts w:hint="cs"/>
          <w:rtl/>
        </w:rPr>
        <w:t>حال آن که بنابر آن چه که گذشت از بیان مرحوم اصفهانی مراد ایشان امر دیگری بود.</w:t>
      </w:r>
    </w:p>
    <w:p w:rsidR="000E0C1F" w:rsidRPr="000E0C1F" w:rsidRDefault="000E0C1F" w:rsidP="00E06B38">
      <w:pPr>
        <w:rPr>
          <w:rFonts w:hint="cs"/>
          <w:rtl/>
        </w:rPr>
      </w:pPr>
      <w:r w:rsidRPr="000E0C1F">
        <w:rPr>
          <w:rFonts w:hint="cs"/>
          <w:rtl/>
        </w:rPr>
        <w:t xml:space="preserve">آن چه مرحوم اصفهانی را وادار به این بیان نموده است کثرت استعمالات هیئت مفاعله در مواد متعددی در غیر معنای مشارکت در </w:t>
      </w:r>
      <w:r w:rsidR="00E06B38">
        <w:rPr>
          <w:rFonts w:hint="cs"/>
          <w:rtl/>
        </w:rPr>
        <w:t xml:space="preserve">قرآن و غیر آن بوده است، مانند آیات </w:t>
      </w:r>
      <w:r w:rsidR="00E06B38" w:rsidRPr="00E06B38">
        <w:rPr>
          <w:rStyle w:val="IntenseEmphasis"/>
          <w:rFonts w:hint="cs"/>
          <w:rtl/>
        </w:rPr>
        <w:t>«يُخادِعُونَ</w:t>
      </w:r>
      <w:r w:rsidR="00E06B38" w:rsidRPr="00E06B38">
        <w:rPr>
          <w:rStyle w:val="IntenseEmphasis"/>
          <w:rtl/>
        </w:rPr>
        <w:t xml:space="preserve"> </w:t>
      </w:r>
      <w:r w:rsidR="00E06B38" w:rsidRPr="00E06B38">
        <w:rPr>
          <w:rStyle w:val="IntenseEmphasis"/>
          <w:rFonts w:hint="cs"/>
          <w:rtl/>
        </w:rPr>
        <w:t>اللَّهَ</w:t>
      </w:r>
      <w:r w:rsidR="00E06B38" w:rsidRPr="00E06B38">
        <w:rPr>
          <w:rStyle w:val="IntenseEmphasis"/>
          <w:rtl/>
        </w:rPr>
        <w:t xml:space="preserve"> </w:t>
      </w:r>
      <w:r w:rsidR="00E06B38" w:rsidRPr="00E06B38">
        <w:rPr>
          <w:rStyle w:val="IntenseEmphasis"/>
          <w:rFonts w:hint="cs"/>
          <w:rtl/>
        </w:rPr>
        <w:t>وَ</w:t>
      </w:r>
      <w:r w:rsidR="00E06B38" w:rsidRPr="00E06B38">
        <w:rPr>
          <w:rStyle w:val="IntenseEmphasis"/>
          <w:rtl/>
        </w:rPr>
        <w:t xml:space="preserve"> </w:t>
      </w:r>
      <w:r w:rsidR="00E06B38" w:rsidRPr="00E06B38">
        <w:rPr>
          <w:rStyle w:val="IntenseEmphasis"/>
          <w:rFonts w:hint="cs"/>
          <w:rtl/>
        </w:rPr>
        <w:t>الَّذِينَ</w:t>
      </w:r>
      <w:r w:rsidR="00E06B38" w:rsidRPr="00E06B38">
        <w:rPr>
          <w:rStyle w:val="IntenseEmphasis"/>
          <w:rtl/>
        </w:rPr>
        <w:t xml:space="preserve"> </w:t>
      </w:r>
      <w:r w:rsidR="00E06B38" w:rsidRPr="00E06B38">
        <w:rPr>
          <w:rStyle w:val="IntenseEmphasis"/>
          <w:rFonts w:hint="cs"/>
          <w:rtl/>
        </w:rPr>
        <w:t>آمَنُوا»</w:t>
      </w:r>
      <w:r w:rsidR="00E06B38">
        <w:rPr>
          <w:rStyle w:val="FootnoteReference"/>
          <w:rtl/>
        </w:rPr>
        <w:footnoteReference w:id="1"/>
      </w:r>
      <w:r w:rsidR="00E06B38">
        <w:rPr>
          <w:rFonts w:hint="cs"/>
          <w:rtl/>
        </w:rPr>
        <w:t xml:space="preserve"> و </w:t>
      </w:r>
      <w:r w:rsidR="00E06B38" w:rsidRPr="00E06B38">
        <w:rPr>
          <w:rStyle w:val="IntenseEmphasis"/>
          <w:rFonts w:hint="cs"/>
          <w:rtl/>
        </w:rPr>
        <w:t>«وَ</w:t>
      </w:r>
      <w:r w:rsidR="00E06B38" w:rsidRPr="00E06B38">
        <w:rPr>
          <w:rStyle w:val="IntenseEmphasis"/>
          <w:rtl/>
        </w:rPr>
        <w:t xml:space="preserve"> </w:t>
      </w:r>
      <w:r w:rsidR="00E06B38" w:rsidRPr="00E06B38">
        <w:rPr>
          <w:rStyle w:val="IntenseEmphasis"/>
          <w:rFonts w:hint="cs"/>
          <w:rtl/>
        </w:rPr>
        <w:t>مَنْ</w:t>
      </w:r>
      <w:r w:rsidR="00E06B38" w:rsidRPr="00E06B38">
        <w:rPr>
          <w:rStyle w:val="IntenseEmphasis"/>
          <w:rtl/>
        </w:rPr>
        <w:t xml:space="preserve"> </w:t>
      </w:r>
      <w:r w:rsidR="00E06B38" w:rsidRPr="00E06B38">
        <w:rPr>
          <w:rStyle w:val="IntenseEmphasis"/>
          <w:rFonts w:hint="cs"/>
          <w:rtl/>
        </w:rPr>
        <w:t>يُهاجِرْ</w:t>
      </w:r>
      <w:r w:rsidR="00E06B38" w:rsidRPr="00E06B38">
        <w:rPr>
          <w:rStyle w:val="IntenseEmphasis"/>
          <w:rtl/>
        </w:rPr>
        <w:t xml:space="preserve"> </w:t>
      </w:r>
      <w:r w:rsidR="00E06B38" w:rsidRPr="00E06B38">
        <w:rPr>
          <w:rStyle w:val="IntenseEmphasis"/>
          <w:rFonts w:hint="cs"/>
          <w:rtl/>
        </w:rPr>
        <w:t>فِي</w:t>
      </w:r>
      <w:r w:rsidR="00E06B38" w:rsidRPr="00E06B38">
        <w:rPr>
          <w:rStyle w:val="IntenseEmphasis"/>
          <w:rtl/>
        </w:rPr>
        <w:t xml:space="preserve"> </w:t>
      </w:r>
      <w:r w:rsidR="00E06B38" w:rsidRPr="00E06B38">
        <w:rPr>
          <w:rStyle w:val="IntenseEmphasis"/>
          <w:rFonts w:hint="cs"/>
          <w:rtl/>
        </w:rPr>
        <w:t>سَبِيلِ</w:t>
      </w:r>
      <w:r w:rsidR="00E06B38" w:rsidRPr="00E06B38">
        <w:rPr>
          <w:rStyle w:val="IntenseEmphasis"/>
          <w:rtl/>
        </w:rPr>
        <w:t xml:space="preserve"> </w:t>
      </w:r>
      <w:r w:rsidR="00E06B38" w:rsidRPr="00E06B38">
        <w:rPr>
          <w:rStyle w:val="IntenseEmphasis"/>
          <w:rFonts w:hint="cs"/>
          <w:rtl/>
        </w:rPr>
        <w:t>اللَّهِ»</w:t>
      </w:r>
      <w:r w:rsidR="00E06B38">
        <w:rPr>
          <w:rStyle w:val="FootnoteReference"/>
          <w:rtl/>
        </w:rPr>
        <w:footnoteReference w:id="2"/>
      </w:r>
      <w:r w:rsidR="00E06B38">
        <w:rPr>
          <w:rFonts w:hint="cs"/>
          <w:rtl/>
        </w:rPr>
        <w:t xml:space="preserve"> </w:t>
      </w:r>
      <w:r w:rsidRPr="000E0C1F">
        <w:rPr>
          <w:rFonts w:hint="cs"/>
          <w:rtl/>
        </w:rPr>
        <w:t>و</w:t>
      </w:r>
      <w:r w:rsidR="00E06B38">
        <w:rPr>
          <w:rFonts w:hint="cs"/>
          <w:rtl/>
        </w:rPr>
        <w:t xml:space="preserve"> </w:t>
      </w:r>
      <w:r w:rsidR="00E06B38" w:rsidRPr="00E06B38">
        <w:rPr>
          <w:rStyle w:val="IntenseEmphasis"/>
          <w:rFonts w:hint="cs"/>
          <w:rtl/>
        </w:rPr>
        <w:t>«وَ</w:t>
      </w:r>
      <w:r w:rsidR="00E06B38" w:rsidRPr="00E06B38">
        <w:rPr>
          <w:rStyle w:val="IntenseEmphasis"/>
          <w:rtl/>
        </w:rPr>
        <w:t xml:space="preserve"> </w:t>
      </w:r>
      <w:r w:rsidR="00E06B38" w:rsidRPr="00E06B38">
        <w:rPr>
          <w:rStyle w:val="IntenseEmphasis"/>
          <w:rFonts w:hint="cs"/>
          <w:rtl/>
        </w:rPr>
        <w:t>نادَيْناه‏»</w:t>
      </w:r>
      <w:r w:rsidR="00E06B38">
        <w:rPr>
          <w:rStyle w:val="FootnoteReference"/>
          <w:rtl/>
        </w:rPr>
        <w:footnoteReference w:id="3"/>
      </w:r>
      <w:r w:rsidR="00E06B38">
        <w:rPr>
          <w:rFonts w:hint="cs"/>
          <w:rtl/>
        </w:rPr>
        <w:t xml:space="preserve"> که </w:t>
      </w:r>
      <w:r w:rsidRPr="000E0C1F">
        <w:rPr>
          <w:rFonts w:hint="cs"/>
          <w:rtl/>
        </w:rPr>
        <w:t xml:space="preserve">در </w:t>
      </w:r>
      <w:r w:rsidR="00E06B38">
        <w:rPr>
          <w:rFonts w:hint="cs"/>
          <w:rtl/>
        </w:rPr>
        <w:t>برخی از این موارد،</w:t>
      </w:r>
      <w:r w:rsidR="00924B00">
        <w:rPr>
          <w:rFonts w:hint="cs"/>
          <w:rtl/>
        </w:rPr>
        <w:t xml:space="preserve"> اراده مشارکت صحیح نیست اما در برخی موارد این معنا</w:t>
      </w:r>
      <w:r w:rsidRPr="000E0C1F">
        <w:rPr>
          <w:rFonts w:hint="cs"/>
          <w:rtl/>
        </w:rPr>
        <w:t xml:space="preserve"> منظور نمی داند کما این که در </w:t>
      </w:r>
      <w:r w:rsidR="00924B00">
        <w:rPr>
          <w:rFonts w:hint="cs"/>
          <w:rtl/>
        </w:rPr>
        <w:t>«</w:t>
      </w:r>
      <w:r w:rsidRPr="000E0C1F">
        <w:rPr>
          <w:rFonts w:hint="cs"/>
          <w:rtl/>
        </w:rPr>
        <w:t>نادینا</w:t>
      </w:r>
      <w:r w:rsidR="00924B00">
        <w:rPr>
          <w:rFonts w:hint="cs"/>
          <w:rtl/>
        </w:rPr>
        <w:t>»</w:t>
      </w:r>
      <w:r w:rsidRPr="000E0C1F">
        <w:rPr>
          <w:rFonts w:hint="cs"/>
          <w:rtl/>
        </w:rPr>
        <w:t xml:space="preserve"> مراد رد و بدل شدن ندا</w:t>
      </w:r>
      <w:r w:rsidR="00924B00">
        <w:rPr>
          <w:rFonts w:hint="cs"/>
          <w:rtl/>
        </w:rPr>
        <w:t>ء</w:t>
      </w:r>
      <w:r w:rsidRPr="000E0C1F">
        <w:rPr>
          <w:rFonts w:hint="cs"/>
          <w:rtl/>
        </w:rPr>
        <w:t xml:space="preserve"> نیست، بنابراین وقتی استعمال در غیر این معنا شایع است نمی توان اصل در این هیئت را مشارکت دانست.</w:t>
      </w:r>
    </w:p>
    <w:p w:rsidR="000E0C1F" w:rsidRPr="000E0C1F" w:rsidRDefault="000E0C1F" w:rsidP="00924B00">
      <w:pPr>
        <w:pStyle w:val="Heading2"/>
        <w:rPr>
          <w:rFonts w:hint="cs"/>
          <w:rtl/>
        </w:rPr>
      </w:pPr>
      <w:r w:rsidRPr="000E0C1F">
        <w:rPr>
          <w:rFonts w:hint="cs"/>
          <w:rtl/>
        </w:rPr>
        <w:lastRenderedPageBreak/>
        <w:t>دفاع از مشهور</w:t>
      </w:r>
    </w:p>
    <w:p w:rsidR="000E0C1F" w:rsidRPr="000E0C1F" w:rsidRDefault="000E0C1F" w:rsidP="00924B00">
      <w:pPr>
        <w:rPr>
          <w:rFonts w:hint="cs"/>
          <w:rtl/>
        </w:rPr>
      </w:pPr>
      <w:r w:rsidRPr="000E0C1F">
        <w:rPr>
          <w:rFonts w:hint="cs"/>
          <w:rtl/>
        </w:rPr>
        <w:t xml:space="preserve">آن چه مشهور می گویند در مورد این که هیئت مفاعله دال بر مشارکت </w:t>
      </w:r>
      <w:r w:rsidR="00924B00">
        <w:rPr>
          <w:rFonts w:hint="cs"/>
          <w:rtl/>
        </w:rPr>
        <w:t xml:space="preserve">است مربوط به جایی می شود که ثلاثی مجرد در همان معنای فعل استعمال شده در باب مفاعله داشته باشد، </w:t>
      </w:r>
      <w:r w:rsidRPr="000E0C1F">
        <w:rPr>
          <w:rFonts w:hint="cs"/>
          <w:rtl/>
        </w:rPr>
        <w:t>کما این قاتل و ضارب این خصوصیت را دارند و جمله</w:t>
      </w:r>
      <w:r w:rsidR="00924B00">
        <w:rPr>
          <w:rFonts w:hint="cs"/>
          <w:rtl/>
        </w:rPr>
        <w:t xml:space="preserve"> ای</w:t>
      </w:r>
      <w:r w:rsidRPr="000E0C1F">
        <w:rPr>
          <w:rFonts w:hint="cs"/>
          <w:rtl/>
        </w:rPr>
        <w:t xml:space="preserve"> از موارد استعمال مفاعله در غیر مشارکت مربوط به مواردی است که مجرد آن وجود ندارد مثل </w:t>
      </w:r>
      <w:r w:rsidR="00924B00">
        <w:rPr>
          <w:rFonts w:hint="cs"/>
          <w:rtl/>
        </w:rPr>
        <w:t xml:space="preserve">فعل </w:t>
      </w:r>
      <w:r w:rsidRPr="000E0C1F">
        <w:rPr>
          <w:rFonts w:hint="cs"/>
          <w:rtl/>
        </w:rPr>
        <w:t xml:space="preserve">نادا یا این که </w:t>
      </w:r>
      <w:r w:rsidR="00924B00">
        <w:rPr>
          <w:rFonts w:hint="cs"/>
          <w:rtl/>
        </w:rPr>
        <w:t>ثلاثی مجرد آن وجود دارد ولی  معنای دیگری غیر از مفاعله دارد مثل نازل که ثلاثی مجرد آن معنای دیگری دارد.</w:t>
      </w:r>
    </w:p>
    <w:p w:rsidR="00924B00" w:rsidRDefault="00924B00" w:rsidP="000E0C1F">
      <w:pPr>
        <w:spacing w:line="240" w:lineRule="auto"/>
        <w:rPr>
          <w:rFonts w:eastAsia="Times New Roman" w:cs="B Roya"/>
          <w:color w:val="000000"/>
          <w:sz w:val="28"/>
          <w:rtl/>
        </w:rPr>
      </w:pPr>
    </w:p>
    <w:p w:rsidR="00924B00" w:rsidRDefault="00924B00" w:rsidP="00924B00">
      <w:pPr>
        <w:pStyle w:val="Heading3"/>
        <w:rPr>
          <w:rtl/>
        </w:rPr>
      </w:pPr>
      <w:r>
        <w:rPr>
          <w:rFonts w:hint="cs"/>
          <w:rtl/>
        </w:rPr>
        <w:t>اشکال: بقاء اشکال با وجود این دفاع</w:t>
      </w:r>
    </w:p>
    <w:p w:rsidR="000E0C1F" w:rsidRPr="000E0C1F" w:rsidRDefault="00924B00" w:rsidP="00924B00">
      <w:pPr>
        <w:rPr>
          <w:rFonts w:hint="cs"/>
          <w:rtl/>
        </w:rPr>
      </w:pPr>
      <w:r>
        <w:rPr>
          <w:rFonts w:hint="cs"/>
          <w:rtl/>
        </w:rPr>
        <w:t>ولکن</w:t>
      </w:r>
      <w:r w:rsidR="000E0C1F" w:rsidRPr="000E0C1F">
        <w:rPr>
          <w:rFonts w:hint="cs"/>
          <w:rtl/>
        </w:rPr>
        <w:t xml:space="preserve"> با این بیان نیز باز اشکال باقی است چرا که عده ای از استعمالات با وجود این که ثلاثی مجرد در همان معنا</w:t>
      </w:r>
      <w:r>
        <w:rPr>
          <w:rFonts w:hint="cs"/>
          <w:rtl/>
        </w:rPr>
        <w:t>ی فعل استعمال شده در باب مفاعله</w:t>
      </w:r>
      <w:r w:rsidR="000E0C1F" w:rsidRPr="000E0C1F">
        <w:rPr>
          <w:rFonts w:hint="cs"/>
          <w:rtl/>
        </w:rPr>
        <w:t xml:space="preserve"> دارد</w:t>
      </w:r>
      <w:r>
        <w:rPr>
          <w:rFonts w:hint="cs"/>
          <w:rtl/>
        </w:rPr>
        <w:t>،</w:t>
      </w:r>
      <w:r w:rsidR="000E0C1F" w:rsidRPr="000E0C1F">
        <w:rPr>
          <w:rFonts w:hint="cs"/>
          <w:rtl/>
        </w:rPr>
        <w:t xml:space="preserve"> ولی در هیئت مفا</w:t>
      </w:r>
      <w:r>
        <w:rPr>
          <w:rFonts w:hint="cs"/>
          <w:rtl/>
        </w:rPr>
        <w:t>عله آن ها معنای مشارکت دخیل نیست،</w:t>
      </w:r>
      <w:r w:rsidR="000E0C1F" w:rsidRPr="000E0C1F">
        <w:rPr>
          <w:rFonts w:hint="cs"/>
          <w:rtl/>
        </w:rPr>
        <w:t xml:space="preserve"> کما این که فعل خادع این گونه است، لذا با وجود این دفاع هم اشکال به مشهور باقی است. </w:t>
      </w:r>
    </w:p>
    <w:p w:rsidR="00924B00" w:rsidRDefault="00924B00" w:rsidP="00924B00">
      <w:pPr>
        <w:rPr>
          <w:rtl/>
        </w:rPr>
      </w:pPr>
    </w:p>
    <w:p w:rsidR="00924B00" w:rsidRDefault="00924B00" w:rsidP="00924B00">
      <w:pPr>
        <w:pStyle w:val="Heading2"/>
        <w:rPr>
          <w:rtl/>
        </w:rPr>
      </w:pPr>
      <w:r>
        <w:rPr>
          <w:rFonts w:hint="cs"/>
          <w:rtl/>
        </w:rPr>
        <w:t>اشکال به مرحوم اصفهانی: تفاوت معنا بین تعدیه به ادات با تعدیه به باب مفاعله</w:t>
      </w:r>
    </w:p>
    <w:p w:rsidR="000E0C1F" w:rsidRPr="000E0C1F" w:rsidRDefault="000E0C1F" w:rsidP="00924B00">
      <w:pPr>
        <w:rPr>
          <w:rFonts w:hint="cs"/>
          <w:rtl/>
        </w:rPr>
      </w:pPr>
      <w:r w:rsidRPr="000E0C1F">
        <w:rPr>
          <w:rFonts w:hint="cs"/>
          <w:rtl/>
        </w:rPr>
        <w:t xml:space="preserve">تعدیه ای که در کلام مرحوم اصفهانی آمده است، همان مفاد تعدیه به واسطه ادات است، اما جا دارد به ایشان عرض شود که بین </w:t>
      </w:r>
      <w:r w:rsidR="00924B00">
        <w:rPr>
          <w:rFonts w:cs="Cambria" w:hint="cs"/>
          <w:rtl/>
        </w:rPr>
        <w:t>"</w:t>
      </w:r>
      <w:r w:rsidRPr="000E0C1F">
        <w:rPr>
          <w:rFonts w:hint="cs"/>
          <w:rtl/>
        </w:rPr>
        <w:t>جلست الی زید</w:t>
      </w:r>
      <w:r w:rsidR="00924B00">
        <w:rPr>
          <w:rFonts w:cs="Cambria" w:hint="cs"/>
          <w:rtl/>
        </w:rPr>
        <w:t>"</w:t>
      </w:r>
      <w:r w:rsidRPr="000E0C1F">
        <w:rPr>
          <w:rFonts w:hint="cs"/>
          <w:rtl/>
        </w:rPr>
        <w:t xml:space="preserve"> با </w:t>
      </w:r>
      <w:r w:rsidR="00924B00">
        <w:rPr>
          <w:rFonts w:cs="Cambria" w:hint="cs"/>
          <w:rtl/>
        </w:rPr>
        <w:t>"</w:t>
      </w:r>
      <w:r w:rsidRPr="000E0C1F">
        <w:rPr>
          <w:rFonts w:hint="cs"/>
          <w:rtl/>
        </w:rPr>
        <w:t>جالست</w:t>
      </w:r>
      <w:r w:rsidR="00924B00">
        <w:rPr>
          <w:rFonts w:cs="Cambria" w:hint="cs"/>
          <w:rtl/>
        </w:rPr>
        <w:t>"</w:t>
      </w:r>
      <w:r w:rsidRPr="000E0C1F">
        <w:rPr>
          <w:rFonts w:hint="cs"/>
          <w:rtl/>
        </w:rPr>
        <w:t xml:space="preserve"> تفاوت وجود دارد به این بیان که </w:t>
      </w:r>
      <w:r w:rsidR="00924B00">
        <w:rPr>
          <w:rFonts w:hint="cs"/>
          <w:rtl/>
        </w:rPr>
        <w:t>"</w:t>
      </w:r>
      <w:r w:rsidRPr="000E0C1F">
        <w:rPr>
          <w:rFonts w:hint="cs"/>
          <w:rtl/>
        </w:rPr>
        <w:t>جلست الی زید</w:t>
      </w:r>
      <w:r w:rsidR="00924B00">
        <w:rPr>
          <w:rFonts w:cs="Cambria" w:hint="cs"/>
          <w:rtl/>
        </w:rPr>
        <w:t>"</w:t>
      </w:r>
      <w:r w:rsidRPr="000E0C1F">
        <w:rPr>
          <w:rFonts w:hint="cs"/>
          <w:rtl/>
        </w:rPr>
        <w:t xml:space="preserve"> مفادش تخصص و محدود کردن مفهوم کلی به حصه ای است حال آن که </w:t>
      </w:r>
      <w:r w:rsidR="00924B00">
        <w:rPr>
          <w:rFonts w:cs="Cambria" w:hint="cs"/>
          <w:rtl/>
        </w:rPr>
        <w:t>"</w:t>
      </w:r>
      <w:r w:rsidRPr="000E0C1F">
        <w:rPr>
          <w:rFonts w:hint="cs"/>
          <w:rtl/>
        </w:rPr>
        <w:t>جالست</w:t>
      </w:r>
      <w:r w:rsidR="00924B00">
        <w:rPr>
          <w:rFonts w:cs="Cambria" w:hint="cs"/>
          <w:rtl/>
        </w:rPr>
        <w:t>"</w:t>
      </w:r>
      <w:r w:rsidRPr="000E0C1F">
        <w:rPr>
          <w:rFonts w:hint="cs"/>
          <w:rtl/>
        </w:rPr>
        <w:t xml:space="preserve"> به معنای همراهی و مشارکت نمودن است ولو این که در حال ایستاده این همراهی صورت گرفته باشد، یعنی جلوس در ثلاثی مجرد جلوس در مقابل قیام است بر خلاف جلوس در </w:t>
      </w:r>
      <w:r w:rsidR="00924B00">
        <w:rPr>
          <w:rFonts w:hint="cs"/>
          <w:rtl/>
        </w:rPr>
        <w:t>"</w:t>
      </w:r>
      <w:r w:rsidRPr="000E0C1F">
        <w:rPr>
          <w:rFonts w:hint="cs"/>
          <w:rtl/>
        </w:rPr>
        <w:t>جالست</w:t>
      </w:r>
      <w:r w:rsidR="00924B00">
        <w:rPr>
          <w:rFonts w:cs="Cambria" w:hint="cs"/>
          <w:rtl/>
        </w:rPr>
        <w:t>"</w:t>
      </w:r>
      <w:r w:rsidRPr="000E0C1F">
        <w:rPr>
          <w:rFonts w:hint="cs"/>
          <w:rtl/>
        </w:rPr>
        <w:t xml:space="preserve"> که به معنای هم نشینی و اعم</w:t>
      </w:r>
      <w:r w:rsidR="00924B00">
        <w:rPr>
          <w:rFonts w:hint="cs"/>
          <w:rtl/>
        </w:rPr>
        <w:t xml:space="preserve"> از قیام و قعود است.</w:t>
      </w:r>
    </w:p>
    <w:p w:rsidR="000E0C1F" w:rsidRDefault="000E0C1F" w:rsidP="001C1362">
      <w:pPr>
        <w:rPr>
          <w:rtl/>
        </w:rPr>
      </w:pPr>
    </w:p>
    <w:p w:rsidR="000E0C1F" w:rsidRDefault="000E0C1F" w:rsidP="001C1362">
      <w:pPr>
        <w:rPr>
          <w:rtl/>
        </w:rPr>
      </w:pPr>
    </w:p>
    <w:p w:rsidR="00977656" w:rsidRPr="008C3162" w:rsidRDefault="00977656" w:rsidP="008C3162">
      <w:pPr>
        <w:rPr>
          <w:rtl/>
        </w:rPr>
      </w:pPr>
      <w:bookmarkStart w:id="3" w:name="_GoBack"/>
      <w:bookmarkEnd w:id="3"/>
    </w:p>
    <w:sectPr w:rsidR="00977656" w:rsidRPr="008C316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319C" w:rsidRDefault="009D319C" w:rsidP="008B750B">
      <w:pPr>
        <w:spacing w:line="240" w:lineRule="auto"/>
      </w:pPr>
      <w:r>
        <w:separator/>
      </w:r>
    </w:p>
  </w:endnote>
  <w:endnote w:type="continuationSeparator" w:id="0">
    <w:p w:rsidR="009D319C" w:rsidRDefault="009D319C"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Roya">
    <w:panose1 w:val="00000400000000000000"/>
    <w:charset w:val="B2"/>
    <w:family w:val="auto"/>
    <w:pitch w:val="variable"/>
    <w:sig w:usb0="00002001" w:usb1="80000000" w:usb2="00000008" w:usb3="00000000" w:csb0="00000040"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924B00" w:rsidRPr="00924B00">
            <w:rPr>
              <w:noProof/>
              <w:rtl/>
              <w:lang w:val="fa-IR"/>
            </w:rPr>
            <w:t>2</w:t>
          </w:r>
          <w:r>
            <w:rPr>
              <w:noProof/>
            </w:rPr>
            <w:fldChar w:fldCharType="end"/>
          </w:r>
        </w:p>
      </w:tc>
      <w:tc>
        <w:tcPr>
          <w:tcW w:w="4786" w:type="dxa"/>
          <w:tcBorders>
            <w:top w:val="nil"/>
            <w:left w:val="nil"/>
            <w:bottom w:val="nil"/>
            <w:right w:val="nil"/>
          </w:tcBorders>
          <w:vAlign w:val="center"/>
        </w:tcPr>
        <w:p w:rsidR="006D44C1" w:rsidRPr="006D44C1" w:rsidRDefault="006A1CA2" w:rsidP="001B6799">
          <w:pPr>
            <w:pStyle w:val="Footer"/>
            <w:bidi w:val="0"/>
            <w:rPr>
              <w:color w:val="808080" w:themeColor="background1" w:themeShade="80"/>
              <w:rtl/>
            </w:rPr>
          </w:pPr>
          <w:bookmarkStart w:id="11" w:name="BokAdres"/>
          <w:bookmarkEnd w:id="11"/>
          <w:r>
            <w:rPr>
              <w:color w:val="808080" w:themeColor="background1" w:themeShade="80"/>
            </w:rPr>
            <w:t>U1mg1_13941005-037_ar1_mfeb.ir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319C" w:rsidRDefault="009D319C" w:rsidP="008B750B">
      <w:pPr>
        <w:spacing w:line="240" w:lineRule="auto"/>
      </w:pPr>
      <w:r>
        <w:separator/>
      </w:r>
    </w:p>
  </w:footnote>
  <w:footnote w:type="continuationSeparator" w:id="0">
    <w:p w:rsidR="009D319C" w:rsidRDefault="009D319C" w:rsidP="008B750B">
      <w:pPr>
        <w:spacing w:line="240" w:lineRule="auto"/>
      </w:pPr>
      <w:r>
        <w:continuationSeparator/>
      </w:r>
    </w:p>
  </w:footnote>
  <w:footnote w:id="1">
    <w:p w:rsidR="00E06B38" w:rsidRDefault="00E06B38">
      <w:pPr>
        <w:pStyle w:val="FootnoteText"/>
        <w:rPr>
          <w:rFonts w:hint="cs"/>
        </w:rPr>
      </w:pPr>
      <w:r>
        <w:rPr>
          <w:rStyle w:val="FootnoteReference"/>
        </w:rPr>
        <w:footnoteRef/>
      </w:r>
      <w:r>
        <w:rPr>
          <w:rtl/>
        </w:rPr>
        <w:t xml:space="preserve"> </w:t>
      </w:r>
      <w:r>
        <w:rPr>
          <w:rFonts w:hint="cs"/>
          <w:rtl/>
        </w:rPr>
        <w:t xml:space="preserve">. </w:t>
      </w:r>
      <w:r w:rsidRPr="00E06B38">
        <w:rPr>
          <w:rFonts w:hint="cs"/>
          <w:rtl/>
        </w:rPr>
        <w:t>البقرة</w:t>
      </w:r>
      <w:r w:rsidRPr="00E06B38">
        <w:rPr>
          <w:rtl/>
        </w:rPr>
        <w:t>: 9</w:t>
      </w:r>
      <w:r>
        <w:rPr>
          <w:rFonts w:hint="cs"/>
          <w:rtl/>
        </w:rPr>
        <w:t>.</w:t>
      </w:r>
    </w:p>
  </w:footnote>
  <w:footnote w:id="2">
    <w:p w:rsidR="00E06B38" w:rsidRDefault="00E06B38">
      <w:pPr>
        <w:pStyle w:val="FootnoteText"/>
        <w:rPr>
          <w:rFonts w:hint="cs"/>
        </w:rPr>
      </w:pPr>
      <w:r>
        <w:rPr>
          <w:rStyle w:val="FootnoteReference"/>
        </w:rPr>
        <w:footnoteRef/>
      </w:r>
      <w:r>
        <w:rPr>
          <w:rtl/>
        </w:rPr>
        <w:t xml:space="preserve"> </w:t>
      </w:r>
      <w:r>
        <w:rPr>
          <w:rFonts w:hint="cs"/>
          <w:rtl/>
        </w:rPr>
        <w:t xml:space="preserve">. </w:t>
      </w:r>
      <w:r w:rsidRPr="00E06B38">
        <w:rPr>
          <w:rFonts w:hint="cs"/>
          <w:rtl/>
        </w:rPr>
        <w:t>النساء</w:t>
      </w:r>
      <w:r w:rsidRPr="00E06B38">
        <w:rPr>
          <w:rtl/>
        </w:rPr>
        <w:t>: 100.</w:t>
      </w:r>
    </w:p>
  </w:footnote>
  <w:footnote w:id="3">
    <w:p w:rsidR="00E06B38" w:rsidRDefault="00E06B38">
      <w:pPr>
        <w:pStyle w:val="FootnoteText"/>
        <w:rPr>
          <w:rFonts w:hint="cs"/>
        </w:rPr>
      </w:pPr>
      <w:r>
        <w:rPr>
          <w:rStyle w:val="FootnoteReference"/>
        </w:rPr>
        <w:footnoteRef/>
      </w:r>
      <w:r>
        <w:rPr>
          <w:rtl/>
        </w:rPr>
        <w:t xml:space="preserve"> </w:t>
      </w:r>
      <w:r>
        <w:rPr>
          <w:rFonts w:hint="cs"/>
          <w:rtl/>
        </w:rPr>
        <w:t xml:space="preserve">. </w:t>
      </w:r>
      <w:r w:rsidRPr="00E06B38">
        <w:rPr>
          <w:rFonts w:hint="cs"/>
          <w:rtl/>
        </w:rPr>
        <w:t>مريم</w:t>
      </w:r>
      <w:r w:rsidRPr="00E06B38">
        <w:rPr>
          <w:rtl/>
        </w:rPr>
        <w:t>: 52.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4" w:name="BokNum"/>
    <w:bookmarkEnd w:id="4"/>
    <w:r w:rsidR="006A1CA2">
      <w:rPr>
        <w:b/>
        <w:bCs/>
        <w:sz w:val="20"/>
        <w:szCs w:val="24"/>
        <w:rtl/>
      </w:rPr>
      <w:t>037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 w:name="Bokdars"/>
    <w:bookmarkEnd w:id="5"/>
    <w:r w:rsidR="006A1CA2">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6" w:name="Bokostad"/>
    <w:bookmarkEnd w:id="6"/>
    <w:r w:rsidR="006A1CA2">
      <w:rPr>
        <w:rFonts w:hint="cs"/>
        <w:b/>
        <w:bCs/>
        <w:color w:val="632423" w:themeColor="accent2" w:themeShade="80"/>
        <w:sz w:val="20"/>
        <w:szCs w:val="24"/>
        <w:rtl/>
      </w:rPr>
      <w:t>قائيني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7" w:name="BokTarikh"/>
    <w:bookmarkEnd w:id="7"/>
    <w:r w:rsidR="006A1CA2">
      <w:rPr>
        <w:sz w:val="24"/>
        <w:szCs w:val="24"/>
        <w:rtl/>
      </w:rPr>
      <w:t>5 /10 /1394</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8" w:name="BokSabj"/>
    <w:bookmarkEnd w:id="8"/>
    <w:r w:rsidR="006A1CA2">
      <w:rPr>
        <w:rFonts w:hint="cs"/>
        <w:sz w:val="24"/>
        <w:szCs w:val="24"/>
        <w:rtl/>
      </w:rPr>
      <w:t>مفاد</w:t>
    </w:r>
    <w:r w:rsidR="006A1CA2">
      <w:rPr>
        <w:sz w:val="24"/>
        <w:szCs w:val="24"/>
        <w:rtl/>
      </w:rPr>
      <w:t xml:space="preserve"> </w:t>
    </w:r>
    <w:r w:rsidR="006A1CA2">
      <w:rPr>
        <w:rFonts w:hint="cs"/>
        <w:sz w:val="24"/>
        <w:szCs w:val="24"/>
        <w:rtl/>
      </w:rPr>
      <w:t>قاعده</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9" w:name="Bokmoqarer"/>
    <w:bookmarkEnd w:id="9"/>
    <w:r w:rsidR="006A1CA2">
      <w:rPr>
        <w:rFonts w:hint="cs"/>
        <w:sz w:val="24"/>
        <w:szCs w:val="24"/>
        <w:rtl/>
      </w:rPr>
      <w:t>سيد</w:t>
    </w:r>
    <w:r w:rsidR="006A1CA2">
      <w:rPr>
        <w:sz w:val="24"/>
        <w:szCs w:val="24"/>
        <w:rtl/>
      </w:rPr>
      <w:t xml:space="preserve"> </w:t>
    </w:r>
    <w:r w:rsidR="006A1CA2">
      <w:rPr>
        <w:rFonts w:hint="cs"/>
        <w:sz w:val="24"/>
        <w:szCs w:val="24"/>
        <w:rtl/>
      </w:rPr>
      <w:t>علي</w:t>
    </w:r>
    <w:r w:rsidR="006A1CA2">
      <w:rPr>
        <w:sz w:val="24"/>
        <w:szCs w:val="24"/>
        <w:rtl/>
      </w:rPr>
      <w:t xml:space="preserve"> </w:t>
    </w:r>
    <w:r w:rsidR="006A1CA2">
      <w:rPr>
        <w:rFonts w:hint="cs"/>
        <w:sz w:val="24"/>
        <w:szCs w:val="24"/>
        <w:rtl/>
      </w:rPr>
      <w:t>رهنمايي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0" w:name="BokSabj2"/>
    <w:bookmarkEnd w:id="10"/>
    <w:r w:rsidR="006A1CA2">
      <w:rPr>
        <w:rFonts w:hint="cs"/>
        <w:sz w:val="24"/>
        <w:szCs w:val="24"/>
        <w:rtl/>
      </w:rPr>
      <w:t>ضرار</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80A41"/>
    <w:rsid w:val="0008299B"/>
    <w:rsid w:val="000913AA"/>
    <w:rsid w:val="000B5DB5"/>
    <w:rsid w:val="000C3947"/>
    <w:rsid w:val="000D30E9"/>
    <w:rsid w:val="000D6818"/>
    <w:rsid w:val="000E0C1F"/>
    <w:rsid w:val="000E335E"/>
    <w:rsid w:val="000F16CF"/>
    <w:rsid w:val="000F5BAC"/>
    <w:rsid w:val="00116B2B"/>
    <w:rsid w:val="00124E3D"/>
    <w:rsid w:val="00127E95"/>
    <w:rsid w:val="00130659"/>
    <w:rsid w:val="001347C7"/>
    <w:rsid w:val="001356B0"/>
    <w:rsid w:val="00151937"/>
    <w:rsid w:val="001837E9"/>
    <w:rsid w:val="001A2574"/>
    <w:rsid w:val="001A294E"/>
    <w:rsid w:val="001A4ED8"/>
    <w:rsid w:val="001B6799"/>
    <w:rsid w:val="001C1362"/>
    <w:rsid w:val="001D2E9A"/>
    <w:rsid w:val="001D597F"/>
    <w:rsid w:val="001E3FD4"/>
    <w:rsid w:val="0020241A"/>
    <w:rsid w:val="00203821"/>
    <w:rsid w:val="0021630D"/>
    <w:rsid w:val="00256560"/>
    <w:rsid w:val="0027605E"/>
    <w:rsid w:val="00281E00"/>
    <w:rsid w:val="00294A52"/>
    <w:rsid w:val="002B575F"/>
    <w:rsid w:val="002B729B"/>
    <w:rsid w:val="002C53A2"/>
    <w:rsid w:val="002E220F"/>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41B6D"/>
    <w:rsid w:val="004556EF"/>
    <w:rsid w:val="00462B07"/>
    <w:rsid w:val="00465BD2"/>
    <w:rsid w:val="004871AA"/>
    <w:rsid w:val="004926E1"/>
    <w:rsid w:val="004A2FEA"/>
    <w:rsid w:val="004D75C5"/>
    <w:rsid w:val="004E2186"/>
    <w:rsid w:val="004E66FB"/>
    <w:rsid w:val="004F4C59"/>
    <w:rsid w:val="00500C8F"/>
    <w:rsid w:val="00501909"/>
    <w:rsid w:val="005128DF"/>
    <w:rsid w:val="005206FE"/>
    <w:rsid w:val="005257ED"/>
    <w:rsid w:val="005306F8"/>
    <w:rsid w:val="0056213C"/>
    <w:rsid w:val="00580C24"/>
    <w:rsid w:val="005968EF"/>
    <w:rsid w:val="00596C1E"/>
    <w:rsid w:val="005A2E26"/>
    <w:rsid w:val="005C0DAE"/>
    <w:rsid w:val="005C188E"/>
    <w:rsid w:val="005E5507"/>
    <w:rsid w:val="005E607B"/>
    <w:rsid w:val="00601229"/>
    <w:rsid w:val="00603B67"/>
    <w:rsid w:val="0063256E"/>
    <w:rsid w:val="00635219"/>
    <w:rsid w:val="00635EC0"/>
    <w:rsid w:val="00640B58"/>
    <w:rsid w:val="00651B02"/>
    <w:rsid w:val="00651B19"/>
    <w:rsid w:val="00660A29"/>
    <w:rsid w:val="006A1CA2"/>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B4464"/>
    <w:rsid w:val="008B750B"/>
    <w:rsid w:val="008C3162"/>
    <w:rsid w:val="008E3924"/>
    <w:rsid w:val="008F13F7"/>
    <w:rsid w:val="00907425"/>
    <w:rsid w:val="00923C34"/>
    <w:rsid w:val="00924152"/>
    <w:rsid w:val="00924B00"/>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D319C"/>
    <w:rsid w:val="009F7E07"/>
    <w:rsid w:val="00A10A11"/>
    <w:rsid w:val="00A13C6A"/>
    <w:rsid w:val="00A17B09"/>
    <w:rsid w:val="00A457C6"/>
    <w:rsid w:val="00A46AD0"/>
    <w:rsid w:val="00A47063"/>
    <w:rsid w:val="00A473A8"/>
    <w:rsid w:val="00A61AC8"/>
    <w:rsid w:val="00A65D4C"/>
    <w:rsid w:val="00AA40D7"/>
    <w:rsid w:val="00AB5F7D"/>
    <w:rsid w:val="00AC0C50"/>
    <w:rsid w:val="00AC6FE2"/>
    <w:rsid w:val="00AF3925"/>
    <w:rsid w:val="00B2292F"/>
    <w:rsid w:val="00B43169"/>
    <w:rsid w:val="00B55AE4"/>
    <w:rsid w:val="00B739B0"/>
    <w:rsid w:val="00B814A3"/>
    <w:rsid w:val="00B96F38"/>
    <w:rsid w:val="00BD0E74"/>
    <w:rsid w:val="00BD5F8C"/>
    <w:rsid w:val="00BE29DD"/>
    <w:rsid w:val="00C066AF"/>
    <w:rsid w:val="00C10E06"/>
    <w:rsid w:val="00C145B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10998"/>
    <w:rsid w:val="00D23391"/>
    <w:rsid w:val="00D31805"/>
    <w:rsid w:val="00D552B9"/>
    <w:rsid w:val="00D74021"/>
    <w:rsid w:val="00D76D01"/>
    <w:rsid w:val="00D922A9"/>
    <w:rsid w:val="00D9394A"/>
    <w:rsid w:val="00DB0CBB"/>
    <w:rsid w:val="00DB67CC"/>
    <w:rsid w:val="00DE1070"/>
    <w:rsid w:val="00E00219"/>
    <w:rsid w:val="00E0316B"/>
    <w:rsid w:val="00E06B38"/>
    <w:rsid w:val="00E25E10"/>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D54CD81-EF0A-4AB2-8D8B-C99899A17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B43169"/>
    <w:rPr>
      <w:rFonts w:cs="B Nazanin"/>
      <w:b/>
      <w:bCs w:val="0"/>
      <w:i/>
      <w:iCs w:val="0"/>
      <w:color w:val="008000"/>
      <w:szCs w:val="28"/>
    </w:rPr>
  </w:style>
  <w:style w:type="character" w:styleId="SubtleEmphasis">
    <w:name w:val="Subtle Emphasis"/>
    <w:aliases w:val="متن کتاب محور"/>
    <w:basedOn w:val="DefaultParagraphFont"/>
    <w:uiPriority w:val="19"/>
    <w:qFormat/>
    <w:rsid w:val="001C1362"/>
    <w:rPr>
      <w:rFonts w:cs="B Lotus"/>
      <w:bCs/>
      <w:i/>
      <w:iCs w:val="0"/>
      <w:color w:val="948A54" w:themeColor="background2" w:themeShade="80"/>
      <w:szCs w:val="28"/>
    </w:rPr>
  </w:style>
  <w:style w:type="paragraph" w:customStyle="1" w:styleId="a">
    <w:name w:val="نظر سایر علما"/>
    <w:basedOn w:val="Normal"/>
    <w:qFormat/>
    <w:rsid w:val="00DE1070"/>
    <w:rPr>
      <w:rFonts w:cs="B Nazanin"/>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57257532">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262184622">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8D4492-D63E-40F2-9A5D-86C9E37AE0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32</TotalTime>
  <Pages>2</Pages>
  <Words>350</Words>
  <Characters>2000</Characters>
  <Application>Microsoft Office Word</Application>
  <DocSecurity>0</DocSecurity>
  <Lines>16</Lines>
  <Paragraphs>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2346</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MRT www.Win2Farsi.com</cp:lastModifiedBy>
  <cp:revision>3</cp:revision>
  <dcterms:created xsi:type="dcterms:W3CDTF">2015-12-26T17:35:00Z</dcterms:created>
  <dcterms:modified xsi:type="dcterms:W3CDTF">2015-12-26T18:04:00Z</dcterms:modified>
</cp:coreProperties>
</file>