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CAAC" w:themeColor="accent2" w:themeTint="66"/>
  <w:body>
    <w:p w14:paraId="38AB6C20" w14:textId="4270A529" w:rsidR="00790554" w:rsidRPr="00790554" w:rsidRDefault="008F001E" w:rsidP="00CA7ACF">
      <w:pPr>
        <w:pStyle w:val="ListParagraph"/>
        <w:bidi/>
        <w:spacing w:before="100" w:beforeAutospacing="1" w:after="100" w:afterAutospacing="1" w:line="240" w:lineRule="auto"/>
        <w:outlineLvl w:val="2"/>
        <w:rPr>
          <w:rFonts w:ascii="IRLotus" w:eastAsia="Times New Roman" w:hAnsi="IRLotus" w:cs="B Nazanin"/>
          <w:b/>
          <w:bCs/>
          <w:color w:val="FF0000"/>
          <w:sz w:val="30"/>
          <w:szCs w:val="30"/>
          <w:rtl/>
        </w:rPr>
      </w:pPr>
      <w:r w:rsidRPr="00790554">
        <w:rPr>
          <w:rFonts w:ascii="IRLotus" w:eastAsia="Times New Roman" w:hAnsi="IRLotus" w:cs="B Nazanin"/>
          <w:b/>
          <w:bCs/>
          <w:color w:val="FF0000"/>
          <w:sz w:val="30"/>
          <w:szCs w:val="30"/>
          <w:rtl/>
        </w:rPr>
        <w:t>سازمان وکالت</w:t>
      </w:r>
    </w:p>
    <w:p w14:paraId="235FC8BD" w14:textId="77777777" w:rsidR="008F001E" w:rsidRPr="00790554" w:rsidRDefault="00123303"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t xml:space="preserve">یکی از </w:t>
      </w:r>
      <w:r w:rsidR="008F001E" w:rsidRPr="00790554">
        <w:rPr>
          <w:rFonts w:ascii="IRLotus" w:eastAsia="Times New Roman" w:hAnsi="IRLotus" w:cs="B Nazanin"/>
          <w:sz w:val="30"/>
          <w:szCs w:val="30"/>
          <w:rtl/>
        </w:rPr>
        <w:t>اقدام</w:t>
      </w:r>
      <w:r w:rsidRPr="00790554">
        <w:rPr>
          <w:rFonts w:ascii="IRLotus" w:eastAsia="Times New Roman" w:hAnsi="IRLotus" w:cs="B Nazanin"/>
          <w:sz w:val="30"/>
          <w:szCs w:val="30"/>
          <w:rtl/>
        </w:rPr>
        <w:t xml:space="preserve">ات مهم </w:t>
      </w:r>
      <w:r w:rsidR="008F001E" w:rsidRPr="00790554">
        <w:rPr>
          <w:rFonts w:ascii="IRLotus" w:eastAsia="Times New Roman" w:hAnsi="IRLotus" w:cs="B Nazanin"/>
          <w:sz w:val="30"/>
          <w:szCs w:val="30"/>
          <w:rtl/>
        </w:rPr>
        <w:t>امام حسن عسگری(ع)، برای زمینه سازی غیبت</w:t>
      </w:r>
      <w:r w:rsidRPr="00790554">
        <w:rPr>
          <w:rFonts w:ascii="IRLotus" w:eastAsia="Times New Roman" w:hAnsi="IRLotus" w:cs="B Nazanin"/>
          <w:sz w:val="30"/>
          <w:szCs w:val="30"/>
          <w:rtl/>
        </w:rPr>
        <w:t xml:space="preserve"> حضرت مهدی(عج)</w:t>
      </w:r>
      <w:r w:rsidR="008F001E" w:rsidRPr="00790554">
        <w:rPr>
          <w:rFonts w:ascii="IRLotus" w:eastAsia="Times New Roman" w:hAnsi="IRLotus" w:cs="B Nazanin"/>
          <w:sz w:val="30"/>
          <w:szCs w:val="30"/>
          <w:rtl/>
        </w:rPr>
        <w:t xml:space="preserve">، ایجاد سازمان وکالت و تقویت آن بود. این نهاد در عصر امام صادق(ع)، تشکیل شد </w:t>
      </w:r>
      <w:r w:rsidRPr="00790554">
        <w:rPr>
          <w:rFonts w:ascii="IRLotus" w:eastAsia="Times New Roman" w:hAnsi="IRLotus" w:cs="B Nazanin"/>
          <w:sz w:val="30"/>
          <w:szCs w:val="30"/>
          <w:rtl/>
        </w:rPr>
        <w:t xml:space="preserve">و </w:t>
      </w:r>
      <w:r w:rsidR="008F001E" w:rsidRPr="00790554">
        <w:rPr>
          <w:rFonts w:ascii="IRLotus" w:eastAsia="Times New Roman" w:hAnsi="IRLotus" w:cs="B Nazanin"/>
          <w:sz w:val="30"/>
          <w:szCs w:val="30"/>
          <w:rtl/>
        </w:rPr>
        <w:t>با فعالیت های مختلف و با نظارت امامان معصوم(علیهم السلام)، کار خود را آغاز کرد و به تدریج تا زمان امام حسن عسگری(ع) ، شکل منسجم نظام مندی به خود گرفت.</w:t>
      </w:r>
    </w:p>
    <w:p w14:paraId="2CA4CE95" w14:textId="77777777" w:rsidR="008F001E" w:rsidRPr="00790554" w:rsidRDefault="00474DAA" w:rsidP="0087261F">
      <w:pPr>
        <w:bidi/>
        <w:spacing w:before="100" w:beforeAutospacing="1" w:after="100" w:afterAutospacing="1" w:line="240" w:lineRule="auto"/>
        <w:outlineLvl w:val="3"/>
        <w:rPr>
          <w:rFonts w:ascii="IRLotus" w:eastAsia="Times New Roman" w:hAnsi="IRLotus" w:cs="B Nazanin"/>
          <w:b/>
          <w:bCs/>
          <w:sz w:val="30"/>
          <w:szCs w:val="30"/>
          <w:rtl/>
        </w:rPr>
      </w:pPr>
      <w:r w:rsidRPr="00790554">
        <w:rPr>
          <w:rFonts w:ascii="IRLotus" w:eastAsia="Times New Roman" w:hAnsi="IRLotus" w:cs="B Nazanin"/>
          <w:b/>
          <w:bCs/>
          <w:sz w:val="30"/>
          <w:szCs w:val="30"/>
          <w:rtl/>
        </w:rPr>
        <w:t xml:space="preserve">الف. </w:t>
      </w:r>
      <w:r w:rsidR="008F001E" w:rsidRPr="00790554">
        <w:rPr>
          <w:rFonts w:ascii="IRLotus" w:eastAsia="Times New Roman" w:hAnsi="IRLotus" w:cs="B Nazanin"/>
          <w:b/>
          <w:bCs/>
          <w:sz w:val="30"/>
          <w:szCs w:val="30"/>
          <w:rtl/>
        </w:rPr>
        <w:t>علل تشکیل سازمان وکالت</w:t>
      </w:r>
    </w:p>
    <w:p w14:paraId="4995EE63" w14:textId="77777777" w:rsidR="008F001E" w:rsidRPr="00790554" w:rsidRDefault="008F001E"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t>در مورد دلایل تشکیل سازمان وکالت، می توان به موارد ذیل اشاره نمود:</w:t>
      </w:r>
    </w:p>
    <w:p w14:paraId="17E73804" w14:textId="77777777" w:rsidR="008F001E" w:rsidRPr="00790554" w:rsidRDefault="008F001E" w:rsidP="0087261F">
      <w:pPr>
        <w:bidi/>
        <w:spacing w:before="100" w:beforeAutospacing="1" w:after="100" w:afterAutospacing="1" w:line="240" w:lineRule="auto"/>
        <w:outlineLvl w:val="4"/>
        <w:rPr>
          <w:rFonts w:ascii="IRLotus" w:eastAsia="Times New Roman" w:hAnsi="IRLotus" w:cs="B Nazanin"/>
          <w:b/>
          <w:bCs/>
          <w:sz w:val="30"/>
          <w:szCs w:val="30"/>
          <w:rtl/>
        </w:rPr>
      </w:pPr>
      <w:r w:rsidRPr="00790554">
        <w:rPr>
          <w:rFonts w:ascii="IRLotus" w:eastAsia="Times New Roman" w:hAnsi="IRLotus" w:cs="B Nazanin"/>
          <w:b/>
          <w:bCs/>
          <w:sz w:val="30"/>
          <w:szCs w:val="30"/>
          <w:rtl/>
        </w:rPr>
        <w:t>1</w:t>
      </w:r>
      <w:r w:rsidR="00ED5A76" w:rsidRPr="00790554">
        <w:rPr>
          <w:rFonts w:ascii="IRLotus" w:eastAsia="Times New Roman" w:hAnsi="IRLotus" w:cs="B Nazanin"/>
          <w:b/>
          <w:bCs/>
          <w:sz w:val="30"/>
          <w:szCs w:val="30"/>
          <w:rtl/>
        </w:rPr>
        <w:t>.</w:t>
      </w:r>
      <w:r w:rsidRPr="00790554">
        <w:rPr>
          <w:rFonts w:ascii="IRLotus" w:eastAsia="Times New Roman" w:hAnsi="IRLotus" w:cs="B Nazanin"/>
          <w:b/>
          <w:bCs/>
          <w:sz w:val="30"/>
          <w:szCs w:val="30"/>
          <w:rtl/>
        </w:rPr>
        <w:t xml:space="preserve"> لزوم ارتباط بین رهبری و پیروان</w:t>
      </w:r>
    </w:p>
    <w:p w14:paraId="1C5CA216" w14:textId="77777777" w:rsidR="008F001E" w:rsidRPr="00790554" w:rsidRDefault="008F001E"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t>در هر نظام دینی، سیاسی ی</w:t>
      </w:r>
      <w:r w:rsidR="00ED5A76" w:rsidRPr="00790554">
        <w:rPr>
          <w:rFonts w:ascii="IRLotus" w:eastAsia="Times New Roman" w:hAnsi="IRLotus" w:cs="B Nazanin"/>
          <w:sz w:val="30"/>
          <w:szCs w:val="30"/>
          <w:rtl/>
        </w:rPr>
        <w:t>ا اجتماعی، ارتباط بین رهبر و اعض</w:t>
      </w:r>
      <w:r w:rsidRPr="00790554">
        <w:rPr>
          <w:rFonts w:ascii="IRLotus" w:eastAsia="Times New Roman" w:hAnsi="IRLotus" w:cs="B Nazanin"/>
          <w:sz w:val="30"/>
          <w:szCs w:val="30"/>
          <w:rtl/>
        </w:rPr>
        <w:t>ای آن نظام، اجتناب ناپذیر است؛ بنابر این می بایست کسی یا کسانی از سوی امامان شیعه، تعیین می شدند تا به عنوان وکلای آنها، با شیعیان ارتباط برقرار می کردند. این مسأله زمانی روشن تر می شود که به گستردگی عالم اسلامی در آن عصر و پراکندگی شیعیان در نقاط مختلف، اعم از عراق، حجاز، ایران، یمن، مصر و مغرب توجه کنیم. از آنجایی که همه شیعیان، توانایی مسافرت به مدینه و سایر شهرهای اقامتی امامان را نداشتند، پس لازم بود کسانی به عنوان نمایندگان و افراد مورد اعتماد امام، شناخته شوند.</w:t>
      </w:r>
      <w:r w:rsidR="00474DAA" w:rsidRPr="00790554">
        <w:rPr>
          <w:rStyle w:val="FootnoteReference"/>
          <w:rFonts w:ascii="IRLotus" w:eastAsia="Times New Roman" w:hAnsi="IRLotus" w:cs="B Nazanin"/>
          <w:sz w:val="30"/>
          <w:szCs w:val="30"/>
          <w:rtl/>
        </w:rPr>
        <w:footnoteReference w:id="1"/>
      </w:r>
    </w:p>
    <w:p w14:paraId="28C2D50D" w14:textId="77777777" w:rsidR="008F001E" w:rsidRPr="00790554" w:rsidRDefault="008F001E" w:rsidP="0087261F">
      <w:pPr>
        <w:bidi/>
        <w:spacing w:before="100" w:beforeAutospacing="1" w:after="100" w:afterAutospacing="1" w:line="240" w:lineRule="auto"/>
        <w:outlineLvl w:val="4"/>
        <w:rPr>
          <w:rFonts w:ascii="IRLotus" w:eastAsia="Times New Roman" w:hAnsi="IRLotus" w:cs="B Nazanin"/>
          <w:b/>
          <w:bCs/>
          <w:sz w:val="30"/>
          <w:szCs w:val="30"/>
          <w:rtl/>
        </w:rPr>
      </w:pPr>
      <w:r w:rsidRPr="00790554">
        <w:rPr>
          <w:rFonts w:ascii="IRLotus" w:eastAsia="Times New Roman" w:hAnsi="IRLotus" w:cs="B Nazanin"/>
          <w:b/>
          <w:bCs/>
          <w:sz w:val="30"/>
          <w:szCs w:val="30"/>
          <w:rtl/>
        </w:rPr>
        <w:t>2</w:t>
      </w:r>
      <w:r w:rsidR="00ED5A76" w:rsidRPr="00790554">
        <w:rPr>
          <w:rFonts w:ascii="IRLotus" w:eastAsia="Times New Roman" w:hAnsi="IRLotus" w:cs="B Nazanin"/>
          <w:b/>
          <w:bCs/>
          <w:sz w:val="30"/>
          <w:szCs w:val="30"/>
          <w:rtl/>
        </w:rPr>
        <w:t xml:space="preserve">. </w:t>
      </w:r>
      <w:r w:rsidRPr="00790554">
        <w:rPr>
          <w:rFonts w:ascii="IRLotus" w:eastAsia="Times New Roman" w:hAnsi="IRLotus" w:cs="B Nazanin"/>
          <w:b/>
          <w:bCs/>
          <w:sz w:val="30"/>
          <w:szCs w:val="30"/>
          <w:rtl/>
        </w:rPr>
        <w:t>خفقان حکومت عباسی و لزوم حفظ شیعیان و مکتب توسط امام</w:t>
      </w:r>
    </w:p>
    <w:p w14:paraId="557409E5" w14:textId="77777777" w:rsidR="008F001E" w:rsidRPr="00790554" w:rsidRDefault="008F001E"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t>هر چند وجود خفقان را نمی توان علت اصلی تشکیل نهاد وکالت دانست، ولی به طور قطع، این مسأله، علت تشدید فعالیت این نهاد و گسترش و توسعه آن بوده است.</w:t>
      </w:r>
      <w:r w:rsidR="00474DAA" w:rsidRPr="00790554">
        <w:rPr>
          <w:rStyle w:val="FootnoteReference"/>
          <w:rFonts w:ascii="IRLotus" w:eastAsia="Times New Roman" w:hAnsi="IRLotus" w:cs="B Nazanin"/>
          <w:sz w:val="30"/>
          <w:szCs w:val="30"/>
          <w:rtl/>
        </w:rPr>
        <w:footnoteReference w:id="2"/>
      </w:r>
    </w:p>
    <w:p w14:paraId="5FAC7C8B" w14:textId="77777777" w:rsidR="008F001E" w:rsidRPr="00790554" w:rsidRDefault="008F001E" w:rsidP="0087261F">
      <w:pPr>
        <w:bidi/>
        <w:spacing w:before="100" w:beforeAutospacing="1" w:after="100" w:afterAutospacing="1" w:line="240" w:lineRule="auto"/>
        <w:outlineLvl w:val="4"/>
        <w:rPr>
          <w:rFonts w:ascii="IRLotus" w:eastAsia="Times New Roman" w:hAnsi="IRLotus" w:cs="B Nazanin"/>
          <w:b/>
          <w:bCs/>
          <w:sz w:val="30"/>
          <w:szCs w:val="30"/>
          <w:rtl/>
        </w:rPr>
      </w:pPr>
      <w:r w:rsidRPr="00790554">
        <w:rPr>
          <w:rFonts w:ascii="IRLotus" w:eastAsia="Times New Roman" w:hAnsi="IRLotus" w:cs="B Nazanin"/>
          <w:b/>
          <w:bCs/>
          <w:sz w:val="30"/>
          <w:szCs w:val="30"/>
          <w:rtl/>
        </w:rPr>
        <w:t>3</w:t>
      </w:r>
      <w:r w:rsidR="00474DAA" w:rsidRPr="00790554">
        <w:rPr>
          <w:rFonts w:ascii="IRLotus" w:eastAsia="Times New Roman" w:hAnsi="IRLotus" w:cs="B Nazanin"/>
          <w:b/>
          <w:bCs/>
          <w:sz w:val="30"/>
          <w:szCs w:val="30"/>
          <w:rtl/>
        </w:rPr>
        <w:t xml:space="preserve">. </w:t>
      </w:r>
      <w:r w:rsidRPr="00790554">
        <w:rPr>
          <w:rFonts w:ascii="IRLotus" w:eastAsia="Times New Roman" w:hAnsi="IRLotus" w:cs="B Nazanin"/>
          <w:b/>
          <w:bCs/>
          <w:sz w:val="30"/>
          <w:szCs w:val="30"/>
          <w:rtl/>
        </w:rPr>
        <w:t>آماده سازی شیعیان برای عصر غیبت</w:t>
      </w:r>
    </w:p>
    <w:p w14:paraId="7732BEFA" w14:textId="77777777" w:rsidR="008F001E" w:rsidRPr="00790554" w:rsidRDefault="008F001E"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t xml:space="preserve">بدون تردید، یکی از وجوه روی آوری ائمه(علیهم السلام)، به تشکیل این نهاد، آماده سازی شیعیان برای پذیرش وضعیت جدید در عصر غیبت بود؛ عصری که شیعه در آن جز از طریق سفرا و وکلای امام، امکان ارتباط با ایشان را نداشت. با توجه به همین حقیقت بود که هرچه شیعه به عصر غیبت نزدیک تر می </w:t>
      </w:r>
      <w:r w:rsidRPr="00790554">
        <w:rPr>
          <w:rFonts w:ascii="IRLotus" w:eastAsia="Times New Roman" w:hAnsi="IRLotus" w:cs="B Nazanin"/>
          <w:sz w:val="30"/>
          <w:szCs w:val="30"/>
          <w:rtl/>
        </w:rPr>
        <w:lastRenderedPageBreak/>
        <w:t>شد، راه ارتباط مستقیم او با امام نیز محدودتر می گشت و در مقابل، نهاد وکالت نیز تقویت می شد؛ تا حدی که در زمان امامین عسگریین(ع) غالب ارتباطات شیعه با این دو امام بزرگوار، از راه مکاتبه و یا وکلا و نمایندگان، صورت می گرفت. از این رو، می توان گفت که حداقل در عصر دو امام هادی و عسگری(ع)، تقویت نهاد وکالت به خاطر تمهید و زمینه چینی برای ورود شیعه به عصر غیبت بوده است.</w:t>
      </w:r>
      <w:r w:rsidR="00474DAA" w:rsidRPr="00790554">
        <w:rPr>
          <w:rStyle w:val="FootnoteReference"/>
          <w:rFonts w:ascii="IRLotus" w:eastAsia="Times New Roman" w:hAnsi="IRLotus" w:cs="B Nazanin"/>
          <w:sz w:val="30"/>
          <w:szCs w:val="30"/>
          <w:rtl/>
        </w:rPr>
        <w:footnoteReference w:id="3"/>
      </w:r>
    </w:p>
    <w:p w14:paraId="70D57EE5" w14:textId="77777777" w:rsidR="008F001E" w:rsidRPr="00790554" w:rsidRDefault="008F001E" w:rsidP="0087261F">
      <w:pPr>
        <w:bidi/>
        <w:spacing w:before="100" w:beforeAutospacing="1" w:after="100" w:afterAutospacing="1" w:line="240" w:lineRule="auto"/>
        <w:outlineLvl w:val="3"/>
        <w:rPr>
          <w:rFonts w:ascii="IRLotus" w:eastAsia="Times New Roman" w:hAnsi="IRLotus" w:cs="B Nazanin"/>
          <w:b/>
          <w:bCs/>
          <w:sz w:val="30"/>
          <w:szCs w:val="30"/>
          <w:rtl/>
        </w:rPr>
      </w:pPr>
      <w:r w:rsidRPr="00790554">
        <w:rPr>
          <w:rFonts w:ascii="IRLotus" w:eastAsia="Times New Roman" w:hAnsi="IRLotus" w:cs="B Nazanin"/>
          <w:b/>
          <w:bCs/>
          <w:sz w:val="30"/>
          <w:szCs w:val="30"/>
          <w:rtl/>
        </w:rPr>
        <w:t>ب. وظایف و شئون نهاد وکالت</w:t>
      </w:r>
    </w:p>
    <w:p w14:paraId="4971FD9E" w14:textId="77777777" w:rsidR="008F001E" w:rsidRPr="00790554" w:rsidRDefault="008F001E" w:rsidP="0087261F">
      <w:pPr>
        <w:bidi/>
        <w:spacing w:before="100" w:beforeAutospacing="1" w:after="100" w:afterAutospacing="1" w:line="240" w:lineRule="auto"/>
        <w:outlineLvl w:val="4"/>
        <w:rPr>
          <w:rFonts w:ascii="IRLotus" w:eastAsia="Times New Roman" w:hAnsi="IRLotus" w:cs="B Nazanin"/>
          <w:b/>
          <w:bCs/>
          <w:sz w:val="30"/>
          <w:szCs w:val="30"/>
          <w:rtl/>
        </w:rPr>
      </w:pPr>
      <w:r w:rsidRPr="00790554">
        <w:rPr>
          <w:rFonts w:ascii="IRLotus" w:eastAsia="Times New Roman" w:hAnsi="IRLotus" w:cs="B Nazanin"/>
          <w:b/>
          <w:bCs/>
          <w:sz w:val="30"/>
          <w:szCs w:val="30"/>
          <w:rtl/>
        </w:rPr>
        <w:t>1</w:t>
      </w:r>
      <w:r w:rsidR="00474DAA" w:rsidRPr="00790554">
        <w:rPr>
          <w:rFonts w:ascii="IRLotus" w:eastAsia="Times New Roman" w:hAnsi="IRLotus" w:cs="B Nazanin"/>
          <w:b/>
          <w:bCs/>
          <w:sz w:val="30"/>
          <w:szCs w:val="30"/>
          <w:rtl/>
        </w:rPr>
        <w:t>.</w:t>
      </w:r>
      <w:r w:rsidRPr="00790554">
        <w:rPr>
          <w:rFonts w:ascii="IRLotus" w:eastAsia="Times New Roman" w:hAnsi="IRLotus" w:cs="B Nazanin"/>
          <w:b/>
          <w:bCs/>
          <w:sz w:val="30"/>
          <w:szCs w:val="30"/>
          <w:rtl/>
        </w:rPr>
        <w:t xml:space="preserve"> دریافت وجوه شرعی</w:t>
      </w:r>
    </w:p>
    <w:p w14:paraId="351B7BED" w14:textId="77777777" w:rsidR="008F001E" w:rsidRPr="00790554" w:rsidRDefault="008F001E"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t>از آغاز تأسیس این نهاد، وکلا موظف به جمع آوری و توزیع وجوهات شرعی بودند. به عنوان نمونه از «معلی بن خنیس» به عنوان وکیل و قیّم مالی امام صادق(ع)، در مدینه یاد شده است که فعالیت او در جهت جمع آوری وجوهات از شیعیان، سبب سوء ظن عباسیان و سرانجام، شهادت وی شد. دریافت اموال در عصر امام عسگری(ع)، به خاطر وجود جوّ خفقان، بدون قبضِ رسید، انجام می شد.</w:t>
      </w:r>
      <w:r w:rsidR="00474DAA" w:rsidRPr="00790554">
        <w:rPr>
          <w:rStyle w:val="FootnoteReference"/>
          <w:rFonts w:ascii="IRLotus" w:eastAsia="Times New Roman" w:hAnsi="IRLotus" w:cs="B Nazanin"/>
          <w:sz w:val="30"/>
          <w:szCs w:val="30"/>
          <w:rtl/>
        </w:rPr>
        <w:footnoteReference w:id="4"/>
      </w:r>
    </w:p>
    <w:p w14:paraId="7A6E11A7" w14:textId="77777777" w:rsidR="008F001E" w:rsidRPr="00790554" w:rsidRDefault="008F001E" w:rsidP="0087261F">
      <w:pPr>
        <w:bidi/>
        <w:spacing w:before="100" w:beforeAutospacing="1" w:after="100" w:afterAutospacing="1" w:line="240" w:lineRule="auto"/>
        <w:outlineLvl w:val="4"/>
        <w:rPr>
          <w:rFonts w:ascii="IRLotus" w:eastAsia="Times New Roman" w:hAnsi="IRLotus" w:cs="B Nazanin"/>
          <w:b/>
          <w:bCs/>
          <w:sz w:val="30"/>
          <w:szCs w:val="30"/>
          <w:rtl/>
        </w:rPr>
      </w:pPr>
      <w:r w:rsidRPr="00790554">
        <w:rPr>
          <w:rFonts w:ascii="IRLotus" w:eastAsia="Times New Roman" w:hAnsi="IRLotus" w:cs="B Nazanin"/>
          <w:b/>
          <w:bCs/>
          <w:sz w:val="30"/>
          <w:szCs w:val="30"/>
          <w:rtl/>
        </w:rPr>
        <w:t>2</w:t>
      </w:r>
      <w:r w:rsidR="00474DAA" w:rsidRPr="00790554">
        <w:rPr>
          <w:rFonts w:ascii="IRLotus" w:eastAsia="Times New Roman" w:hAnsi="IRLotus" w:cs="B Nazanin"/>
          <w:b/>
          <w:bCs/>
          <w:sz w:val="30"/>
          <w:szCs w:val="30"/>
          <w:rtl/>
        </w:rPr>
        <w:t>.</w:t>
      </w:r>
      <w:r w:rsidRPr="00790554">
        <w:rPr>
          <w:rFonts w:ascii="IRLotus" w:eastAsia="Times New Roman" w:hAnsi="IRLotus" w:cs="B Nazanin"/>
          <w:b/>
          <w:bCs/>
          <w:sz w:val="30"/>
          <w:szCs w:val="30"/>
          <w:rtl/>
        </w:rPr>
        <w:t xml:space="preserve"> رسیدگی به اوقاف</w:t>
      </w:r>
    </w:p>
    <w:p w14:paraId="6BA83CB6" w14:textId="77777777" w:rsidR="008F001E" w:rsidRPr="00790554" w:rsidRDefault="008F001E"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t>برای مثال، حسن محمد قطاة صیدلانی، در رسیدگی به امور وقفی در «واسط» وکالت داشت.</w:t>
      </w:r>
      <w:r w:rsidR="00474DAA" w:rsidRPr="00790554">
        <w:rPr>
          <w:rStyle w:val="FootnoteReference"/>
          <w:rFonts w:ascii="IRLotus" w:eastAsia="Times New Roman" w:hAnsi="IRLotus" w:cs="B Nazanin"/>
          <w:sz w:val="30"/>
          <w:szCs w:val="30"/>
          <w:rtl/>
        </w:rPr>
        <w:footnoteReference w:id="5"/>
      </w:r>
    </w:p>
    <w:p w14:paraId="302DF480" w14:textId="77777777" w:rsidR="008F001E" w:rsidRPr="00790554" w:rsidRDefault="008F001E" w:rsidP="0087261F">
      <w:pPr>
        <w:bidi/>
        <w:spacing w:before="100" w:beforeAutospacing="1" w:after="100" w:afterAutospacing="1" w:line="240" w:lineRule="auto"/>
        <w:outlineLvl w:val="4"/>
        <w:rPr>
          <w:rFonts w:ascii="IRLotus" w:eastAsia="Times New Roman" w:hAnsi="IRLotus" w:cs="B Nazanin"/>
          <w:b/>
          <w:bCs/>
          <w:sz w:val="30"/>
          <w:szCs w:val="30"/>
          <w:rtl/>
        </w:rPr>
      </w:pPr>
      <w:r w:rsidRPr="00790554">
        <w:rPr>
          <w:rFonts w:ascii="IRLotus" w:eastAsia="Times New Roman" w:hAnsi="IRLotus" w:cs="B Nazanin"/>
          <w:b/>
          <w:bCs/>
          <w:sz w:val="30"/>
          <w:szCs w:val="30"/>
          <w:rtl/>
        </w:rPr>
        <w:t>3</w:t>
      </w:r>
      <w:r w:rsidR="00474DAA" w:rsidRPr="00790554">
        <w:rPr>
          <w:rFonts w:ascii="IRLotus" w:eastAsia="Times New Roman" w:hAnsi="IRLotus" w:cs="B Nazanin"/>
          <w:b/>
          <w:bCs/>
          <w:sz w:val="30"/>
          <w:szCs w:val="30"/>
          <w:rtl/>
        </w:rPr>
        <w:t>.</w:t>
      </w:r>
      <w:r w:rsidRPr="00790554">
        <w:rPr>
          <w:rFonts w:ascii="IRLotus" w:eastAsia="Times New Roman" w:hAnsi="IRLotus" w:cs="B Nazanin"/>
          <w:b/>
          <w:bCs/>
          <w:sz w:val="30"/>
          <w:szCs w:val="30"/>
          <w:rtl/>
        </w:rPr>
        <w:t xml:space="preserve"> راهنمایی و ارشاد شیعیان و مناظره با مخالفان</w:t>
      </w:r>
    </w:p>
    <w:p w14:paraId="6E099901" w14:textId="77777777" w:rsidR="008F001E" w:rsidRPr="00790554" w:rsidRDefault="008F001E"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t xml:space="preserve">یکی از شئون مهم این نهاد، راهنمایی و ارشاد شیعیان به وظایف و اصول صحیح مکتب بوده است. تردیدی نیست که وقتی کسی به عنوان وکیل یک امام معصوم به اهالی یک شهر یا منطقه معرفی می شود، می بایست از نظر شناخت و آگاهی، برتر از سایر افراد باشد و از این جهت، وکلا، غالباً توسط شیعیان مورد سؤال واقع می شدند. </w:t>
      </w:r>
    </w:p>
    <w:p w14:paraId="013FB8A6" w14:textId="77777777" w:rsidR="008F001E" w:rsidRPr="00790554" w:rsidRDefault="008F001E" w:rsidP="0087261F">
      <w:pPr>
        <w:bidi/>
        <w:spacing w:before="100" w:beforeAutospacing="1" w:after="100" w:afterAutospacing="1" w:line="240" w:lineRule="auto"/>
        <w:outlineLvl w:val="4"/>
        <w:rPr>
          <w:rFonts w:ascii="IRLotus" w:eastAsia="Times New Roman" w:hAnsi="IRLotus" w:cs="B Nazanin"/>
          <w:b/>
          <w:bCs/>
          <w:sz w:val="30"/>
          <w:szCs w:val="30"/>
          <w:rtl/>
        </w:rPr>
      </w:pPr>
      <w:r w:rsidRPr="00790554">
        <w:rPr>
          <w:rFonts w:ascii="IRLotus" w:eastAsia="Times New Roman" w:hAnsi="IRLotus" w:cs="B Nazanin"/>
          <w:b/>
          <w:bCs/>
          <w:sz w:val="30"/>
          <w:szCs w:val="30"/>
          <w:rtl/>
        </w:rPr>
        <w:t>4</w:t>
      </w:r>
      <w:r w:rsidR="00474DAA" w:rsidRPr="00790554">
        <w:rPr>
          <w:rFonts w:ascii="IRLotus" w:eastAsia="Times New Roman" w:hAnsi="IRLotus" w:cs="B Nazanin"/>
          <w:b/>
          <w:bCs/>
          <w:sz w:val="30"/>
          <w:szCs w:val="30"/>
          <w:rtl/>
        </w:rPr>
        <w:t>.</w:t>
      </w:r>
      <w:r w:rsidRPr="00790554">
        <w:rPr>
          <w:rFonts w:ascii="IRLotus" w:eastAsia="Times New Roman" w:hAnsi="IRLotus" w:cs="B Nazanin"/>
          <w:b/>
          <w:bCs/>
          <w:sz w:val="30"/>
          <w:szCs w:val="30"/>
          <w:rtl/>
        </w:rPr>
        <w:t xml:space="preserve"> نقش سیاسی نهاد وکالت</w:t>
      </w:r>
    </w:p>
    <w:p w14:paraId="049B6065" w14:textId="77777777" w:rsidR="008F001E" w:rsidRPr="00790554" w:rsidRDefault="008F001E"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lastRenderedPageBreak/>
        <w:t>اهتمام حاکمیت عباسی در عصر غیبت برای شناختن اعضای نهاد وکالت، نشان از وجود نقش سیاسی این نهاد دارد.</w:t>
      </w:r>
    </w:p>
    <w:p w14:paraId="57CDBCFC" w14:textId="77777777" w:rsidR="008F001E" w:rsidRPr="00790554" w:rsidRDefault="008F001E" w:rsidP="0087261F">
      <w:pPr>
        <w:bidi/>
        <w:spacing w:before="100" w:beforeAutospacing="1" w:after="100" w:afterAutospacing="1" w:line="240" w:lineRule="auto"/>
        <w:outlineLvl w:val="4"/>
        <w:rPr>
          <w:rFonts w:ascii="IRLotus" w:eastAsia="Times New Roman" w:hAnsi="IRLotus" w:cs="B Nazanin"/>
          <w:b/>
          <w:bCs/>
          <w:sz w:val="30"/>
          <w:szCs w:val="30"/>
          <w:rtl/>
        </w:rPr>
      </w:pPr>
      <w:r w:rsidRPr="00790554">
        <w:rPr>
          <w:rFonts w:ascii="IRLotus" w:eastAsia="Times New Roman" w:hAnsi="IRLotus" w:cs="B Nazanin"/>
          <w:b/>
          <w:bCs/>
          <w:sz w:val="30"/>
          <w:szCs w:val="30"/>
          <w:rtl/>
        </w:rPr>
        <w:t>5</w:t>
      </w:r>
      <w:r w:rsidR="00474DAA" w:rsidRPr="00790554">
        <w:rPr>
          <w:rFonts w:ascii="IRLotus" w:eastAsia="Times New Roman" w:hAnsi="IRLotus" w:cs="B Nazanin"/>
          <w:b/>
          <w:bCs/>
          <w:sz w:val="30"/>
          <w:szCs w:val="30"/>
          <w:rtl/>
        </w:rPr>
        <w:t>.</w:t>
      </w:r>
      <w:r w:rsidRPr="00790554">
        <w:rPr>
          <w:rFonts w:ascii="IRLotus" w:eastAsia="Times New Roman" w:hAnsi="IRLotus" w:cs="B Nazanin"/>
          <w:b/>
          <w:bCs/>
          <w:sz w:val="30"/>
          <w:szCs w:val="30"/>
          <w:rtl/>
        </w:rPr>
        <w:t xml:space="preserve"> نقش ارتباطی نهاد وکالت با مردم</w:t>
      </w:r>
    </w:p>
    <w:p w14:paraId="0AD80106" w14:textId="77777777" w:rsidR="008F001E" w:rsidRPr="00790554" w:rsidRDefault="008F001E"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t>وکلا به عنوان رابطین امام در شهر های مختلف به پرسش های شرعی، کلامی و اعتقادی مردم پاسخ می دادند مکاتبات و نامه ها را به محضر امام می رساندند و پاسخ های شفاهی را دریافت می کردند.</w:t>
      </w:r>
      <w:r w:rsidR="00474DAA" w:rsidRPr="00790554">
        <w:rPr>
          <w:rStyle w:val="FootnoteReference"/>
          <w:rFonts w:ascii="IRLotus" w:eastAsia="Times New Roman" w:hAnsi="IRLotus" w:cs="B Nazanin"/>
          <w:sz w:val="30"/>
          <w:szCs w:val="30"/>
          <w:rtl/>
        </w:rPr>
        <w:footnoteReference w:id="6"/>
      </w:r>
    </w:p>
    <w:p w14:paraId="1BAC05DE" w14:textId="77777777" w:rsidR="008F001E" w:rsidRPr="00790554" w:rsidRDefault="008F001E"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t>با توجه به چنین ضرورت و کارکردی بود که امام حسن عسگری(ع)، نمایندگان مورد اعتمادی را منصوب می نمود تا برای حل مشکلات دینی و دنیوی شیعیان، رابطه میان آن حضرت و آنان باشند و شیعیان با موضوع مراجعه به نمایندگان، مأنوس شوند. این مطلب از نامه ای که آن حضرت به «احمد بن اسحاق اشعری» نوشت و در آن، نمایندة مورد اعتماد و امین خود، «عثمان بن سعید عمری» را مورد تأیید و حمایت قرار داد، بر می آید؛ امام عسگری(ع)، در آن نامه فرمود: « ابوعمر، ثقه، امین و مورد اعتماد امام قبلی بوده و در زندگی و پس از مرگ من نیز مورد اعتماد من است، سخنش را بشنو و از او اطاعت کن؛ زیرا او مورد اعتماد و امین است».</w:t>
      </w:r>
      <w:r w:rsidR="00474DAA" w:rsidRPr="00790554">
        <w:rPr>
          <w:rStyle w:val="FootnoteReference"/>
          <w:rFonts w:ascii="IRLotus" w:eastAsia="Times New Roman" w:hAnsi="IRLotus" w:cs="B Nazanin"/>
          <w:sz w:val="30"/>
          <w:szCs w:val="30"/>
          <w:rtl/>
        </w:rPr>
        <w:footnoteReference w:id="7"/>
      </w:r>
    </w:p>
    <w:p w14:paraId="3169E273" w14:textId="77777777" w:rsidR="008F001E" w:rsidRPr="00790554" w:rsidRDefault="008F001E" w:rsidP="0087261F">
      <w:pPr>
        <w:bidi/>
        <w:spacing w:before="100" w:beforeAutospacing="1" w:after="100" w:afterAutospacing="1" w:line="240" w:lineRule="auto"/>
        <w:rPr>
          <w:rFonts w:ascii="IRLotus" w:eastAsia="Times New Roman" w:hAnsi="IRLotus" w:cs="B Nazanin"/>
          <w:sz w:val="30"/>
          <w:szCs w:val="30"/>
          <w:rtl/>
        </w:rPr>
      </w:pPr>
      <w:r w:rsidRPr="00790554">
        <w:rPr>
          <w:rFonts w:ascii="IRLotus" w:eastAsia="Times New Roman" w:hAnsi="IRLotus" w:cs="B Nazanin"/>
          <w:sz w:val="30"/>
          <w:szCs w:val="30"/>
          <w:rtl/>
        </w:rPr>
        <w:t xml:space="preserve">امام حسن عسگری(ع)، به جهت حفظ و نگهداری اموال مسلمانان، بیم از تباه شدن و از بین رفتن آنها و نیز برای دریافت حقوق شرعی از مردم و توزیع آنها میان نیازمندان و تهیدستان، نمایندگان و وکلایی تعیین فرموده بود تا شیعیان برای حل مشکلات شرعی و اجتماعی خود به آنها پناه ببرند. ایشان به بعضی از وکلای خود مانند «ابراهیم بن عبده نیشابوری» فرمان داد تا حقوق شرعی را به آن حضرت برسانند. همین طور «عثمان بن سعید عمری» را به عنوان وکیل تامّ الاختیار خود در بغداد تعیین فرمود، به مردم و همه وکلا دستور داد تا با او در ارتباط باشند و همه حقوق واجب الهی و دیگر وجوهی را </w:t>
      </w:r>
      <w:r w:rsidR="00474DAA" w:rsidRPr="00790554">
        <w:rPr>
          <w:rFonts w:ascii="IRLotus" w:eastAsia="Times New Roman" w:hAnsi="IRLotus" w:cs="B Nazanin"/>
          <w:sz w:val="30"/>
          <w:szCs w:val="30"/>
          <w:rtl/>
        </w:rPr>
        <w:t>که نزدشان است به او تحویل دهند.</w:t>
      </w:r>
      <w:r w:rsidR="00474DAA" w:rsidRPr="00790554">
        <w:rPr>
          <w:rStyle w:val="FootnoteReference"/>
          <w:rFonts w:ascii="IRLotus" w:eastAsia="Times New Roman" w:hAnsi="IRLotus" w:cs="B Nazanin"/>
          <w:sz w:val="30"/>
          <w:szCs w:val="30"/>
          <w:rtl/>
        </w:rPr>
        <w:footnoteReference w:id="8"/>
      </w:r>
    </w:p>
    <w:p w14:paraId="46213696" w14:textId="77777777" w:rsidR="00A06BA0" w:rsidRPr="00790554" w:rsidRDefault="008F001E" w:rsidP="0087261F">
      <w:pPr>
        <w:bidi/>
        <w:spacing w:before="100" w:beforeAutospacing="1" w:after="100" w:afterAutospacing="1" w:line="240" w:lineRule="auto"/>
        <w:rPr>
          <w:rFonts w:ascii="IRLotus" w:eastAsia="Times New Roman" w:hAnsi="IRLotus" w:cs="B Nazanin"/>
          <w:sz w:val="30"/>
          <w:szCs w:val="30"/>
          <w:lang w:bidi="fa-IR"/>
        </w:rPr>
      </w:pPr>
      <w:r w:rsidRPr="00790554">
        <w:rPr>
          <w:rFonts w:ascii="IRLotus" w:eastAsia="Times New Roman" w:hAnsi="IRLotus" w:cs="B Nazanin"/>
          <w:sz w:val="30"/>
          <w:szCs w:val="30"/>
          <w:rtl/>
        </w:rPr>
        <w:t>با وجود این، امام عسگری(ع)، کارهای انجام شده توسط وکلا را زیر نظر داشتند و به هیچ عنوان از اعمال آنها غافل نبودند و بدین سان، فرهنگ باور به امام غایب و رجوع به نائبان را</w:t>
      </w:r>
      <w:r w:rsidR="00474DAA" w:rsidRPr="00790554">
        <w:rPr>
          <w:rFonts w:ascii="IRLotus" w:eastAsia="Times New Roman" w:hAnsi="IRLotus" w:cs="B Nazanin"/>
          <w:sz w:val="30"/>
          <w:szCs w:val="30"/>
          <w:rtl/>
        </w:rPr>
        <w:t xml:space="preserve"> در میان شعیه، نهادینه فرمودند.</w:t>
      </w:r>
    </w:p>
    <w:sectPr w:rsidR="00A06BA0" w:rsidRPr="00790554">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7122" w14:textId="77777777" w:rsidR="00F1583D" w:rsidRDefault="00F1583D" w:rsidP="00474DAA">
      <w:pPr>
        <w:spacing w:after="0" w:line="240" w:lineRule="auto"/>
      </w:pPr>
      <w:r>
        <w:separator/>
      </w:r>
    </w:p>
  </w:endnote>
  <w:endnote w:type="continuationSeparator" w:id="0">
    <w:p w14:paraId="06CE079E" w14:textId="77777777" w:rsidR="00F1583D" w:rsidRDefault="00F1583D" w:rsidP="0047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altName w:val="Arial"/>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C1C7" w14:textId="77777777" w:rsidR="00F1583D" w:rsidRDefault="00F1583D" w:rsidP="007E2944">
      <w:pPr>
        <w:spacing w:after="0" w:line="240" w:lineRule="auto"/>
        <w:jc w:val="right"/>
      </w:pPr>
      <w:r>
        <w:separator/>
      </w:r>
    </w:p>
  </w:footnote>
  <w:footnote w:type="continuationSeparator" w:id="0">
    <w:p w14:paraId="124ADE6B" w14:textId="77777777" w:rsidR="00F1583D" w:rsidRDefault="00F1583D" w:rsidP="00474DAA">
      <w:pPr>
        <w:spacing w:after="0" w:line="240" w:lineRule="auto"/>
      </w:pPr>
      <w:r>
        <w:continuationSeparator/>
      </w:r>
    </w:p>
  </w:footnote>
  <w:footnote w:id="1">
    <w:p w14:paraId="7ECB74F0" w14:textId="77777777" w:rsidR="00474DAA" w:rsidRPr="0087261F" w:rsidRDefault="00474DAA" w:rsidP="0087261F">
      <w:pPr>
        <w:pStyle w:val="FootnoteText"/>
        <w:bidi/>
        <w:rPr>
          <w:lang w:bidi="fa-IR"/>
        </w:rPr>
      </w:pPr>
      <w:r w:rsidRPr="0087261F">
        <w:rPr>
          <w:rStyle w:val="FootnoteReference"/>
        </w:rPr>
        <w:footnoteRef/>
      </w:r>
      <w:r w:rsidRPr="0087261F">
        <w:t xml:space="preserve"> </w:t>
      </w:r>
      <w:r w:rsidRPr="0087261F">
        <w:rPr>
          <w:rtl/>
        </w:rPr>
        <w:t>تاریخ عصر غیبت، ص139</w:t>
      </w:r>
    </w:p>
  </w:footnote>
  <w:footnote w:id="2">
    <w:p w14:paraId="5E5227FA" w14:textId="77777777" w:rsidR="00474DAA" w:rsidRPr="0087261F" w:rsidRDefault="00474DAA" w:rsidP="0087261F">
      <w:pPr>
        <w:pStyle w:val="FootnoteText"/>
        <w:bidi/>
        <w:rPr>
          <w:lang w:bidi="fa-IR"/>
        </w:rPr>
      </w:pPr>
      <w:r w:rsidRPr="0087261F">
        <w:rPr>
          <w:rStyle w:val="FootnoteReference"/>
        </w:rPr>
        <w:footnoteRef/>
      </w:r>
      <w:r w:rsidRPr="0087261F">
        <w:t xml:space="preserve"> </w:t>
      </w:r>
      <w:r w:rsidRPr="0087261F">
        <w:rPr>
          <w:rtl/>
        </w:rPr>
        <w:t>همان، ص140</w:t>
      </w:r>
    </w:p>
  </w:footnote>
  <w:footnote w:id="3">
    <w:p w14:paraId="10D4875A" w14:textId="77777777" w:rsidR="00474DAA" w:rsidRPr="0087261F" w:rsidRDefault="00474DAA" w:rsidP="0087261F">
      <w:pPr>
        <w:pStyle w:val="FootnoteText"/>
        <w:bidi/>
        <w:rPr>
          <w:lang w:bidi="fa-IR"/>
        </w:rPr>
      </w:pPr>
      <w:r w:rsidRPr="0087261F">
        <w:rPr>
          <w:rStyle w:val="FootnoteReference"/>
        </w:rPr>
        <w:footnoteRef/>
      </w:r>
      <w:r w:rsidRPr="0087261F">
        <w:t xml:space="preserve"> </w:t>
      </w:r>
      <w:r w:rsidRPr="0087261F">
        <w:rPr>
          <w:rtl/>
        </w:rPr>
        <w:t>همان، ص141</w:t>
      </w:r>
    </w:p>
  </w:footnote>
  <w:footnote w:id="4">
    <w:p w14:paraId="44593FE4" w14:textId="77777777" w:rsidR="00474DAA" w:rsidRPr="0087261F" w:rsidRDefault="00474DAA" w:rsidP="0087261F">
      <w:pPr>
        <w:pStyle w:val="FootnoteText"/>
        <w:bidi/>
        <w:rPr>
          <w:lang w:bidi="fa-IR"/>
        </w:rPr>
      </w:pPr>
      <w:r w:rsidRPr="0087261F">
        <w:rPr>
          <w:rStyle w:val="FootnoteReference"/>
        </w:rPr>
        <w:footnoteRef/>
      </w:r>
      <w:r w:rsidRPr="0087261F">
        <w:t xml:space="preserve"> </w:t>
      </w:r>
      <w:r w:rsidRPr="0087261F">
        <w:rPr>
          <w:rFonts w:cs="Arial" w:hint="cs"/>
          <w:rtl/>
          <w:lang w:bidi="fa-IR"/>
        </w:rPr>
        <w:t>همان،</w:t>
      </w:r>
      <w:r w:rsidRPr="0087261F">
        <w:rPr>
          <w:rFonts w:cs="Arial"/>
          <w:rtl/>
          <w:lang w:bidi="fa-IR"/>
        </w:rPr>
        <w:t xml:space="preserve"> </w:t>
      </w:r>
      <w:r w:rsidRPr="0087261F">
        <w:rPr>
          <w:rFonts w:cs="Arial" w:hint="cs"/>
          <w:rtl/>
          <w:lang w:bidi="fa-IR"/>
        </w:rPr>
        <w:t>ص</w:t>
      </w:r>
      <w:r w:rsidRPr="0087261F">
        <w:rPr>
          <w:rFonts w:cs="Arial"/>
          <w:rtl/>
          <w:lang w:bidi="fa-IR"/>
        </w:rPr>
        <w:t xml:space="preserve">142 </w:t>
      </w:r>
      <w:r w:rsidRPr="0087261F">
        <w:rPr>
          <w:rFonts w:cs="Arial" w:hint="cs"/>
          <w:rtl/>
          <w:lang w:bidi="fa-IR"/>
        </w:rPr>
        <w:t>ـ</w:t>
      </w:r>
      <w:r w:rsidRPr="0087261F">
        <w:rPr>
          <w:rFonts w:cs="Arial"/>
          <w:rtl/>
          <w:lang w:bidi="fa-IR"/>
        </w:rPr>
        <w:t xml:space="preserve"> 143</w:t>
      </w:r>
    </w:p>
  </w:footnote>
  <w:footnote w:id="5">
    <w:p w14:paraId="2EF4F083" w14:textId="77777777" w:rsidR="00474DAA" w:rsidRPr="0087261F" w:rsidRDefault="00474DAA" w:rsidP="0087261F">
      <w:pPr>
        <w:pStyle w:val="FootnoteText"/>
        <w:bidi/>
        <w:rPr>
          <w:lang w:bidi="fa-IR"/>
        </w:rPr>
      </w:pPr>
      <w:r w:rsidRPr="0087261F">
        <w:rPr>
          <w:rStyle w:val="FootnoteReference"/>
        </w:rPr>
        <w:footnoteRef/>
      </w:r>
      <w:r w:rsidRPr="0087261F">
        <w:t xml:space="preserve"> </w:t>
      </w:r>
      <w:r w:rsidRPr="0087261F">
        <w:rPr>
          <w:rtl/>
        </w:rPr>
        <w:t>بحار الانوار، ج51، ص336؛ کمال الدین و تمام النعمة، ج2، ص504</w:t>
      </w:r>
    </w:p>
  </w:footnote>
  <w:footnote w:id="6">
    <w:p w14:paraId="05BB8D89" w14:textId="77777777" w:rsidR="00474DAA" w:rsidRPr="0087261F" w:rsidRDefault="00474DAA" w:rsidP="0087261F">
      <w:pPr>
        <w:pStyle w:val="FootnoteText"/>
        <w:bidi/>
        <w:rPr>
          <w:lang w:bidi="fa-IR"/>
        </w:rPr>
      </w:pPr>
      <w:r w:rsidRPr="0087261F">
        <w:rPr>
          <w:rStyle w:val="FootnoteReference"/>
        </w:rPr>
        <w:footnoteRef/>
      </w:r>
      <w:r w:rsidRPr="0087261F">
        <w:rPr>
          <w:rtl/>
        </w:rPr>
        <w:t>تاریخ عصر غیبت، ص46-147</w:t>
      </w:r>
      <w:r w:rsidRPr="0087261F">
        <w:t xml:space="preserve"> </w:t>
      </w:r>
    </w:p>
  </w:footnote>
  <w:footnote w:id="7">
    <w:p w14:paraId="0731803D" w14:textId="77777777" w:rsidR="00474DAA" w:rsidRPr="0087261F" w:rsidRDefault="00474DAA" w:rsidP="0087261F">
      <w:pPr>
        <w:pStyle w:val="FootnoteText"/>
        <w:bidi/>
        <w:rPr>
          <w:lang w:bidi="fa-IR"/>
        </w:rPr>
      </w:pPr>
      <w:r w:rsidRPr="0087261F">
        <w:rPr>
          <w:rStyle w:val="FootnoteReference"/>
        </w:rPr>
        <w:footnoteRef/>
      </w:r>
      <w:r w:rsidRPr="0087261F">
        <w:rPr>
          <w:rtl/>
        </w:rPr>
        <w:t>الغیبة، شیخ طوسی، ص354</w:t>
      </w:r>
      <w:r w:rsidRPr="0087261F">
        <w:t xml:space="preserve"> </w:t>
      </w:r>
    </w:p>
  </w:footnote>
  <w:footnote w:id="8">
    <w:p w14:paraId="111151DF" w14:textId="77777777" w:rsidR="00474DAA" w:rsidRPr="0087261F" w:rsidRDefault="00474DAA" w:rsidP="0087261F">
      <w:pPr>
        <w:pStyle w:val="FootnoteText"/>
        <w:bidi/>
        <w:rPr>
          <w:lang w:bidi="fa-IR"/>
        </w:rPr>
      </w:pPr>
      <w:r w:rsidRPr="0087261F">
        <w:rPr>
          <w:rStyle w:val="FootnoteReference"/>
        </w:rPr>
        <w:footnoteRef/>
      </w:r>
      <w:r w:rsidRPr="0087261F">
        <w:t xml:space="preserve"> </w:t>
      </w:r>
      <w:r w:rsidRPr="0087261F">
        <w:rPr>
          <w:rtl/>
        </w:rPr>
        <w:t>با خورشید سامرا، ص298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56842"/>
    <w:multiLevelType w:val="hybridMultilevel"/>
    <w:tmpl w:val="DA06BF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70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1E"/>
    <w:rsid w:val="00123303"/>
    <w:rsid w:val="00234B65"/>
    <w:rsid w:val="00441FB2"/>
    <w:rsid w:val="00474DAA"/>
    <w:rsid w:val="007314FE"/>
    <w:rsid w:val="00790554"/>
    <w:rsid w:val="007E2944"/>
    <w:rsid w:val="0087261F"/>
    <w:rsid w:val="008F001E"/>
    <w:rsid w:val="00A06BA0"/>
    <w:rsid w:val="00CA7ACF"/>
    <w:rsid w:val="00ED5A76"/>
    <w:rsid w:val="00F15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2A2C"/>
  <w15:docId w15:val="{F4D4FA56-0532-41C0-B0FF-013F6FE7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00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F00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F001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001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F00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F001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F00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001E"/>
    <w:rPr>
      <w:color w:val="0000FF"/>
      <w:u w:val="single"/>
    </w:rPr>
  </w:style>
  <w:style w:type="paragraph" w:styleId="FootnoteText">
    <w:name w:val="footnote text"/>
    <w:basedOn w:val="Normal"/>
    <w:link w:val="FootnoteTextChar"/>
    <w:uiPriority w:val="99"/>
    <w:semiHidden/>
    <w:unhideWhenUsed/>
    <w:rsid w:val="00474D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DAA"/>
    <w:rPr>
      <w:sz w:val="20"/>
      <w:szCs w:val="20"/>
    </w:rPr>
  </w:style>
  <w:style w:type="character" w:styleId="FootnoteReference">
    <w:name w:val="footnote reference"/>
    <w:basedOn w:val="DefaultParagraphFont"/>
    <w:uiPriority w:val="99"/>
    <w:semiHidden/>
    <w:unhideWhenUsed/>
    <w:rsid w:val="00474DAA"/>
    <w:rPr>
      <w:vertAlign w:val="superscript"/>
    </w:rPr>
  </w:style>
  <w:style w:type="paragraph" w:styleId="EndnoteText">
    <w:name w:val="endnote text"/>
    <w:basedOn w:val="Normal"/>
    <w:link w:val="EndnoteTextChar"/>
    <w:uiPriority w:val="99"/>
    <w:semiHidden/>
    <w:unhideWhenUsed/>
    <w:rsid w:val="00474D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4DAA"/>
    <w:rPr>
      <w:sz w:val="20"/>
      <w:szCs w:val="20"/>
    </w:rPr>
  </w:style>
  <w:style w:type="character" w:styleId="EndnoteReference">
    <w:name w:val="endnote reference"/>
    <w:basedOn w:val="DefaultParagraphFont"/>
    <w:uiPriority w:val="99"/>
    <w:semiHidden/>
    <w:unhideWhenUsed/>
    <w:rsid w:val="00474DAA"/>
    <w:rPr>
      <w:vertAlign w:val="superscript"/>
    </w:rPr>
  </w:style>
  <w:style w:type="paragraph" w:styleId="ListParagraph">
    <w:name w:val="List Paragraph"/>
    <w:basedOn w:val="Normal"/>
    <w:uiPriority w:val="34"/>
    <w:qFormat/>
    <w:rsid w:val="00790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44994">
      <w:bodyDiv w:val="1"/>
      <w:marLeft w:val="0"/>
      <w:marRight w:val="0"/>
      <w:marTop w:val="0"/>
      <w:marBottom w:val="0"/>
      <w:divBdr>
        <w:top w:val="none" w:sz="0" w:space="0" w:color="auto"/>
        <w:left w:val="none" w:sz="0" w:space="0" w:color="auto"/>
        <w:bottom w:val="none" w:sz="0" w:space="0" w:color="auto"/>
        <w:right w:val="none" w:sz="0" w:space="0" w:color="auto"/>
      </w:divBdr>
      <w:divsChild>
        <w:div w:id="499124945">
          <w:blockQuote w:val="1"/>
          <w:marLeft w:val="720"/>
          <w:marRight w:val="150"/>
          <w:marTop w:val="100"/>
          <w:marBottom w:val="100"/>
          <w:divBdr>
            <w:top w:val="none" w:sz="0" w:space="0" w:color="auto"/>
            <w:left w:val="none" w:sz="0" w:space="0" w:color="auto"/>
            <w:bottom w:val="none" w:sz="0" w:space="0" w:color="auto"/>
            <w:right w:val="none" w:sz="0" w:space="0" w:color="auto"/>
          </w:divBdr>
          <w:divsChild>
            <w:div w:id="1728526224">
              <w:marLeft w:val="0"/>
              <w:marRight w:val="0"/>
              <w:marTop w:val="0"/>
              <w:marBottom w:val="0"/>
              <w:divBdr>
                <w:top w:val="none" w:sz="0" w:space="0" w:color="auto"/>
                <w:left w:val="none" w:sz="0" w:space="0" w:color="auto"/>
                <w:bottom w:val="none" w:sz="0" w:space="0" w:color="auto"/>
                <w:right w:val="none" w:sz="0" w:space="0" w:color="auto"/>
              </w:divBdr>
              <w:divsChild>
                <w:div w:id="1115061686">
                  <w:marLeft w:val="0"/>
                  <w:marRight w:val="0"/>
                  <w:marTop w:val="0"/>
                  <w:marBottom w:val="0"/>
                  <w:divBdr>
                    <w:top w:val="none" w:sz="0" w:space="0" w:color="auto"/>
                    <w:left w:val="none" w:sz="0" w:space="0" w:color="auto"/>
                    <w:bottom w:val="none" w:sz="0" w:space="0" w:color="auto"/>
                    <w:right w:val="none" w:sz="0" w:space="0" w:color="auto"/>
                  </w:divBdr>
                  <w:divsChild>
                    <w:div w:id="1548643234">
                      <w:marLeft w:val="0"/>
                      <w:marRight w:val="0"/>
                      <w:marTop w:val="0"/>
                      <w:marBottom w:val="0"/>
                      <w:divBdr>
                        <w:top w:val="none" w:sz="0" w:space="0" w:color="auto"/>
                        <w:left w:val="none" w:sz="0" w:space="0" w:color="auto"/>
                        <w:bottom w:val="none" w:sz="0" w:space="0" w:color="auto"/>
                        <w:right w:val="none" w:sz="0" w:space="0" w:color="auto"/>
                      </w:divBdr>
                    </w:div>
                    <w:div w:id="108017593">
                      <w:marLeft w:val="0"/>
                      <w:marRight w:val="0"/>
                      <w:marTop w:val="0"/>
                      <w:marBottom w:val="0"/>
                      <w:divBdr>
                        <w:top w:val="none" w:sz="0" w:space="0" w:color="auto"/>
                        <w:left w:val="none" w:sz="0" w:space="0" w:color="auto"/>
                        <w:bottom w:val="none" w:sz="0" w:space="0" w:color="auto"/>
                        <w:right w:val="none" w:sz="0" w:space="0" w:color="auto"/>
                      </w:divBdr>
                      <w:divsChild>
                        <w:div w:id="1422024210">
                          <w:marLeft w:val="0"/>
                          <w:marRight w:val="0"/>
                          <w:marTop w:val="0"/>
                          <w:marBottom w:val="0"/>
                          <w:divBdr>
                            <w:top w:val="none" w:sz="0" w:space="0" w:color="auto"/>
                            <w:left w:val="none" w:sz="0" w:space="0" w:color="auto"/>
                            <w:bottom w:val="none" w:sz="0" w:space="0" w:color="auto"/>
                            <w:right w:val="none" w:sz="0" w:space="0" w:color="auto"/>
                          </w:divBdr>
                          <w:divsChild>
                            <w:div w:id="990984705">
                              <w:marLeft w:val="0"/>
                              <w:marRight w:val="0"/>
                              <w:marTop w:val="0"/>
                              <w:marBottom w:val="0"/>
                              <w:divBdr>
                                <w:top w:val="none" w:sz="0" w:space="0" w:color="auto"/>
                                <w:left w:val="none" w:sz="0" w:space="0" w:color="auto"/>
                                <w:bottom w:val="none" w:sz="0" w:space="0" w:color="auto"/>
                                <w:right w:val="none" w:sz="0" w:space="0" w:color="auto"/>
                              </w:divBdr>
                              <w:divsChild>
                                <w:div w:id="1139759368">
                                  <w:marLeft w:val="0"/>
                                  <w:marRight w:val="0"/>
                                  <w:marTop w:val="0"/>
                                  <w:marBottom w:val="0"/>
                                  <w:divBdr>
                                    <w:top w:val="none" w:sz="0" w:space="0" w:color="auto"/>
                                    <w:left w:val="none" w:sz="0" w:space="0" w:color="auto"/>
                                    <w:bottom w:val="none" w:sz="0" w:space="0" w:color="auto"/>
                                    <w:right w:val="none" w:sz="0" w:space="0" w:color="auto"/>
                                  </w:divBdr>
                                  <w:divsChild>
                                    <w:div w:id="10673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057210">
                      <w:marLeft w:val="0"/>
                      <w:marRight w:val="0"/>
                      <w:marTop w:val="0"/>
                      <w:marBottom w:val="0"/>
                      <w:divBdr>
                        <w:top w:val="none" w:sz="0" w:space="0" w:color="auto"/>
                        <w:left w:val="none" w:sz="0" w:space="0" w:color="auto"/>
                        <w:bottom w:val="none" w:sz="0" w:space="0" w:color="auto"/>
                        <w:right w:val="none" w:sz="0" w:space="0" w:color="auto"/>
                      </w:divBdr>
                      <w:divsChild>
                        <w:div w:id="544870615">
                          <w:marLeft w:val="0"/>
                          <w:marRight w:val="0"/>
                          <w:marTop w:val="0"/>
                          <w:marBottom w:val="0"/>
                          <w:divBdr>
                            <w:top w:val="none" w:sz="0" w:space="0" w:color="auto"/>
                            <w:left w:val="none" w:sz="0" w:space="0" w:color="auto"/>
                            <w:bottom w:val="none" w:sz="0" w:space="0" w:color="auto"/>
                            <w:right w:val="none" w:sz="0" w:space="0" w:color="auto"/>
                          </w:divBdr>
                          <w:divsChild>
                            <w:div w:id="1526019977">
                              <w:marLeft w:val="0"/>
                              <w:marRight w:val="0"/>
                              <w:marTop w:val="0"/>
                              <w:marBottom w:val="0"/>
                              <w:divBdr>
                                <w:top w:val="none" w:sz="0" w:space="0" w:color="auto"/>
                                <w:left w:val="none" w:sz="0" w:space="0" w:color="auto"/>
                                <w:bottom w:val="none" w:sz="0" w:space="0" w:color="auto"/>
                                <w:right w:val="none" w:sz="0" w:space="0" w:color="auto"/>
                              </w:divBdr>
                              <w:divsChild>
                                <w:div w:id="1555922253">
                                  <w:marLeft w:val="0"/>
                                  <w:marRight w:val="0"/>
                                  <w:marTop w:val="0"/>
                                  <w:marBottom w:val="0"/>
                                  <w:divBdr>
                                    <w:top w:val="none" w:sz="0" w:space="0" w:color="auto"/>
                                    <w:left w:val="none" w:sz="0" w:space="0" w:color="auto"/>
                                    <w:bottom w:val="none" w:sz="0" w:space="0" w:color="auto"/>
                                    <w:right w:val="none" w:sz="0" w:space="0" w:color="auto"/>
                                  </w:divBdr>
                                </w:div>
                                <w:div w:id="7029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5957">
                      <w:marLeft w:val="0"/>
                      <w:marRight w:val="0"/>
                      <w:marTop w:val="0"/>
                      <w:marBottom w:val="0"/>
                      <w:divBdr>
                        <w:top w:val="none" w:sz="0" w:space="0" w:color="auto"/>
                        <w:left w:val="none" w:sz="0" w:space="0" w:color="auto"/>
                        <w:bottom w:val="none" w:sz="0" w:space="0" w:color="auto"/>
                        <w:right w:val="none" w:sz="0" w:space="0" w:color="auto"/>
                      </w:divBdr>
                      <w:divsChild>
                        <w:div w:id="1868367707">
                          <w:marLeft w:val="0"/>
                          <w:marRight w:val="0"/>
                          <w:marTop w:val="0"/>
                          <w:marBottom w:val="0"/>
                          <w:divBdr>
                            <w:top w:val="none" w:sz="0" w:space="0" w:color="auto"/>
                            <w:left w:val="none" w:sz="0" w:space="0" w:color="auto"/>
                            <w:bottom w:val="none" w:sz="0" w:space="0" w:color="auto"/>
                            <w:right w:val="none" w:sz="0" w:space="0" w:color="auto"/>
                          </w:divBdr>
                        </w:div>
                        <w:div w:id="660962537">
                          <w:marLeft w:val="0"/>
                          <w:marRight w:val="0"/>
                          <w:marTop w:val="0"/>
                          <w:marBottom w:val="0"/>
                          <w:divBdr>
                            <w:top w:val="none" w:sz="0" w:space="0" w:color="auto"/>
                            <w:left w:val="none" w:sz="0" w:space="0" w:color="auto"/>
                            <w:bottom w:val="none" w:sz="0" w:space="0" w:color="auto"/>
                            <w:right w:val="none" w:sz="0" w:space="0" w:color="auto"/>
                          </w:divBdr>
                        </w:div>
                        <w:div w:id="471293463">
                          <w:marLeft w:val="0"/>
                          <w:marRight w:val="0"/>
                          <w:marTop w:val="0"/>
                          <w:marBottom w:val="0"/>
                          <w:divBdr>
                            <w:top w:val="none" w:sz="0" w:space="0" w:color="auto"/>
                            <w:left w:val="none" w:sz="0" w:space="0" w:color="auto"/>
                            <w:bottom w:val="none" w:sz="0" w:space="0" w:color="auto"/>
                            <w:right w:val="none" w:sz="0" w:space="0" w:color="auto"/>
                          </w:divBdr>
                        </w:div>
                        <w:div w:id="1080713783">
                          <w:marLeft w:val="0"/>
                          <w:marRight w:val="0"/>
                          <w:marTop w:val="0"/>
                          <w:marBottom w:val="0"/>
                          <w:divBdr>
                            <w:top w:val="none" w:sz="0" w:space="0" w:color="auto"/>
                            <w:left w:val="none" w:sz="0" w:space="0" w:color="auto"/>
                            <w:bottom w:val="none" w:sz="0" w:space="0" w:color="auto"/>
                            <w:right w:val="none" w:sz="0" w:space="0" w:color="auto"/>
                          </w:divBdr>
                        </w:div>
                        <w:div w:id="1784575695">
                          <w:marLeft w:val="0"/>
                          <w:marRight w:val="0"/>
                          <w:marTop w:val="0"/>
                          <w:marBottom w:val="0"/>
                          <w:divBdr>
                            <w:top w:val="none" w:sz="0" w:space="0" w:color="auto"/>
                            <w:left w:val="none" w:sz="0" w:space="0" w:color="auto"/>
                            <w:bottom w:val="none" w:sz="0" w:space="0" w:color="auto"/>
                            <w:right w:val="none" w:sz="0" w:space="0" w:color="auto"/>
                          </w:divBdr>
                        </w:div>
                        <w:div w:id="2088261878">
                          <w:marLeft w:val="0"/>
                          <w:marRight w:val="0"/>
                          <w:marTop w:val="0"/>
                          <w:marBottom w:val="0"/>
                          <w:divBdr>
                            <w:top w:val="none" w:sz="0" w:space="0" w:color="auto"/>
                            <w:left w:val="none" w:sz="0" w:space="0" w:color="auto"/>
                            <w:bottom w:val="none" w:sz="0" w:space="0" w:color="auto"/>
                            <w:right w:val="none" w:sz="0" w:space="0" w:color="auto"/>
                          </w:divBdr>
                        </w:div>
                        <w:div w:id="1949044680">
                          <w:marLeft w:val="0"/>
                          <w:marRight w:val="0"/>
                          <w:marTop w:val="0"/>
                          <w:marBottom w:val="0"/>
                          <w:divBdr>
                            <w:top w:val="none" w:sz="0" w:space="0" w:color="auto"/>
                            <w:left w:val="none" w:sz="0" w:space="0" w:color="auto"/>
                            <w:bottom w:val="none" w:sz="0" w:space="0" w:color="auto"/>
                            <w:right w:val="none" w:sz="0" w:space="0" w:color="auto"/>
                          </w:divBdr>
                        </w:div>
                        <w:div w:id="34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DBA1-7361-45FF-A510-0CBE6B48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Pasokhgoian2</dc:creator>
  <cp:keywords/>
  <dc:description/>
  <cp:lastModifiedBy>Taghi Hatami</cp:lastModifiedBy>
  <cp:revision>10</cp:revision>
  <dcterms:created xsi:type="dcterms:W3CDTF">2018-10-20T07:03:00Z</dcterms:created>
  <dcterms:modified xsi:type="dcterms:W3CDTF">2023-09-13T05:40:00Z</dcterms:modified>
</cp:coreProperties>
</file>