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E95F" w14:textId="4A836E3E" w:rsidR="00267C36" w:rsidRPr="00267C36" w:rsidRDefault="00267C36" w:rsidP="00267C36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267C3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267C36">
        <w:rPr>
          <w:rFonts w:ascii="Traditional Arabic" w:hAnsi="Traditional Arabic" w:cs="Traditional Arabic"/>
          <w:sz w:val="26"/>
          <w:szCs w:val="26"/>
          <w:rtl/>
        </w:rPr>
        <w:t xml:space="preserve"> قاعده اتلاف/</w:t>
      </w:r>
      <w:r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bookmarkStart w:id="0" w:name="_GoBack"/>
      <w:bookmarkEnd w:id="0"/>
      <w:r w:rsidRPr="00267C36">
        <w:rPr>
          <w:rFonts w:ascii="Traditional Arabic" w:hAnsi="Traditional Arabic" w:cs="Traditional Arabic"/>
          <w:sz w:val="26"/>
          <w:szCs w:val="26"/>
          <w:rtl/>
        </w:rPr>
        <w:t>قواعد فقهیه</w:t>
      </w:r>
    </w:p>
    <w:p w14:paraId="3C931D94" w14:textId="0C90DC08" w:rsidR="00275B9E" w:rsidRPr="00267C36" w:rsidRDefault="00CE7FF2" w:rsidP="00AF4F69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کلام</w:t>
      </w:r>
      <w:r w:rsidR="00C05597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قاعده ید و سوق المسلمین بود. شباهت این دو قاعده در این است که هردو اماره بر تذکی</w:t>
      </w:r>
      <w:r w:rsidR="00AF4F69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C05597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هستند اما تفاوتی هم با هم دارند. </w:t>
      </w:r>
      <w:r w:rsidR="00AF4F69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در قاعده ید مسلمان بودن ذی الید شرط است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AF4F69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A107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در قاعده سوق همین که غالب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اهل سوق </w:t>
      </w:r>
      <w:r w:rsidR="00CA107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مسلمان باشند کافی است ولو اینکه ندانیم این فروشنده ای که داریم از او جنس میخریم مسلمان است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خیر</w:t>
      </w:r>
      <w:r w:rsidR="00CA107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EE19B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670C48AF" w14:textId="77777777" w:rsidR="00CE7FF2" w:rsidRPr="00267C36" w:rsidRDefault="00EE19B5" w:rsidP="00CE7FF2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بحثی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طهارت و نجاست داشتیم. گفتیم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 در جایی که مستصحب ال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نجاسه نیست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اصاله الطهاره جاری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و دیگر نیازی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به قاعده ید نیست. اما مشکل در موردی است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قطع داریم حالت سابقه نجاست است اما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بینیم که یک مسلمانی خبر از طهارت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دهد یا اینکه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مورد استصحابی را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در جایی که مشروط به طهارت است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استعمال می کند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اینجا هم قاعده ید کفایت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کند و این همان قاعده غیبت مسلم است. مثلا لباس شخص مسلمانی نجس شده بود و بعد از نجاست لباس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غائب شد.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وقتی برگشت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دیدیم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آن لباس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نماز خواند این کشف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کند که لباس را آبکشی کرده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63CBDCDF" w14:textId="77777777" w:rsidR="00E853F4" w:rsidRPr="00267C36" w:rsidRDefault="00EE19B5" w:rsidP="00E853F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در مورد خصوص ذهاب ثلثین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روایاتی داشتیم.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که غلیان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کرده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حرام می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البته در اینکه نجس هم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نه اختلافی است. مرحوم امام قائل به نجاست نبود. حال اگر کسی آمد و گفت این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مغلی را من ذهاب ثلثین کردم . آیا می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صرف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إخبار 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مسلمانی از طهارت و حلیت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31F6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اکتفا کنیم؟</w:t>
      </w:r>
    </w:p>
    <w:p w14:paraId="6EE22470" w14:textId="37CF24B3" w:rsidR="00EE19B5" w:rsidRPr="00267C36" w:rsidRDefault="00431F62" w:rsidP="00E853F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روایات این باب را که بررسی کردیم دیدیم که صرف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إخبار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را کافی نمی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دانستند بلکه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لازم است تا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قرائن دال بر این مدعی را هم مورد توجه قرار </w:t>
      </w:r>
      <w:r w:rsidR="00E853F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دهیم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2A33A64B" w14:textId="77777777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267C3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بررسی روایات</w:t>
      </w:r>
    </w:p>
    <w:p w14:paraId="7DA2704A" w14:textId="77777777" w:rsidR="0061391E" w:rsidRPr="00267C36" w:rsidRDefault="00431F62" w:rsidP="0061391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محمد بن يعقوب، عن علي بن إبراهيم، عن أبيه، عن ابن أبي عميرعن الحسن بن عطية، عن عمر بن يزيد قال: قلت لأبي عبد الله عليه السلام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: 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الرجل يهدى إليه البختج من غير أصحابنا فقال: إن كان ممن يستحل المسكر فلا تشربه، وإن كان ممن لا يستحل فاشربه</w:t>
      </w:r>
      <w:r w:rsidRPr="00267C3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t>.</w:t>
      </w:r>
      <w:r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footnoteReference w:id="1"/>
      </w:r>
      <w:r w:rsidRPr="00267C3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t xml:space="preserve"> </w:t>
      </w:r>
    </w:p>
    <w:p w14:paraId="1A7F4FBC" w14:textId="429D96FA" w:rsidR="00431F62" w:rsidRPr="00267C36" w:rsidRDefault="00431F62" w:rsidP="00BB01E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امام صادق عرض کردم که به شخصی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که پخته شده است هدیه داده اند و آن</w:t>
      </w:r>
      <w:r w:rsidR="0061391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 هدیه دهنده هم شیعه نبوده.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حضرت فرمود</w:t>
      </w:r>
      <w:r w:rsidR="0061391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آن شخص هدیه دهنده از آن دسته ای است که شراب را حلال می</w:t>
      </w:r>
      <w:r w:rsidR="00BB01E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دانند</w:t>
      </w:r>
      <w:r w:rsidR="00BB01E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نباید از آن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1391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بنوشد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ولی اگر در مذهب آنها هم شراب حلال نبود شرب آن جائز است. </w:t>
      </w:r>
    </w:p>
    <w:p w14:paraId="21229386" w14:textId="77777777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وعنه، عن أبيه، عن ابن أبي عمير، عن عمر بن يزيد قال: قال أبو عبد الله عليه السلام: إذا كان يخضب الاناء فاشربه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2"/>
      </w:r>
    </w:p>
    <w:p w14:paraId="4682464F" w14:textId="47C4B900" w:rsidR="00431F62" w:rsidRPr="00267C36" w:rsidRDefault="00431F62" w:rsidP="00BB01E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روایت </w:t>
      </w:r>
      <w:r w:rsidR="0061391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فوق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حضرت قیدی را اضافه می</w:t>
      </w:r>
      <w:r w:rsidR="0061391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کنند و </w:t>
      </w:r>
      <w:r w:rsidR="00BB01E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می فرماید: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آنقدر غلیظ شده بود که دیواره های ظرف رنگ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به خود می</w:t>
      </w:r>
      <w:r w:rsidR="00BB01E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گرفت معلوم است که ذهاب ثلثیه </w:t>
      </w:r>
      <w:r w:rsidR="00BB01E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انجام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شده و پاک است. </w:t>
      </w:r>
    </w:p>
    <w:p w14:paraId="3D869302" w14:textId="77777777" w:rsidR="00AC0AEA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lastRenderedPageBreak/>
        <w:t>وعن محمد بن يحيى، عن أحمد بن محمد، عن علي بن الحكم، عن معاوية بن وهب قال: سألت أبا عبد الله عليه السلام عن البختج فقال: إذا كان حلوا يخضب الاناء وقال صاحبه: قد ذهب ثلثاه وبقى الثلث فاشربه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3"/>
      </w:r>
    </w:p>
    <w:p w14:paraId="0ED01B3F" w14:textId="04E695B0" w:rsidR="00431F62" w:rsidRPr="00267C36" w:rsidRDefault="00431F62" w:rsidP="00EB377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روایت هم همان قیود سابق آورده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شده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7AE9872B" w14:textId="77EE720D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  <w:t>صحیحه معاویه بن عمار</w:t>
      </w:r>
    </w:p>
    <w:p w14:paraId="73441CFC" w14:textId="77777777" w:rsidR="00EB3776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وعنه، عن أحمد بن محمد، عن محمد بن إسماعيل، عن يونس بن يعقوب عن معاوية بن عمار قال: سألت أبا عبد الله عليه السلام عن الرجل من أهل المعرفة بالحق يأتيني بالبختج ويقول: قد طبخ على الثلث وأنا أعرف أنه يشربه على النصف أفأشربه بقوله وهو يشربه على النصف؟ فقال: لا تشربه، قلت: فرجل من غير أهل المعرفة ممن لا نعرفه يشربه على الثلث ولا يستحله على النصف يخبرنا أن عنده بختجا على الثلث قد ذهب ثلثاه وبقى ثلثه يشرب منه؟ قال: نعم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4"/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</w:p>
    <w:p w14:paraId="60B1EB7E" w14:textId="561664FB" w:rsidR="00431F62" w:rsidRPr="00267C36" w:rsidRDefault="00431F62" w:rsidP="00EB377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از امام صادق علیه السلام سوال کردم که یک شخص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شیعه برای من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پخته شده آورده و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ذهاب ثلثیه شده ولی من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دانم که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وی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آدم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لا ابالی است و خودش تا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ذهاب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نصف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شده از آن می نوشد،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آیا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می توان به حرفش اعتماد کرد؟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فرمودند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 خیر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آن نخور. عرض کردم که شخص دیگری از عامه هست که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دانم مقید است و تا به ثلث نرسیده نمی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خورد آیا به حرف او و خب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ر او اعتماد کنم. حضرت فرمودند: بله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1412980B" w14:textId="795632D8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  <w:t>صحیحه عمار</w:t>
      </w:r>
    </w:p>
    <w:p w14:paraId="24A4360A" w14:textId="68143D48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مُحَمَّدِ بْنِ أَحْمَدَ بْنِ يَحْيَى عَنْ أَحْمَدَ بْنِ الْحَسَنِ عَنْ عَمْرِو بْنِ سَعِيدٍ عَنْ مُصَدِّقٍ عَنْ عَمَّارٍ عَنْ أَبِي عَبْدِ اللَّهِ ع فِي حَدِيثٍ أَنَّهُ سُئِلَ عَنِ الرَّجُلِ يَأْتِي بِالشَّرَابِ فَيَقُولُ هَذَا مَطْبُوخٌ عَلَى الثُّلُثِ قَالَ إِنْ كَانَ مُسْلِماً وَرِعاً مُؤْمِناً فَلَا بَأْسَ أَنْ يُشْرَبَ.</w:t>
      </w:r>
      <w:r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5"/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حضرت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فرمایند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مومن باتقوی بود قول او پذیرفته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شود.</w:t>
      </w:r>
    </w:p>
    <w:p w14:paraId="4AB9DB60" w14:textId="77777777" w:rsidR="00431F62" w:rsidRPr="00267C36" w:rsidRDefault="00431F62" w:rsidP="00431F62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عَنْ عَلِيِّ بْنِ جَعْفَرٍ عَنْ أَخِيهِ قَالَ سَأَلْتُهُ عَنِ الرَّجُلِ يُصَلِّي إِلَى الْقِبْلَةِ لَا يُوثَقُ بِهِ أَتَى بِشَرَابٍ 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(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آب انگوری که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) 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يَزْعُمُ أَنَّهُ عَلَى الثُّلُثِ فَيَحِلُّ شُرْبُهُ قَالَ لَا يُصَدَّقُ إِلَّا أَنْ يَكُونَ مُسْلِماً عَارِفاً. </w:t>
      </w:r>
    </w:p>
    <w:p w14:paraId="51831525" w14:textId="19E7A4E3" w:rsidR="00E43B6E" w:rsidRPr="00267C36" w:rsidRDefault="00FD7CFB" w:rsidP="00EB377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پس درباره خصوص </w:t>
      </w:r>
      <w:r w:rsidR="00CE7FF2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اقتضای جمع بین روایات این است که قرائن صدق نیاز داریم و صرف اخبار کافی نیست. اما اگر چیز جامدی بو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 مثل لباس و مستصحب النجاسه بود و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بینیم که این لباس در دست مسلمانی است که معامله طهارت با آن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کند،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نیز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احتمال می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دهیم که آ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لباس را آبکشی کرده باشد. در اینجا قاعده 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غیبت مسلم را داریم که اماره بر تطهیر است. </w:t>
      </w:r>
    </w:p>
    <w:p w14:paraId="5AE023A7" w14:textId="77777777" w:rsidR="00C83A98" w:rsidRPr="00267C36" w:rsidRDefault="00EB3776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در مطلب دیگری ما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روایاتی را که خواندیم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بنا بر لسان آن روایات، 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سوق،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سوق مسلمین باشد حکم ب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تذکیه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شود. حال اگر سوق مسلمین نبود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ولی ارض مسلمین بود چه؟</w:t>
      </w:r>
      <w:r w:rsidR="00FD7CFB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صاحب عروه می فرماید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E43B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چیزی در سرزمین مسلمانان بود و اثر استعمال هم در آن بود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مه</w:t>
      </w:r>
      <w:r w:rsidR="00187620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یا شده بود برای استفاده کردن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187620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اینجا حکم به تذکیه آن می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187620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شود.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630D02E9" w14:textId="27E8D336" w:rsidR="00187620" w:rsidRPr="00267C36" w:rsidRDefault="00187620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خبر سکونی 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هم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ین مطلب دلالت</w:t>
      </w:r>
      <w:r w:rsidR="00EB3776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دارد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78FDE770" w14:textId="0C4294F0" w:rsidR="00A015EE" w:rsidRPr="00267C36" w:rsidRDefault="00CE7FF2" w:rsidP="00A015E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267C3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موثقه </w:t>
      </w:r>
      <w:r w:rsidR="00A015EE" w:rsidRPr="00267C3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سکونی</w:t>
      </w:r>
    </w:p>
    <w:p w14:paraId="27F83905" w14:textId="77777777" w:rsidR="00C83A98" w:rsidRPr="00267C36" w:rsidRDefault="00CA4D77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فی السفره المطروحه فی الطریف کثیر لحمها و خبزها </w:t>
      </w:r>
      <w:r w:rsidR="00377654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 جبن ها و بیض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ها و فیها سکین فقال امیر المومنین یقوم ما فیها ثم یاکل لانه یفسد و لیس له بقاء فاذا جاء صاحبها غرموا له الثمن قیل له یا امیر المومنین لایدری سفره مسلم او مجوسی فقال هم فی سعه حتی یعلموا.</w:t>
      </w:r>
      <w:r w:rsidR="00FD7CFB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270B62CA" w14:textId="77777777" w:rsidR="00C83A98" w:rsidRPr="00267C36" w:rsidRDefault="00A015EE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از حضرت سوال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شده</w:t>
      </w:r>
      <w:r w:rsidR="00FF72D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سفره مطروحه معلوم نیست که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متعلق به شخصی مسلمان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 یا مجوسی؟ حضرت فرمود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نمی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داند که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متعلق به مجوسی است پس اشکالی ندارد.</w:t>
      </w:r>
    </w:p>
    <w:p w14:paraId="21394BF4" w14:textId="375BC1A3" w:rsidR="00FD7CFB" w:rsidRPr="00267C36" w:rsidRDefault="00A015EE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روایه موثق است و فقها به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ن عمل کرده اند. پس چون اثر انسان است و نیز در سرزمین اسلامی است بنا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را بر تذکیه می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گذاریم.</w:t>
      </w:r>
    </w:p>
    <w:p w14:paraId="704A73BF" w14:textId="36D583FB" w:rsidR="00A015EE" w:rsidRPr="00267C36" w:rsidRDefault="00A015EE" w:rsidP="00A015E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267C36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قاعده اتلاف</w:t>
      </w:r>
    </w:p>
    <w:p w14:paraId="4847E0A7" w14:textId="492E3DB9" w:rsidR="00A015EE" w:rsidRPr="00267C36" w:rsidRDefault="00A015EE" w:rsidP="002F2C9C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چیزی که مشهور بین فقها و معقد اجماع است این جمله است که : </w:t>
      </w:r>
      <w:r w:rsidRPr="00267C36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 xml:space="preserve">من اتلف مال الغیر فهو له ضامن. </w:t>
      </w:r>
    </w:p>
    <w:p w14:paraId="34973F68" w14:textId="7640CAD9" w:rsidR="00E00628" w:rsidRPr="00267C36" w:rsidRDefault="00A015EE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فرق این قاعده با قاعده علی الید این است که در قاعده علی الید می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گفتیم اگر ید عد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وانی باشد چه مال در نزد او تلف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و چه مال را اتلاف </w:t>
      </w:r>
      <w:r w:rsidR="006E76E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کند ضامن است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6E76E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این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</w:t>
      </w:r>
      <w:r w:rsidR="006E76E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فقط شامل زمانی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</w:t>
      </w:r>
      <w:r w:rsidR="006E76E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که مال اتلاف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گردد</w:t>
      </w:r>
      <w:r w:rsidR="006E76E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همین قاعده اتلاف هم اعم از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عمد و خطا است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تا اینجا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مربوط به اتلاف المال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 اما در اتلاف نفوس (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جنایه علی النفس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) یا اتلاف اعضا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ء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جوارح (جنایه علی الاطراف)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که نوعی اتلاف است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می گوییم: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تلف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عمدی باشد قصاص دارد اما اگر خطئی باشد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متعلق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دیه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 اگر خطئی محض باشد که دیه بر عاقله است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اگر شبه عمد است دیه بر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شخص خاطی </w:t>
      </w:r>
      <w:r w:rsidR="00E0062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واجب است. </w:t>
      </w:r>
    </w:p>
    <w:p w14:paraId="0E02B382" w14:textId="28D61053" w:rsidR="00A015EE" w:rsidRPr="00267C36" w:rsidRDefault="00E00628" w:rsidP="00C83A9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پس منظور از اتلاف در اینجا اتلاف المال است. لکن بحثی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اینجا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وارد است، عدم ورود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جمله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267C36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من اتلف مال الغیر فهو له ضامن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» در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ت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است. این جمله را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فقها اصطیاد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کرده اند. مرحوم بجنوردی می فرماید: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قاعده در هیج روایتی ندیدم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ما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از پی این جمله هم در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وسائل و هم در بحار 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فحص کردیم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و چیزی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نیافتیم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61288835" w14:textId="3E02D9E1" w:rsidR="00AB6FE5" w:rsidRPr="00267C36" w:rsidRDefault="00E00628" w:rsidP="00AB6FE5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مرحوم شیخ طوسی و ابن ادریس</w:t>
      </w:r>
      <w:r w:rsidR="00635C6E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سرائر</w:t>
      </w:r>
      <w:r w:rsidR="00C83A98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آیه شریفه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83A98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«</w:t>
      </w:r>
      <w:r w:rsidR="00377654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مَنِ اعْتَدَى عَلَيْكُمْ فَاعْتَدُواْ عَلَيْهِ بِمِثْلِ مَا اعْتَدَى عَلَيْكُمْ</w:t>
      </w:r>
      <w:r w:rsidR="00C83A98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»</w:t>
      </w:r>
      <w:r w:rsidR="00C83A98"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6"/>
      </w:r>
      <w:r w:rsidR="00377654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="00377654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نیز آیه شریفه: </w:t>
      </w:r>
      <w:r w:rsidR="00AB6FE5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«</w:t>
      </w:r>
      <w:r w:rsidR="00635C6E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جَزاءُ سَیئَةٍ سَیئَةٌ مِثْلُهَا</w:t>
      </w:r>
      <w:r w:rsidR="00AB6FE5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»</w:t>
      </w:r>
      <w:r w:rsidR="00AB6FE5" w:rsidRPr="00267C36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7"/>
      </w:r>
      <w:r w:rsidR="00635C6E"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استدلال آورده اند که این دو آیه دلالت بر این مطلب دارند.</w:t>
      </w:r>
    </w:p>
    <w:p w14:paraId="4A5D45D0" w14:textId="7C2DC463" w:rsidR="00377654" w:rsidRPr="00267C36" w:rsidRDefault="00635C6E" w:rsidP="00AB6FE5">
      <w:p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البته عنوان اعتدی و سیئه انصراف به اتلاف عمدی دارد. یعنی اگر اتلاف غیر عمدی باشد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مشمول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یات نمی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. لکن در هر صورت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 به روایت پیغمبر اکرم 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صلی الله علیه و آله 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فرمودند: </w:t>
      </w:r>
      <w:r w:rsidRPr="00267C3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حرمه مال المومن کحرمه دمه</w:t>
      </w: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استناد کرد. 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اگر خو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مسلم ریخته شد هدر نرفته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حالا یا قصاص دارد 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و یا دیه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مال مومن هم مثل خون مومن محترم و اگر خطئی 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تلف 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شد هدر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نخواهد بود</w:t>
      </w:r>
      <w:r w:rsidR="002F2C9C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32E72B0B" w14:textId="2724A59E" w:rsidR="00CA1075" w:rsidRPr="00267C36" w:rsidRDefault="002F2C9C" w:rsidP="00AB6FE5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>با این مضمون روایت</w:t>
      </w:r>
      <w:r w:rsidR="00AB6FE5" w:rsidRPr="00267C36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دیگری هم از پیامبر اکرم داریم. </w:t>
      </w:r>
    </w:p>
    <w:sectPr w:rsidR="00CA1075" w:rsidRPr="00267C36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14C8" w14:textId="77777777" w:rsidR="002A363A" w:rsidRDefault="002A363A" w:rsidP="00CF2919">
      <w:pPr>
        <w:spacing w:after="0" w:line="240" w:lineRule="auto"/>
      </w:pPr>
      <w:r>
        <w:separator/>
      </w:r>
    </w:p>
  </w:endnote>
  <w:endnote w:type="continuationSeparator" w:id="0">
    <w:p w14:paraId="08E3EEA1" w14:textId="77777777" w:rsidR="002A363A" w:rsidRDefault="002A363A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A16BC" w14:textId="77777777" w:rsidR="002A363A" w:rsidRDefault="002A363A" w:rsidP="00CF2919">
      <w:pPr>
        <w:spacing w:after="0" w:line="240" w:lineRule="auto"/>
      </w:pPr>
      <w:r>
        <w:separator/>
      </w:r>
    </w:p>
  </w:footnote>
  <w:footnote w:type="continuationSeparator" w:id="0">
    <w:p w14:paraId="70700E1A" w14:textId="77777777" w:rsidR="002A363A" w:rsidRDefault="002A363A" w:rsidP="00CF2919">
      <w:pPr>
        <w:spacing w:after="0" w:line="240" w:lineRule="auto"/>
      </w:pPr>
      <w:r>
        <w:continuationSeparator/>
      </w:r>
    </w:p>
  </w:footnote>
  <w:footnote w:id="1">
    <w:p w14:paraId="5721BF20" w14:textId="77777777" w:rsidR="00431F62" w:rsidRPr="00267C36" w:rsidRDefault="00431F62" w:rsidP="00431F62">
      <w:pPr>
        <w:pStyle w:val="FootnoteText"/>
        <w:bidi/>
        <w:rPr>
          <w:rStyle w:val="Hyperlink"/>
          <w:rFonts w:ascii="Traditional Arabic" w:hAnsi="Traditional Arabic" w:cs="Traditional Arabic"/>
          <w:rtl/>
        </w:rPr>
      </w:pPr>
      <w:r w:rsidRPr="00267C36">
        <w:rPr>
          <w:rStyle w:val="Hyperlink"/>
          <w:rFonts w:ascii="Traditional Arabic" w:hAnsi="Traditional Arabic" w:cs="Traditional Arabic"/>
          <w:lang w:bidi="fa-IR"/>
        </w:rPr>
        <w:footnoteRef/>
      </w:r>
      <w:r w:rsidRPr="00267C36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267C36">
        <w:rPr>
          <w:rStyle w:val="Hyperlink"/>
          <w:rFonts w:ascii="Traditional Arabic" w:hAnsi="Traditional Arabic" w:cs="Traditional Arabic"/>
          <w:rtl/>
          <w:lang w:bidi="fa-IR"/>
        </w:rPr>
        <w:t>-</w:t>
      </w:r>
      <w:r w:rsidRPr="00267C36">
        <w:rPr>
          <w:rStyle w:val="Hyperlink"/>
          <w:rFonts w:ascii="Traditional Arabic" w:hAnsi="Traditional Arabic" w:cs="Traditional Arabic"/>
          <w:lang w:bidi="fa-IR"/>
        </w:rPr>
        <w:t> </w:t>
      </w:r>
      <w:r w:rsidRPr="00267C36">
        <w:rPr>
          <w:rStyle w:val="Hyperlink"/>
          <w:rFonts w:ascii="Traditional Arabic" w:hAnsi="Traditional Arabic" w:cs="Traditional Arabic"/>
          <w:rtl/>
          <w:lang w:bidi="fa-IR"/>
        </w:rPr>
        <w:t>وسائل الشيعة -الإسلامية</w:t>
      </w:r>
      <w:r w:rsidRPr="00267C36">
        <w:rPr>
          <w:rStyle w:val="Hyperlink"/>
          <w:rFonts w:ascii="Traditional Arabic" w:hAnsi="Traditional Arabic" w:cs="Traditional Arabic"/>
          <w:lang w:bidi="fa-IR"/>
        </w:rPr>
        <w:t> - </w:t>
      </w:r>
      <w:hyperlink r:id="rId1" w:history="1"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الشيخ الحر العاملي</w:t>
        </w:r>
        <w:r w:rsidRPr="00267C36">
          <w:rPr>
            <w:rStyle w:val="Hyperlink"/>
            <w:rFonts w:ascii="Traditional Arabic" w:hAnsi="Traditional Arabic" w:cs="Traditional Arabic"/>
            <w:lang w:bidi="fa-IR"/>
          </w:rPr>
          <w:t>-</w:t>
        </w:r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جلد17</w:t>
        </w:r>
        <w:r w:rsidRPr="00267C36">
          <w:rPr>
            <w:rStyle w:val="Hyperlink"/>
            <w:rFonts w:ascii="Traditional Arabic" w:hAnsi="Traditional Arabic" w:cs="Traditional Arabic"/>
            <w:lang w:bidi="fa-IR"/>
          </w:rPr>
          <w:t xml:space="preserve"> </w:t>
        </w:r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صفحه243</w:t>
        </w:r>
      </w:hyperlink>
    </w:p>
  </w:footnote>
  <w:footnote w:id="2">
    <w:p w14:paraId="44AE12E1" w14:textId="77777777" w:rsidR="00431F62" w:rsidRPr="00267C36" w:rsidRDefault="00431F62" w:rsidP="00431F62">
      <w:pPr>
        <w:pStyle w:val="FootnoteText"/>
        <w:bidi/>
        <w:rPr>
          <w:rStyle w:val="Hyperlink"/>
          <w:rFonts w:ascii="Traditional Arabic" w:hAnsi="Traditional Arabic" w:cs="Traditional Arabic"/>
          <w:rtl/>
        </w:rPr>
      </w:pPr>
      <w:r w:rsidRPr="00267C36">
        <w:rPr>
          <w:rStyle w:val="Hyperlink"/>
          <w:rFonts w:ascii="Traditional Arabic" w:hAnsi="Traditional Arabic" w:cs="Traditional Arabic"/>
          <w:lang w:bidi="fa-IR"/>
        </w:rPr>
        <w:footnoteRef/>
      </w:r>
      <w:r w:rsidRPr="00267C36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267C36">
        <w:rPr>
          <w:rStyle w:val="Hyperlink"/>
          <w:rFonts w:ascii="Traditional Arabic" w:hAnsi="Traditional Arabic" w:cs="Traditional Arabic"/>
          <w:rtl/>
          <w:lang w:bidi="fa-IR"/>
        </w:rPr>
        <w:t xml:space="preserve">- </w:t>
      </w:r>
      <w:hyperlink r:id="rId2" w:history="1"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3">
    <w:p w14:paraId="65171CED" w14:textId="77777777" w:rsidR="00431F62" w:rsidRPr="00267C36" w:rsidRDefault="00431F62" w:rsidP="00431F6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267C36">
        <w:rPr>
          <w:rStyle w:val="Hyperlink"/>
          <w:rFonts w:ascii="Traditional Arabic" w:hAnsi="Traditional Arabic" w:cs="Traditional Arabic"/>
          <w:lang w:bidi="fa-IR"/>
        </w:rPr>
        <w:footnoteRef/>
      </w:r>
      <w:r w:rsidRPr="00267C36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267C36">
        <w:rPr>
          <w:rStyle w:val="Hyperlink"/>
          <w:rFonts w:ascii="Traditional Arabic" w:hAnsi="Traditional Arabic" w:cs="Traditional Arabic"/>
          <w:rtl/>
          <w:lang w:bidi="fa-IR"/>
        </w:rPr>
        <w:t xml:space="preserve">- </w:t>
      </w:r>
      <w:hyperlink r:id="rId3" w:history="1"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4">
    <w:p w14:paraId="42BD8C1C" w14:textId="77777777" w:rsidR="00431F62" w:rsidRPr="00267C36" w:rsidRDefault="00431F62" w:rsidP="00431F6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267C36">
        <w:rPr>
          <w:rStyle w:val="Hyperlink"/>
          <w:rFonts w:ascii="Traditional Arabic" w:hAnsi="Traditional Arabic" w:cs="Traditional Arabic"/>
          <w:lang w:bidi="fa-IR"/>
        </w:rPr>
        <w:footnoteRef/>
      </w:r>
      <w:r w:rsidRPr="00267C36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267C36">
        <w:rPr>
          <w:rStyle w:val="Hyperlink"/>
          <w:rFonts w:ascii="Traditional Arabic" w:hAnsi="Traditional Arabic" w:cs="Traditional Arabic"/>
          <w:rtl/>
        </w:rPr>
        <w:t xml:space="preserve">- </w:t>
      </w:r>
      <w:hyperlink r:id="rId4" w:history="1">
        <w:r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5">
    <w:p w14:paraId="7CB4EA1B" w14:textId="77777777" w:rsidR="00431F62" w:rsidRPr="00267C36" w:rsidRDefault="002A363A" w:rsidP="00431F6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hyperlink r:id="rId5" w:tgtFrame="_blank" w:history="1">
        <w:r w:rsidR="00431F62" w:rsidRPr="00267C36">
          <w:rPr>
            <w:rStyle w:val="Hyperlink"/>
            <w:rFonts w:ascii="Traditional Arabic" w:hAnsi="Traditional Arabic" w:cs="Traditional Arabic"/>
            <w:lang w:bidi="fa-IR"/>
          </w:rPr>
          <w:footnoteRef/>
        </w:r>
        <w:r w:rsidR="00431F62" w:rsidRPr="00267C36">
          <w:rPr>
            <w:rStyle w:val="Hyperlink"/>
            <w:rFonts w:ascii="Traditional Arabic" w:hAnsi="Traditional Arabic" w:cs="Traditional Arabic"/>
            <w:lang w:bidi="fa-IR"/>
          </w:rPr>
          <w:t xml:space="preserve"> </w:t>
        </w:r>
        <w:r w:rsidR="00431F62" w:rsidRPr="00267C36">
          <w:rPr>
            <w:rStyle w:val="Hyperlink"/>
            <w:rFonts w:ascii="Traditional Arabic" w:hAnsi="Traditional Arabic" w:cs="Traditional Arabic"/>
            <w:rtl/>
          </w:rPr>
          <w:t xml:space="preserve">- </w:t>
        </w:r>
        <w:r w:rsidR="00431F62" w:rsidRPr="00267C36">
          <w:rPr>
            <w:rStyle w:val="Hyperlink"/>
            <w:rFonts w:ascii="Traditional Arabic" w:hAnsi="Traditional Arabic" w:cs="Traditional Arabic"/>
            <w:rtl/>
            <w:lang w:bidi="fa-IR"/>
          </w:rPr>
          <w:t>وسائل الشیعة، شیخ حر عاملی، ج25، ص294، ابواب الاشربة المحرمة، باب7، شماره31942، ح6، ط آل البیت</w:t>
        </w:r>
        <w:r w:rsidR="00431F62" w:rsidRPr="00267C36">
          <w:rPr>
            <w:rStyle w:val="Hyperlink"/>
            <w:rFonts w:ascii="Traditional Arabic" w:hAnsi="Traditional Arabic" w:cs="Traditional Arabic"/>
            <w:lang w:bidi="fa-IR"/>
          </w:rPr>
          <w:t>.</w:t>
        </w:r>
      </w:hyperlink>
    </w:p>
  </w:footnote>
  <w:footnote w:id="6">
    <w:p w14:paraId="2B37F65B" w14:textId="1A4D6FDE" w:rsidR="00C83A98" w:rsidRPr="00267C36" w:rsidRDefault="00C83A98" w:rsidP="00C83A98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267C36">
        <w:rPr>
          <w:rStyle w:val="FootnoteReference"/>
          <w:rFonts w:ascii="Traditional Arabic" w:hAnsi="Traditional Arabic" w:cs="Traditional Arabic"/>
        </w:rPr>
        <w:footnoteRef/>
      </w:r>
      <w:r w:rsidRPr="00267C36">
        <w:rPr>
          <w:rFonts w:ascii="Traditional Arabic" w:hAnsi="Traditional Arabic" w:cs="Traditional Arabic"/>
        </w:rPr>
        <w:t xml:space="preserve"> </w:t>
      </w:r>
      <w:r w:rsidRPr="00267C36">
        <w:rPr>
          <w:rFonts w:ascii="Traditional Arabic" w:hAnsi="Traditional Arabic" w:cs="Traditional Arabic"/>
          <w:b/>
          <w:bCs/>
          <w:color w:val="008000"/>
          <w:rtl/>
        </w:rPr>
        <w:t>سوره</w:t>
      </w:r>
      <w:r w:rsidRPr="00267C36">
        <w:rPr>
          <w:rFonts w:ascii="Traditional Arabic" w:hAnsi="Traditional Arabic" w:cs="Traditional Arabic"/>
          <w:b/>
          <w:bCs/>
          <w:color w:val="008000"/>
        </w:rPr>
        <w:t xml:space="preserve"> : </w:t>
      </w:r>
      <w:r w:rsidRPr="00267C36">
        <w:rPr>
          <w:rFonts w:ascii="Traditional Arabic" w:hAnsi="Traditional Arabic" w:cs="Traditional Arabic"/>
          <w:b/>
          <w:bCs/>
          <w:color w:val="008000"/>
          <w:rtl/>
        </w:rPr>
        <w:t>البقرة –آیه 194</w:t>
      </w:r>
    </w:p>
  </w:footnote>
  <w:footnote w:id="7">
    <w:p w14:paraId="17104C90" w14:textId="769E9E9C" w:rsidR="00AB6FE5" w:rsidRPr="00267C36" w:rsidRDefault="00AB6FE5" w:rsidP="00AB6FE5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267C36">
        <w:rPr>
          <w:rStyle w:val="FootnoteReference"/>
          <w:rFonts w:ascii="Traditional Arabic" w:hAnsi="Traditional Arabic" w:cs="Traditional Arabic"/>
        </w:rPr>
        <w:footnoteRef/>
      </w:r>
      <w:r w:rsidRPr="00267C36">
        <w:rPr>
          <w:rFonts w:ascii="Traditional Arabic" w:hAnsi="Traditional Arabic" w:cs="Traditional Arabic"/>
        </w:rPr>
        <w:t xml:space="preserve"> </w:t>
      </w:r>
      <w:r w:rsidRPr="00267C36">
        <w:rPr>
          <w:rFonts w:ascii="Traditional Arabic" w:hAnsi="Traditional Arabic" w:cs="Traditional Arabic"/>
          <w:b/>
          <w:bCs/>
          <w:color w:val="008000"/>
          <w:rtl/>
        </w:rPr>
        <w:t>سوره</w:t>
      </w:r>
      <w:r w:rsidRPr="00267C36">
        <w:rPr>
          <w:rFonts w:ascii="Traditional Arabic" w:hAnsi="Traditional Arabic" w:cs="Traditional Arabic"/>
          <w:b/>
          <w:bCs/>
          <w:color w:val="008000"/>
        </w:rPr>
        <w:t xml:space="preserve"> : </w:t>
      </w:r>
      <w:r w:rsidRPr="00267C36">
        <w:rPr>
          <w:rFonts w:ascii="Traditional Arabic" w:hAnsi="Traditional Arabic" w:cs="Traditional Arabic"/>
          <w:b/>
          <w:bCs/>
          <w:color w:val="008000"/>
          <w:rtl/>
        </w:rPr>
        <w:t>الشوری –آیه 40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9175418" w:rsidR="003E2B14" w:rsidRPr="00267C36" w:rsidRDefault="00267C36" w:rsidP="00267C36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21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7403E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67C36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63A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391E"/>
    <w:rsid w:val="00614558"/>
    <w:rsid w:val="00622D72"/>
    <w:rsid w:val="006258C3"/>
    <w:rsid w:val="006265A7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1CAF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6FE5"/>
    <w:rsid w:val="00AB75CC"/>
    <w:rsid w:val="00AC0AEA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56230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01EE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3A98"/>
    <w:rsid w:val="00C8627F"/>
    <w:rsid w:val="00C86B91"/>
    <w:rsid w:val="00C8784D"/>
    <w:rsid w:val="00C929F9"/>
    <w:rsid w:val="00C936E2"/>
    <w:rsid w:val="00C9675B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E7FF2"/>
    <w:rsid w:val="00CF137E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1AA4"/>
    <w:rsid w:val="00E36C04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53F4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76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D7CFB"/>
    <w:rsid w:val="00FE5AF7"/>
    <w:rsid w:val="00FF2FFC"/>
    <w:rsid w:val="00FF6F86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7/234/&#1581;&#1604;&#1608;&#1575;" TargetMode="External"/><Relationship Id="rId2" Type="http://schemas.openxmlformats.org/officeDocument/2006/relationships/hyperlink" Target="http://lib.eshia.ir/11024/17/234/&#1610;&#1582;&#1590;&#1576;" TargetMode="External"/><Relationship Id="rId1" Type="http://schemas.openxmlformats.org/officeDocument/2006/relationships/hyperlink" Target="http://lib.eshia.ir/11024/17/234/&#1610;&#1607;&#1583;&#1609;" TargetMode="External"/><Relationship Id="rId5" Type="http://schemas.openxmlformats.org/officeDocument/2006/relationships/hyperlink" Target="http://lib.eshia.ir/11025/25/293/31942" TargetMode="External"/><Relationship Id="rId4" Type="http://schemas.openxmlformats.org/officeDocument/2006/relationships/hyperlink" Target="http://lib.eshia.ir/11024/17/234/&#1610;&#1587;&#1578;&#1581;&#1604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CFCE-2054-442C-B330-B1150DD8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8446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24</cp:revision>
  <dcterms:created xsi:type="dcterms:W3CDTF">2016-04-16T02:01:00Z</dcterms:created>
  <dcterms:modified xsi:type="dcterms:W3CDTF">2016-05-03T12:07:00Z</dcterms:modified>
</cp:coreProperties>
</file>