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96" w:rsidRDefault="0082238F" w:rsidP="009E4228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BC1C66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AE209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AE209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AE2096">
        <w:rPr>
          <w:rFonts w:ascii="IRBadr" w:hAnsi="IRBadr" w:cs="IRBadr"/>
          <w:sz w:val="28"/>
          <w:szCs w:val="28"/>
          <w:lang w:bidi="fa-IR"/>
        </w:rPr>
        <w:instrText>TOC</w:instrText>
      </w:r>
      <w:r w:rsidR="00AE209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AE2096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AE209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AE209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AE2096" w:rsidRDefault="004C367A" w:rsidP="00AE209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0" w:history="1">
        <w:r w:rsidR="00AE2096" w:rsidRPr="00BC6F9B">
          <w:rPr>
            <w:rStyle w:val="Hyperlink"/>
            <w:rFonts w:hint="eastAsia"/>
            <w:noProof/>
            <w:rtl/>
          </w:rPr>
          <w:t>مبان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اجتهاد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_Toc432316530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2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1" w:history="1">
        <w:r w:rsidR="00AE2096" w:rsidRPr="00BC6F9B">
          <w:rPr>
            <w:rStyle w:val="Hyperlink"/>
            <w:rFonts w:hint="eastAsia"/>
            <w:noProof/>
            <w:rtl/>
          </w:rPr>
          <w:t>اثرات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زمان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و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مکان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_Toc432316531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2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2" w:history="1">
        <w:r w:rsidR="00AE2096" w:rsidRPr="00BC6F9B">
          <w:rPr>
            <w:rStyle w:val="Hyperlink"/>
            <w:rFonts w:hint="eastAsia"/>
            <w:noProof/>
            <w:rtl/>
          </w:rPr>
          <w:t>مباحث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قبض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و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بسط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_Toc432316532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2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3" w:history="1">
        <w:r w:rsidR="00AE2096" w:rsidRPr="00BC6F9B">
          <w:rPr>
            <w:rStyle w:val="Hyperlink"/>
            <w:rFonts w:hint="eastAsia"/>
            <w:noProof/>
            <w:rtl/>
          </w:rPr>
          <w:t>تنق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ح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بحث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_Toc432316533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2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4" w:history="1">
        <w:r w:rsidR="00AE2096" w:rsidRPr="00BC6F9B">
          <w:rPr>
            <w:rStyle w:val="Hyperlink"/>
            <w:rFonts w:hint="eastAsia"/>
            <w:noProof/>
            <w:rtl/>
          </w:rPr>
          <w:t>اتخاذ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مبنا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_Toc432316534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2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5" w:history="1">
        <w:r w:rsidR="00AE2096" w:rsidRPr="00BC6F9B">
          <w:rPr>
            <w:rStyle w:val="Hyperlink"/>
            <w:rFonts w:hint="eastAsia"/>
            <w:noProof/>
            <w:rtl/>
          </w:rPr>
          <w:t>التفات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به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امور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جز</w:t>
        </w:r>
        <w:r w:rsidR="00AE2096" w:rsidRPr="00BC6F9B">
          <w:rPr>
            <w:rStyle w:val="Hyperlink"/>
            <w:rFonts w:hint="cs"/>
            <w:noProof/>
            <w:rtl/>
          </w:rPr>
          <w:t>یی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در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شر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عت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_Toc432316535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3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6" w:history="1">
        <w:r w:rsidR="00AE2096" w:rsidRPr="00BC6F9B">
          <w:rPr>
            <w:rStyle w:val="Hyperlink"/>
            <w:rFonts w:hint="eastAsia"/>
            <w:noProof/>
            <w:rtl/>
          </w:rPr>
          <w:t>زم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نه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فلسف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بحث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_Toc432316536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3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7" w:history="1">
        <w:r w:rsidR="00AE2096" w:rsidRPr="00BC6F9B">
          <w:rPr>
            <w:rStyle w:val="Hyperlink"/>
            <w:rFonts w:hint="eastAsia"/>
            <w:noProof/>
            <w:rtl/>
          </w:rPr>
          <w:t>حج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ت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س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ره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ها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متأخر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_Toc432316537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3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8" w:history="1">
        <w:r w:rsidR="00AE2096" w:rsidRPr="00BC6F9B">
          <w:rPr>
            <w:rStyle w:val="Hyperlink"/>
            <w:rFonts w:hint="eastAsia"/>
            <w:noProof/>
            <w:rtl/>
          </w:rPr>
          <w:t>نظر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ات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مخالف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_Toc432316538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3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316539" w:history="1">
        <w:r w:rsidR="00AE2096" w:rsidRPr="00BC6F9B">
          <w:rPr>
            <w:rStyle w:val="Hyperlink"/>
            <w:rFonts w:hint="eastAsia"/>
            <w:noProof/>
            <w:rtl/>
          </w:rPr>
          <w:t>تأث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ر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شرا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ط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بر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روح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ات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مجتهد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_Toc432316539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4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0" w:history="1">
        <w:r w:rsidR="00AE2096" w:rsidRPr="00BC6F9B">
          <w:rPr>
            <w:rStyle w:val="Hyperlink"/>
            <w:rFonts w:hint="eastAsia"/>
            <w:noProof/>
            <w:rtl/>
          </w:rPr>
          <w:t>تمکله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بحث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_Toc432316540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4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1" w:history="1">
        <w:r w:rsidR="00AE2096" w:rsidRPr="00BC6F9B">
          <w:rPr>
            <w:rStyle w:val="Hyperlink"/>
            <w:rFonts w:hint="eastAsia"/>
            <w:noProof/>
            <w:rtl/>
          </w:rPr>
          <w:t>تکمله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اول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_Toc432316541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4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2" w:history="1">
        <w:r w:rsidR="00AE2096" w:rsidRPr="00BC6F9B">
          <w:rPr>
            <w:rStyle w:val="Hyperlink"/>
            <w:rFonts w:hint="eastAsia"/>
            <w:noProof/>
            <w:rtl/>
          </w:rPr>
          <w:t>قلمرو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احکام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ولا</w:t>
        </w:r>
        <w:r w:rsidR="00AE2096" w:rsidRPr="00BC6F9B">
          <w:rPr>
            <w:rStyle w:val="Hyperlink"/>
            <w:rFonts w:hint="cs"/>
            <w:noProof/>
            <w:rtl/>
          </w:rPr>
          <w:t>یی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_Toc432316542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4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3" w:history="1">
        <w:r w:rsidR="0082238F">
          <w:rPr>
            <w:rStyle w:val="Hyperlink"/>
            <w:rFonts w:hint="eastAsia"/>
            <w:noProof/>
            <w:rtl/>
          </w:rPr>
          <w:t>نتیجه‌گیری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_Toc432316543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5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4" w:history="1">
        <w:r w:rsidR="00AE2096" w:rsidRPr="00BC6F9B">
          <w:rPr>
            <w:rStyle w:val="Hyperlink"/>
            <w:rFonts w:hint="eastAsia"/>
            <w:noProof/>
            <w:rtl/>
          </w:rPr>
          <w:t>حوزه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تبل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غ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احکام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_Toc432316544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5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5" w:history="1">
        <w:r w:rsidR="00AE2096" w:rsidRPr="00BC6F9B">
          <w:rPr>
            <w:rStyle w:val="Hyperlink"/>
            <w:rFonts w:hint="eastAsia"/>
            <w:noProof/>
            <w:rtl/>
          </w:rPr>
          <w:t>اتخاذ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مبنا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_Toc432316545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5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6" w:history="1">
        <w:r w:rsidR="00AE2096" w:rsidRPr="00BC6F9B">
          <w:rPr>
            <w:rStyle w:val="Hyperlink"/>
            <w:rFonts w:hint="eastAsia"/>
            <w:noProof/>
            <w:rtl/>
          </w:rPr>
          <w:t>اجتهاد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نظام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ساز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_Toc432316546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5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4C367A" w:rsidP="00AE20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316547" w:history="1">
        <w:r w:rsidR="00AE2096" w:rsidRPr="00BC6F9B">
          <w:rPr>
            <w:rStyle w:val="Hyperlink"/>
            <w:rFonts w:hint="eastAsia"/>
            <w:noProof/>
            <w:rtl/>
          </w:rPr>
          <w:t>تنق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ح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سبک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شه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د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صدر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در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ا</w:t>
        </w:r>
        <w:r w:rsidR="00AE2096" w:rsidRPr="00BC6F9B">
          <w:rPr>
            <w:rStyle w:val="Hyperlink"/>
            <w:rFonts w:hint="cs"/>
            <w:noProof/>
            <w:rtl/>
          </w:rPr>
          <w:t>ی</w:t>
        </w:r>
        <w:r w:rsidR="00AE2096" w:rsidRPr="00BC6F9B">
          <w:rPr>
            <w:rStyle w:val="Hyperlink"/>
            <w:rFonts w:hint="eastAsia"/>
            <w:noProof/>
            <w:rtl/>
          </w:rPr>
          <w:t>ن</w:t>
        </w:r>
        <w:r w:rsidR="00AE2096" w:rsidRPr="00BC6F9B">
          <w:rPr>
            <w:rStyle w:val="Hyperlink"/>
            <w:noProof/>
            <w:rtl/>
          </w:rPr>
          <w:t xml:space="preserve"> </w:t>
        </w:r>
        <w:r w:rsidR="00AE2096" w:rsidRPr="00BC6F9B">
          <w:rPr>
            <w:rStyle w:val="Hyperlink"/>
            <w:rFonts w:hint="eastAsia"/>
            <w:noProof/>
            <w:rtl/>
          </w:rPr>
          <w:t>مقام</w:t>
        </w:r>
        <w:r w:rsidR="00AE2096">
          <w:rPr>
            <w:noProof/>
            <w:webHidden/>
          </w:rPr>
          <w:tab/>
        </w:r>
        <w:r w:rsidR="00AE2096">
          <w:rPr>
            <w:rStyle w:val="Hyperlink"/>
            <w:noProof/>
            <w:rtl/>
          </w:rPr>
          <w:fldChar w:fldCharType="begin"/>
        </w:r>
        <w:r w:rsidR="00AE2096">
          <w:rPr>
            <w:noProof/>
            <w:webHidden/>
          </w:rPr>
          <w:instrText xml:space="preserve"> PAGEREF _Toc432316547 \h </w:instrText>
        </w:r>
        <w:r w:rsidR="00AE2096">
          <w:rPr>
            <w:rStyle w:val="Hyperlink"/>
            <w:noProof/>
            <w:rtl/>
          </w:rPr>
        </w:r>
        <w:r w:rsidR="00AE2096">
          <w:rPr>
            <w:rStyle w:val="Hyperlink"/>
            <w:noProof/>
            <w:rtl/>
          </w:rPr>
          <w:fldChar w:fldCharType="separate"/>
        </w:r>
        <w:r w:rsidR="00AE2096">
          <w:rPr>
            <w:noProof/>
            <w:webHidden/>
          </w:rPr>
          <w:t>6</w:t>
        </w:r>
        <w:r w:rsidR="00AE2096">
          <w:rPr>
            <w:rStyle w:val="Hyperlink"/>
            <w:noProof/>
            <w:rtl/>
          </w:rPr>
          <w:fldChar w:fldCharType="end"/>
        </w:r>
      </w:hyperlink>
    </w:p>
    <w:p w:rsidR="00AE2096" w:rsidRDefault="00AE2096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E2096" w:rsidRDefault="00AE2096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2118B4" w:rsidRDefault="002118B4" w:rsidP="009E4228">
      <w:pPr>
        <w:pStyle w:val="Heading1"/>
        <w:rPr>
          <w:rtl/>
        </w:rPr>
      </w:pPr>
      <w:bookmarkStart w:id="1" w:name="_Toc432316530"/>
      <w:r>
        <w:rPr>
          <w:rFonts w:hint="cs"/>
          <w:rtl/>
        </w:rPr>
        <w:lastRenderedPageBreak/>
        <w:t>مبانی اجتهاد</w:t>
      </w:r>
      <w:bookmarkEnd w:id="1"/>
    </w:p>
    <w:p w:rsidR="002118B4" w:rsidRDefault="002118B4" w:rsidP="009E4228">
      <w:pPr>
        <w:pStyle w:val="Heading1"/>
        <w:rPr>
          <w:rtl/>
        </w:rPr>
      </w:pPr>
      <w:bookmarkStart w:id="2" w:name="_Toc432316531"/>
      <w:r>
        <w:rPr>
          <w:rFonts w:hint="cs"/>
          <w:rtl/>
        </w:rPr>
        <w:t>اثرات زمان و مکان</w:t>
      </w:r>
      <w:bookmarkEnd w:id="2"/>
    </w:p>
    <w:p w:rsidR="00BC1C66" w:rsidRDefault="002118B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در این بود که شرایط زمان و مکان تأثیراتی در قبال اجتهاد دارد که بحث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دربند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سیزدهم از این جنبه بود.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دربند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سیزدهم بحث در مورد این بود که کسانی معتقدند با پیشرفت زمان به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کشف‌ها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جدیدی در قبال احکام و شریعت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 جایی که خیلی یا بخشی از مواردی که در احکام وجود دارد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پوسته‌ای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شناخته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E4228" w:rsidRDefault="009E4228" w:rsidP="009E4228">
      <w:pPr>
        <w:pStyle w:val="Heading2"/>
        <w:rPr>
          <w:rtl/>
        </w:rPr>
      </w:pPr>
      <w:bookmarkStart w:id="3" w:name="_Toc432316532"/>
      <w:r>
        <w:rPr>
          <w:rFonts w:hint="cs"/>
          <w:rtl/>
        </w:rPr>
        <w:t>مباحث قبض و بسط</w:t>
      </w:r>
      <w:bookmarkEnd w:id="3"/>
    </w:p>
    <w:p w:rsidR="002118B4" w:rsidRDefault="002118B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بحث به شکلی بر قبض و بسط و به شکلی به بحث فلسفه دین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یدگاه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قبض و بسط قائل است که علوم بشری در ارتباط عمیق و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گسترده‌ای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هستند.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در مورد قلمرو دین است که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محدوده‌ای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مشخص است.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باب مسائلی مثل گوهر و صدف وجود دارد که بیشتر در جامعه غرب و در تحولات بعد از رنسانس دارد که بشر در پی محدود کردن هرچه بیشتر دین بود.</w:t>
      </w:r>
    </w:p>
    <w:p w:rsidR="009E4228" w:rsidRDefault="009E4228" w:rsidP="009E4228">
      <w:pPr>
        <w:pStyle w:val="Heading2"/>
        <w:rPr>
          <w:rtl/>
        </w:rPr>
      </w:pPr>
      <w:bookmarkStart w:id="4" w:name="_Toc432316533"/>
      <w:r>
        <w:rPr>
          <w:rFonts w:hint="cs"/>
          <w:rtl/>
        </w:rPr>
        <w:t>تنقیح بحث</w:t>
      </w:r>
      <w:bookmarkEnd w:id="4"/>
    </w:p>
    <w:p w:rsidR="002118B4" w:rsidRDefault="002118B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با این گرایش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سلسله‌ای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مباحث شروع شد که هرچند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درگذشته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به نحو جزیی وجود داشته است.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د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یدگاه‌ها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دارای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ط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یف‌های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متفاوتی است که فضای بحث بدین نحو نیست که به همه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پرداخته شود.</w:t>
      </w:r>
    </w:p>
    <w:p w:rsidR="002118B4" w:rsidRDefault="002118B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ربط این بحث به زمان و مکان این است که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تغیرات زمان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پوسته‌ها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تغییر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انسان به حقایق پی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ی‌برد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بدین نحو که کشف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حقایق از اول امر دیگری بوده یا اینکه الآن برای این پوسته ارزشی قائل نیست.</w:t>
      </w:r>
    </w:p>
    <w:p w:rsidR="002118B4" w:rsidRDefault="002118B4" w:rsidP="009E4228">
      <w:pPr>
        <w:pStyle w:val="Heading2"/>
        <w:rPr>
          <w:rtl/>
        </w:rPr>
      </w:pPr>
      <w:bookmarkStart w:id="5" w:name="_Toc432316534"/>
      <w:r>
        <w:rPr>
          <w:rFonts w:hint="cs"/>
          <w:rtl/>
        </w:rPr>
        <w:t>اتخاذ مبنا</w:t>
      </w:r>
      <w:bookmarkEnd w:id="5"/>
    </w:p>
    <w:p w:rsidR="002118B4" w:rsidRDefault="002118B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ما با این نظریه با این توسعه و ابعاد موافق نیستیم.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سلسله‌ای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احکام مستحکم داریم که این دیدگاه ساده را نفی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قاعده اصالت مولویه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به‌هیچ‌وجه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طبق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ادعا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نفی گردد.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اصالت الموضوعیه است،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نحو که اصل این است عناوین وارده در شرع دارای موضوعیت هستند.</w:t>
      </w:r>
    </w:p>
    <w:p w:rsidR="009E4228" w:rsidRDefault="009E4228" w:rsidP="009E4228">
      <w:pPr>
        <w:pStyle w:val="Heading2"/>
        <w:rPr>
          <w:rtl/>
        </w:rPr>
      </w:pPr>
      <w:bookmarkStart w:id="6" w:name="_Toc432316535"/>
      <w:r>
        <w:rPr>
          <w:rFonts w:hint="cs"/>
          <w:rtl/>
        </w:rPr>
        <w:lastRenderedPageBreak/>
        <w:t>التفات به امور جزیی در شریعت</w:t>
      </w:r>
      <w:bookmarkEnd w:id="6"/>
    </w:p>
    <w:p w:rsidR="002118B4" w:rsidRDefault="002118B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همچنین این نکته مهم که امور جزیی نیز مورد التفات بوده که در عبادات این حالت بیشتر است.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ائمه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اطهار در روایات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فرموده‌اند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ما هرچه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می‌گوییم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جانب خداوند است و همه در قبال کلمات آن مسئول هستند.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تق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نکات جزیی در احکام و ادله عقلایی نیز این دیدگاه را نفی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E4228" w:rsidRDefault="009E4228" w:rsidP="009E4228">
      <w:pPr>
        <w:pStyle w:val="Heading2"/>
        <w:rPr>
          <w:rtl/>
        </w:rPr>
      </w:pPr>
      <w:bookmarkStart w:id="7" w:name="_Toc432316536"/>
      <w:r>
        <w:rPr>
          <w:rFonts w:hint="cs"/>
          <w:rtl/>
        </w:rPr>
        <w:t>زمینه فلسفی بحث</w:t>
      </w:r>
      <w:bookmarkEnd w:id="7"/>
    </w:p>
    <w:p w:rsidR="002118B4" w:rsidRDefault="002118B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هریک از این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تئور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مانند قبض و بسط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ازلحاظ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استدلال فلسفی جای بحث دارد و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به‌هیچ‌وجه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قابل دفاع نیست.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طرفی دیگر اصل بر این است که احکام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فرازمانی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و شارع با التفات به جزئیات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را بیان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دیدگاه ابی حنیفه که قائل به قیاس بود با این دیدگاه بسیار متفاوت و دارای محدوده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مناسب‌تری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است برخلاف این نگاه که قائل به نسبیت است و مرز و حدودی برای آن بود وجود ندارد.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="00A72F24">
        <w:rPr>
          <w:rFonts w:ascii="IRBadr" w:hAnsi="IRBadr" w:cs="IRBadr" w:hint="cs"/>
          <w:sz w:val="28"/>
          <w:szCs w:val="28"/>
          <w:rtl/>
          <w:lang w:bidi="fa-IR"/>
        </w:rPr>
        <w:t xml:space="preserve"> که در حقیقت امر تغییر و تحول در فقه وجود دارد.</w:t>
      </w:r>
    </w:p>
    <w:p w:rsidR="009E4228" w:rsidRDefault="009E4228" w:rsidP="009E4228">
      <w:pPr>
        <w:pStyle w:val="Heading2"/>
        <w:rPr>
          <w:rtl/>
        </w:rPr>
      </w:pPr>
      <w:bookmarkStart w:id="8" w:name="_Toc432316537"/>
      <w:r>
        <w:rPr>
          <w:rFonts w:hint="cs"/>
          <w:rtl/>
        </w:rPr>
        <w:t xml:space="preserve">حجیت </w:t>
      </w:r>
      <w:r w:rsidR="00A04E98">
        <w:rPr>
          <w:rFonts w:hint="eastAsia"/>
          <w:rtl/>
        </w:rPr>
        <w:t>س</w:t>
      </w:r>
      <w:r w:rsidR="00A04E98">
        <w:rPr>
          <w:rFonts w:hint="cs"/>
          <w:rtl/>
        </w:rPr>
        <w:t>ی</w:t>
      </w:r>
      <w:r w:rsidR="00A04E98">
        <w:rPr>
          <w:rFonts w:hint="eastAsia"/>
          <w:rtl/>
        </w:rPr>
        <w:t>ره‌ها</w:t>
      </w:r>
      <w:r w:rsidR="00A04E98">
        <w:rPr>
          <w:rFonts w:hint="cs"/>
          <w:rtl/>
        </w:rPr>
        <w:t>ی</w:t>
      </w:r>
      <w:r>
        <w:rPr>
          <w:rFonts w:hint="cs"/>
          <w:rtl/>
        </w:rPr>
        <w:t xml:space="preserve"> متأخر</w:t>
      </w:r>
      <w:bookmarkEnd w:id="8"/>
    </w:p>
    <w:p w:rsidR="009E4228" w:rsidRDefault="00A72F2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بند چهاردهمی را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ذکر نمود که در اعصار مختلف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س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یره‌هایی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عقلایی به وجود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بر اساس تحولات زمان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پیداشده است 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زمینه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اختلاف‌نظر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آیا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س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یره‌های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متأخر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مقبول باشد یا خیر؟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مشهور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کلی آن را رد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کلمات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شهید صدر نشان از تمایل به بخش زیادی از آن است.</w:t>
      </w:r>
    </w:p>
    <w:p w:rsidR="00A72F24" w:rsidRDefault="00A72F2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برخی نیز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تقلید سیره ایست که متجدداً پدید آمده است اما چون در فضایی عقلایی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آمده است حجیت خواهد داشت.</w:t>
      </w:r>
    </w:p>
    <w:p w:rsidR="009E4228" w:rsidRDefault="009E4228" w:rsidP="009E4228">
      <w:pPr>
        <w:pStyle w:val="Heading2"/>
        <w:rPr>
          <w:rtl/>
        </w:rPr>
      </w:pPr>
      <w:bookmarkStart w:id="9" w:name="_Toc432316538"/>
      <w:r>
        <w:rPr>
          <w:rFonts w:hint="cs"/>
          <w:rtl/>
        </w:rPr>
        <w:t>نظریات مخالف</w:t>
      </w:r>
      <w:bookmarkEnd w:id="9"/>
    </w:p>
    <w:p w:rsidR="00A72F24" w:rsidRDefault="00A72F2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هرچند که برخی این را جزیی از سیره رجوع جاهل به عالم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استدلال فوق را رد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عرف و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س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یره‌ها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ارتکازات جدید عقلایی پیدا شود و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بنا 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بعضی مبانی این موارد مقبول باشند و دلیلی برای حکم شوند یا در حالتی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خفیف‌تر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گفته </w:t>
      </w: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شود که تحولات زمان و مکان مصادیق نو برای احکام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ی‌آورد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علی‌رغم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امر است که سیره دلیلی لبی است و باید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به‌قدر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متیقن آن اخذ نمود.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تحولات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منجر به گستردگی فقه شود.</w:t>
      </w:r>
    </w:p>
    <w:p w:rsidR="009E4228" w:rsidRDefault="009E4228" w:rsidP="009E4228">
      <w:pPr>
        <w:pStyle w:val="Heading2"/>
        <w:rPr>
          <w:rtl/>
        </w:rPr>
      </w:pPr>
      <w:bookmarkStart w:id="10" w:name="_Toc432316539"/>
      <w:r>
        <w:rPr>
          <w:rFonts w:hint="cs"/>
          <w:rtl/>
        </w:rPr>
        <w:t>تأثیر شرایط بر روحیات مجتهد</w:t>
      </w:r>
      <w:bookmarkEnd w:id="10"/>
    </w:p>
    <w:p w:rsidR="00A72F24" w:rsidRDefault="00A72F24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بند پانزدهم نکته ایست که سابقاً نیز بدان اشاره شد که احوالات زمان و مکان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 روحیات مجتهد اثر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ی‌گذارد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این اثر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اجتهاد او صاحب اثر خواهد بود که این گفتار در مواردی </w:t>
      </w:r>
      <w:r w:rsidR="00AA5D49">
        <w:rPr>
          <w:rFonts w:ascii="IRBadr" w:hAnsi="IRBadr" w:cs="IRBadr" w:hint="cs"/>
          <w:sz w:val="28"/>
          <w:szCs w:val="28"/>
          <w:rtl/>
          <w:lang w:bidi="fa-IR"/>
        </w:rPr>
        <w:t>صحیح و در مواردی مردود است.</w:t>
      </w:r>
    </w:p>
    <w:p w:rsidR="00AA5D49" w:rsidRDefault="00AA5D49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بند سیزدهم به نحو کلی فقه را دستخوش نسبیت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نبود و از نگاه برون و درون دینی آن را مردود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می‌دانیم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سایر بندها از اموری بودند که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اجتهاد اثر بگذارند و اجتهاد سنتی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امام فرمودند و دارای محور ثابت است،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دارای پویایی باشد.</w:t>
      </w:r>
    </w:p>
    <w:p w:rsidR="00AA5D49" w:rsidRDefault="00AA5D49" w:rsidP="009E4228">
      <w:pPr>
        <w:pStyle w:val="Heading3"/>
        <w:rPr>
          <w:rtl/>
        </w:rPr>
      </w:pPr>
      <w:bookmarkStart w:id="11" w:name="_Toc432316540"/>
      <w:r>
        <w:rPr>
          <w:rFonts w:hint="cs"/>
          <w:rtl/>
        </w:rPr>
        <w:t>تمکله بحث</w:t>
      </w:r>
      <w:bookmarkEnd w:id="11"/>
    </w:p>
    <w:p w:rsidR="00AA5D49" w:rsidRDefault="00AA5D49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تکمیل بحث لازم است به نکاتی اشاره شود که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است؛</w:t>
      </w:r>
    </w:p>
    <w:p w:rsidR="009E4228" w:rsidRDefault="009E4228" w:rsidP="009E4228">
      <w:pPr>
        <w:pStyle w:val="Heading3"/>
        <w:rPr>
          <w:rtl/>
        </w:rPr>
      </w:pPr>
      <w:bookmarkStart w:id="12" w:name="_Toc432316541"/>
      <w:r>
        <w:rPr>
          <w:rFonts w:hint="cs"/>
          <w:rtl/>
        </w:rPr>
        <w:t>تکمله اول</w:t>
      </w:r>
      <w:bookmarkEnd w:id="12"/>
    </w:p>
    <w:p w:rsidR="00AA5D49" w:rsidRDefault="00AA5D49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احکام ولایی جزء فقه است و این تحولات در این زمینه نقش بسیار واسعی دارد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قانون اساسی ما مشتمل بر عناوینی است که بر عناوین اولی و ثانوی فقه وجود ندارد و برگرفته از احکام ولایی و در پی اعصار برخی از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قابل‌تحول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احکام ولایی تابع مصالح و مفاسد و تشخیص ولی امر در این راستاست.</w:t>
      </w:r>
    </w:p>
    <w:p w:rsidR="009E4228" w:rsidRDefault="009E4228" w:rsidP="009E4228">
      <w:pPr>
        <w:pStyle w:val="Heading3"/>
        <w:rPr>
          <w:rtl/>
        </w:rPr>
      </w:pPr>
      <w:bookmarkStart w:id="13" w:name="_Toc432316542"/>
      <w:r>
        <w:rPr>
          <w:rFonts w:hint="cs"/>
          <w:rtl/>
        </w:rPr>
        <w:t>قلمرو احکام ولایی</w:t>
      </w:r>
      <w:bookmarkEnd w:id="13"/>
    </w:p>
    <w:p w:rsidR="00AA5D49" w:rsidRDefault="0082238F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به‌عبارت‌دیگر</w:t>
      </w:r>
      <w:r w:rsidR="00AA5D49">
        <w:rPr>
          <w:rFonts w:ascii="IRBadr" w:hAnsi="IRBadr" w:cs="IRBadr" w:hint="cs"/>
          <w:sz w:val="28"/>
          <w:szCs w:val="28"/>
          <w:rtl/>
          <w:lang w:bidi="fa-IR"/>
        </w:rPr>
        <w:t xml:space="preserve"> فقه موجود فقه با عناوین اولی و ثانوی است که در طرفی دیگر فقه ولایی است.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A5D49">
        <w:rPr>
          <w:rFonts w:ascii="IRBadr" w:hAnsi="IRBadr" w:cs="IRBadr" w:hint="cs"/>
          <w:sz w:val="28"/>
          <w:szCs w:val="28"/>
          <w:rtl/>
          <w:lang w:bidi="fa-IR"/>
        </w:rPr>
        <w:t xml:space="preserve"> مورد اول تغییرات بدین گستردگی نیست.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بندها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="00AA5D49">
        <w:rPr>
          <w:rFonts w:ascii="IRBadr" w:hAnsi="IRBadr" w:cs="IRBadr" w:hint="cs"/>
          <w:sz w:val="28"/>
          <w:szCs w:val="28"/>
          <w:rtl/>
          <w:lang w:bidi="fa-IR"/>
        </w:rPr>
        <w:t xml:space="preserve"> که در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AA5D49">
        <w:rPr>
          <w:rFonts w:ascii="IRBadr" w:hAnsi="IRBadr" w:cs="IRBadr" w:hint="cs"/>
          <w:sz w:val="28"/>
          <w:szCs w:val="28"/>
          <w:rtl/>
          <w:lang w:bidi="fa-IR"/>
        </w:rPr>
        <w:t xml:space="preserve"> گذشته تببین شد بیشتر مربوط به مورد اول بود.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به‌عنوان‌مثال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در موارد ایجاد </w:t>
      </w:r>
      <w:r>
        <w:rPr>
          <w:rFonts w:ascii="IRBadr" w:hAnsi="IRBadr" w:cs="IRBadr" w:hint="cs"/>
          <w:sz w:val="28"/>
          <w:szCs w:val="28"/>
          <w:rtl/>
          <w:lang w:bidi="fa-IR"/>
        </w:rPr>
        <w:t>هرج‌ومرج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یا تزاحمات است که طبق فرمایش امام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احکام اولیه را 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مثل حج برای مدتی تعطیل نمود </w:t>
      </w:r>
      <w:r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که در موارد تشخیص مصلحت نیز برای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آمد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معینی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تعطیل نمود که ولایت مطلق این موارد را دربر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E4228" w:rsidRDefault="0082238F" w:rsidP="009E4228">
      <w:pPr>
        <w:pStyle w:val="Heading3"/>
        <w:rPr>
          <w:rtl/>
        </w:rPr>
      </w:pPr>
      <w:r>
        <w:rPr>
          <w:rFonts w:hint="cs"/>
          <w:rtl/>
        </w:rPr>
        <w:lastRenderedPageBreak/>
        <w:t>نتیجه‌گیری</w:t>
      </w:r>
    </w:p>
    <w:p w:rsidR="00F74740" w:rsidRDefault="0082238F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دامنه فقه ولایی در موردی به جعل الزامات در قلمرو مباحات </w:t>
      </w:r>
      <w:r>
        <w:rPr>
          <w:rFonts w:ascii="IRBadr" w:hAnsi="IRBadr" w:cs="IRBadr" w:hint="cs"/>
          <w:sz w:val="28"/>
          <w:szCs w:val="28"/>
          <w:rtl/>
          <w:lang w:bidi="fa-IR"/>
        </w:rPr>
        <w:t>تعلق‌گرفته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که بر اساس مصالح و مفاسد است.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موردی تطبیق عناوین کلیه الزامی و غیر الزامی است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که حکم اجتماعی است که فقیه باید مصادیق آن را تشخیص دهد.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مورد بعد تزاحمات است و مورد چهارم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به‌جایی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تعلق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که ولی مصلحتی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ی‌بیند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که ولو به حد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>تزاحم نرسیده است ولی بر اساس ولایت مطلقه فقیه چنین حقی را دارد.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F74740">
        <w:rPr>
          <w:rFonts w:ascii="IRBadr" w:hAnsi="IRBadr" w:cs="IRBadr" w:hint="cs"/>
          <w:sz w:val="28"/>
          <w:szCs w:val="28"/>
          <w:rtl/>
          <w:lang w:bidi="fa-IR"/>
        </w:rPr>
        <w:t xml:space="preserve"> موارد بر اساس استقراء بوده و ممکن است گسترش یابد.</w:t>
      </w:r>
    </w:p>
    <w:p w:rsidR="009E4228" w:rsidRDefault="009E4228" w:rsidP="009E4228">
      <w:pPr>
        <w:pStyle w:val="Heading3"/>
        <w:rPr>
          <w:rtl/>
        </w:rPr>
      </w:pPr>
      <w:bookmarkStart w:id="14" w:name="_Toc432316544"/>
      <w:r>
        <w:rPr>
          <w:rFonts w:hint="cs"/>
          <w:rtl/>
        </w:rPr>
        <w:t>حوزه تبلیغ احکام</w:t>
      </w:r>
      <w:bookmarkEnd w:id="14"/>
    </w:p>
    <w:p w:rsidR="00F74740" w:rsidRDefault="00F74740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دیگر در حوزه تبلیغ احکام بود که به حوزه اجتهاد تعلق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زمان و مکان بسیار بر این حالت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اثرگذار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فرد برای تربیت و هدایت دیگری از طریق اخلاق یا مورد دیگری وارد شود.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امام در تشکیل حکومت از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ش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یوه‌هایی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استفاده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درگذشته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نبوده است و حتی در روش تحقیق اجتهاد نیز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م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تحولات ذی اثر باشد.</w:t>
      </w:r>
    </w:p>
    <w:p w:rsidR="009E4228" w:rsidRDefault="009E4228" w:rsidP="009E4228">
      <w:pPr>
        <w:pStyle w:val="Heading3"/>
        <w:rPr>
          <w:rtl/>
        </w:rPr>
      </w:pPr>
      <w:bookmarkStart w:id="15" w:name="_Toc432316545"/>
      <w:r>
        <w:rPr>
          <w:rFonts w:hint="cs"/>
          <w:rtl/>
        </w:rPr>
        <w:t>اتخاذ مبنا</w:t>
      </w:r>
      <w:bookmarkEnd w:id="15"/>
    </w:p>
    <w:p w:rsidR="00F74740" w:rsidRDefault="00F74740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ما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علی‌رغم اینکه مدافع قاطع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 سنتی هستیم اما نباید چشم را بر روی این تحولات بست.</w:t>
      </w:r>
    </w:p>
    <w:p w:rsidR="009E4228" w:rsidRDefault="009E4228" w:rsidP="009E4228">
      <w:pPr>
        <w:pStyle w:val="Heading3"/>
        <w:rPr>
          <w:rtl/>
        </w:rPr>
      </w:pPr>
      <w:bookmarkStart w:id="16" w:name="_Toc432316546"/>
      <w:r>
        <w:rPr>
          <w:rFonts w:hint="cs"/>
          <w:rtl/>
        </w:rPr>
        <w:t>اجتهاد نظام ساز</w:t>
      </w:r>
      <w:bookmarkEnd w:id="16"/>
    </w:p>
    <w:p w:rsidR="00F74740" w:rsidRDefault="009E577C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مقدمه سیزدهم مربوط به اجتهاد نظام ساز است.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مطلب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دوره‌ها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متأخر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مطرح‌شده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نظام سازی فقه است و روشن است که از غرب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گرفته‌شده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قبحی در این نیست که ما عنوا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نی را از جایی اخذ کنیم و پس‌ازآن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سراغ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نظر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غربی برویم هرچند که این امور ریشه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درگذشته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دارد.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فقه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باید دارای نگاه کلان اجتماعی شود که بسیاری حتی از اهل سنت ضرورت آن را مطرح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یکی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راه‌ها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همین بحث نظام سازی است که مرحوم شهید صدر در اقتصادنا ورود مناسبی در این قلمرو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بر این تأسف خورد که ایشان منطق استقراء را مستقل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نوشته‌اند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هرچند ما آن را قبول نداریم.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ول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ایشان منطق نظامات را مستقلاً بیان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آن بحث را در ضمن اقتصادنا مطرح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E4228" w:rsidRDefault="009E4228" w:rsidP="009E4228">
      <w:pPr>
        <w:pStyle w:val="Heading3"/>
        <w:rPr>
          <w:rtl/>
        </w:rPr>
      </w:pPr>
      <w:bookmarkStart w:id="17" w:name="_Toc432316547"/>
      <w:r>
        <w:rPr>
          <w:rFonts w:hint="cs"/>
          <w:rtl/>
        </w:rPr>
        <w:lastRenderedPageBreak/>
        <w:t>تنقیح سبک شهید صدر در این مقام</w:t>
      </w:r>
      <w:bookmarkEnd w:id="17"/>
    </w:p>
    <w:p w:rsidR="009E577C" w:rsidRDefault="009E577C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ایشان در حوزه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روش‌شناسی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سه کار کلیدی را انجام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 xml:space="preserve"> که یکی اصول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المنطقیه است که در نظریه استقراء مطالب جدیدی را مطرح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یگری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تفسیر موضوعی است که غیر از تفسیر موضوعی قدیم است و ایشان در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سخنران</w:t>
      </w:r>
      <w:r w:rsidR="00A04E98">
        <w:rPr>
          <w:rFonts w:ascii="IRBadr" w:hAnsi="IRBadr" w:cs="IRBadr" w:hint="cs"/>
          <w:sz w:val="28"/>
          <w:szCs w:val="28"/>
          <w:rtl/>
          <w:lang w:bidi="fa-IR"/>
        </w:rPr>
        <w:t>ی‌های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اواخر عمر شریف خود ایراد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دیگری همین نظام سازی است که مستقل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ننوشته‌اند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ضمن اقتصادنا از آن بحث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2238F">
        <w:rPr>
          <w:rFonts w:ascii="IRBadr" w:hAnsi="IRBadr" w:cs="IRBadr" w:hint="cs"/>
          <w:sz w:val="28"/>
          <w:szCs w:val="28"/>
          <w:rtl/>
          <w:lang w:bidi="fa-IR"/>
        </w:rPr>
        <w:t>برجسته‌تر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ین کار شهید صدر در اینجا همان اقتصادناست که ناشی از رویکرد اجتماعی به فقه است.</w:t>
      </w:r>
    </w:p>
    <w:p w:rsidR="009E577C" w:rsidRDefault="009E577C" w:rsidP="009E42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بزرگان زیادی این کار را انجام </w:t>
      </w:r>
      <w:r w:rsidR="00A04E98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ایشان آن را منقح تر نموده است هرچند که تجربه جمهوری اسلامی و نگاه و بیان امام بسیار این مطلب را بیشتر بسط داده است.</w:t>
      </w:r>
    </w:p>
    <w:p w:rsidR="00F74740" w:rsidRDefault="00F74740" w:rsidP="00F74740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AA5D49" w:rsidRPr="00BC1C66" w:rsidRDefault="00AA5D49" w:rsidP="00AA5D49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AA5D49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67A" w:rsidRDefault="004C367A" w:rsidP="000D5800">
      <w:pPr>
        <w:spacing w:after="0" w:line="240" w:lineRule="auto"/>
      </w:pPr>
      <w:r>
        <w:separator/>
      </w:r>
    </w:p>
  </w:endnote>
  <w:endnote w:type="continuationSeparator" w:id="0">
    <w:p w:rsidR="004C367A" w:rsidRDefault="004C367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98" w:rsidRDefault="00A04E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98" w:rsidRDefault="00A04E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98" w:rsidRDefault="00A04E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67A" w:rsidRDefault="004C367A" w:rsidP="000D5800">
      <w:pPr>
        <w:spacing w:after="0" w:line="240" w:lineRule="auto"/>
      </w:pPr>
      <w:r>
        <w:separator/>
      </w:r>
    </w:p>
  </w:footnote>
  <w:footnote w:type="continuationSeparator" w:id="0">
    <w:p w:rsidR="004C367A" w:rsidRDefault="004C367A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98" w:rsidRDefault="00A04E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C1C6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0141B1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C1C66">
      <w:rPr>
        <w:rFonts w:ascii="IranNastaliq" w:hAnsi="IranNastaliq" w:cs="IranNastaliq" w:hint="cs"/>
        <w:sz w:val="40"/>
        <w:szCs w:val="40"/>
        <w:rtl/>
        <w:lang w:bidi="fa-IR"/>
      </w:rPr>
      <w:t>3794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98" w:rsidRDefault="00A04E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019F7-4FA0-457A-AB41-87B2D943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761</TotalTime>
  <Pages>6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35</cp:revision>
  <dcterms:created xsi:type="dcterms:W3CDTF">2014-11-18T06:47:00Z</dcterms:created>
  <dcterms:modified xsi:type="dcterms:W3CDTF">2015-10-11T10:34:00Z</dcterms:modified>
</cp:coreProperties>
</file>