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00" w:rsidRDefault="00850572" w:rsidP="00F43E00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F43E00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F43E00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F43E00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F43E00">
        <w:rPr>
          <w:rFonts w:ascii="IRBadr" w:hAnsi="IRBadr" w:cs="IRBadr" w:hint="cs"/>
          <w:sz w:val="28"/>
          <w:szCs w:val="28"/>
          <w:lang w:bidi="fa-IR"/>
        </w:rPr>
        <w:instrText>o "1-6" \h \z \u</w:instrText>
      </w:r>
      <w:r w:rsidR="00F43E00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F43E00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F43E00" w:rsidRDefault="00A962F1" w:rsidP="00F43E0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26" w:history="1">
        <w:r w:rsidR="00F43E00" w:rsidRPr="000E5E8C">
          <w:rPr>
            <w:rStyle w:val="Hyperlink"/>
            <w:rFonts w:hint="eastAsia"/>
            <w:noProof/>
            <w:rtl/>
          </w:rPr>
          <w:t>نظام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ساز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_Toc432174126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2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27" w:history="1">
        <w:r w:rsidR="00F43E00" w:rsidRPr="000E5E8C">
          <w:rPr>
            <w:rStyle w:val="Hyperlink"/>
            <w:rFonts w:hint="eastAsia"/>
            <w:noProof/>
            <w:rtl/>
          </w:rPr>
          <w:t>مرور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بحث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گذشته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_Toc432174127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2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28" w:history="1">
        <w:r w:rsidR="00F43E00" w:rsidRPr="000E5E8C">
          <w:rPr>
            <w:rStyle w:val="Hyperlink"/>
            <w:rFonts w:hint="eastAsia"/>
            <w:noProof/>
            <w:rtl/>
          </w:rPr>
          <w:t>تمث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ل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از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بحث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_Toc432174128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2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29" w:history="1">
        <w:r w:rsidR="00F43E00" w:rsidRPr="000E5E8C">
          <w:rPr>
            <w:rStyle w:val="Hyperlink"/>
            <w:rFonts w:hint="eastAsia"/>
            <w:noProof/>
            <w:rtl/>
          </w:rPr>
          <w:t>عوامل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اشتداد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گناه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_Toc432174129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2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30" w:history="1">
        <w:r w:rsidR="00F43E00" w:rsidRPr="000E5E8C">
          <w:rPr>
            <w:rStyle w:val="Hyperlink"/>
            <w:rFonts w:hint="eastAsia"/>
            <w:noProof/>
            <w:rtl/>
          </w:rPr>
          <w:t>ثمرات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تجم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ع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در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مثال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فوق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_Toc432174130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2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31" w:history="1">
        <w:r w:rsidR="001A3DBA">
          <w:rPr>
            <w:rStyle w:val="Hyperlink"/>
            <w:rFonts w:hint="eastAsia"/>
            <w:noProof/>
            <w:rtl/>
          </w:rPr>
          <w:t>جمع‌بندی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_Toc432174131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3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32" w:history="1">
        <w:r w:rsidR="00F43E00" w:rsidRPr="000E5E8C">
          <w:rPr>
            <w:rStyle w:val="Hyperlink"/>
            <w:rFonts w:hint="eastAsia"/>
            <w:noProof/>
            <w:rtl/>
          </w:rPr>
          <w:t>روند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1A3DBA">
          <w:rPr>
            <w:rStyle w:val="Hyperlink"/>
            <w:rFonts w:hint="eastAsia"/>
            <w:noProof/>
            <w:rtl/>
          </w:rPr>
          <w:t>نظریه‌سازی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_Toc432174132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3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33" w:history="1">
        <w:r w:rsidR="00F43E00" w:rsidRPr="000E5E8C">
          <w:rPr>
            <w:rStyle w:val="Hyperlink"/>
            <w:rFonts w:hint="eastAsia"/>
            <w:noProof/>
            <w:rtl/>
          </w:rPr>
          <w:t>نظر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ه‌ها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عقل‌گرا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_Toc432174133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3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34" w:history="1">
        <w:r w:rsidR="00F43E00" w:rsidRPr="000E5E8C">
          <w:rPr>
            <w:rStyle w:val="Hyperlink"/>
            <w:rFonts w:hint="eastAsia"/>
            <w:noProof/>
            <w:rtl/>
          </w:rPr>
          <w:t>نظر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ه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ش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عه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_Toc432174134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4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35" w:history="1">
        <w:r w:rsidR="00F43E00" w:rsidRPr="000E5E8C">
          <w:rPr>
            <w:rStyle w:val="Hyperlink"/>
            <w:rFonts w:hint="eastAsia"/>
            <w:noProof/>
            <w:rtl/>
          </w:rPr>
          <w:t>نت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جه‌گ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ر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_Toc432174135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4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A962F1" w:rsidP="00F43E0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4136" w:history="1">
        <w:r w:rsidR="00F43E00" w:rsidRPr="000E5E8C">
          <w:rPr>
            <w:rStyle w:val="Hyperlink"/>
            <w:rFonts w:hint="eastAsia"/>
            <w:noProof/>
            <w:rtl/>
          </w:rPr>
          <w:t>ت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سر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حج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 w:rsidRPr="000E5E8C">
          <w:rPr>
            <w:rStyle w:val="Hyperlink"/>
            <w:rFonts w:hint="eastAsia"/>
            <w:noProof/>
            <w:rtl/>
          </w:rPr>
          <w:t>ت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نظام</w:t>
        </w:r>
        <w:r w:rsidR="00F43E00" w:rsidRPr="000E5E8C">
          <w:rPr>
            <w:rStyle w:val="Hyperlink"/>
            <w:noProof/>
            <w:rtl/>
          </w:rPr>
          <w:t xml:space="preserve"> </w:t>
        </w:r>
        <w:r w:rsidR="00F43E00" w:rsidRPr="000E5E8C">
          <w:rPr>
            <w:rStyle w:val="Hyperlink"/>
            <w:rFonts w:hint="eastAsia"/>
            <w:noProof/>
            <w:rtl/>
          </w:rPr>
          <w:t>ساز</w:t>
        </w:r>
        <w:r w:rsidR="00F43E00" w:rsidRPr="000E5E8C">
          <w:rPr>
            <w:rStyle w:val="Hyperlink"/>
            <w:rFonts w:hint="cs"/>
            <w:noProof/>
            <w:rtl/>
          </w:rPr>
          <w:t>ی</w:t>
        </w:r>
        <w:r w:rsidR="00F43E00">
          <w:rPr>
            <w:noProof/>
            <w:webHidden/>
          </w:rPr>
          <w:tab/>
        </w:r>
        <w:r w:rsidR="00F43E00">
          <w:rPr>
            <w:noProof/>
            <w:webHidden/>
          </w:rPr>
          <w:fldChar w:fldCharType="begin"/>
        </w:r>
        <w:r w:rsidR="00F43E00">
          <w:rPr>
            <w:noProof/>
            <w:webHidden/>
          </w:rPr>
          <w:instrText xml:space="preserve"> PAGEREF _Toc432174136 \h </w:instrText>
        </w:r>
        <w:r w:rsidR="00F43E00">
          <w:rPr>
            <w:noProof/>
            <w:webHidden/>
          </w:rPr>
        </w:r>
        <w:r w:rsidR="00F43E00">
          <w:rPr>
            <w:noProof/>
            <w:webHidden/>
          </w:rPr>
          <w:fldChar w:fldCharType="separate"/>
        </w:r>
        <w:r w:rsidR="00F43E00">
          <w:rPr>
            <w:noProof/>
            <w:webHidden/>
          </w:rPr>
          <w:t>5</w:t>
        </w:r>
        <w:r w:rsidR="00F43E00">
          <w:rPr>
            <w:noProof/>
            <w:webHidden/>
          </w:rPr>
          <w:fldChar w:fldCharType="end"/>
        </w:r>
      </w:hyperlink>
    </w:p>
    <w:p w:rsidR="00F43E00" w:rsidRDefault="00F43E00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43E00" w:rsidRDefault="00F43E00" w:rsidP="00F43E00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:rsidR="00D00DA5" w:rsidRDefault="00D00DA5" w:rsidP="00F43E00">
      <w:pPr>
        <w:pStyle w:val="Heading1"/>
        <w:rPr>
          <w:rtl/>
        </w:rPr>
      </w:pPr>
      <w:bookmarkStart w:id="0" w:name="_Toc432174076"/>
      <w:bookmarkStart w:id="1" w:name="_Toc432174126"/>
      <w:r w:rsidRPr="00D00DA5">
        <w:rPr>
          <w:rtl/>
        </w:rPr>
        <w:lastRenderedPageBreak/>
        <w:t>نظام سازی</w:t>
      </w:r>
      <w:bookmarkEnd w:id="0"/>
      <w:bookmarkEnd w:id="1"/>
    </w:p>
    <w:p w:rsidR="00D00DA5" w:rsidRPr="00D00DA5" w:rsidRDefault="00D00DA5" w:rsidP="00F43E00">
      <w:pPr>
        <w:pStyle w:val="Heading1"/>
        <w:rPr>
          <w:rtl/>
        </w:rPr>
      </w:pPr>
      <w:bookmarkStart w:id="2" w:name="_Toc432174077"/>
      <w:bookmarkStart w:id="3" w:name="_Toc432174127"/>
      <w:r>
        <w:rPr>
          <w:rFonts w:hint="cs"/>
          <w:rtl/>
        </w:rPr>
        <w:t>مرور بحث گذشته</w:t>
      </w:r>
      <w:bookmarkEnd w:id="2"/>
      <w:bookmarkEnd w:id="3"/>
    </w:p>
    <w:p w:rsidR="00D00DA5" w:rsidRDefault="00D00DA5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در مقدمه سیزدهم عمدتاً در قبال نظام سازی و استکشافات نظامات از تجمیع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فقهی بود و در این مقام مدعی این بود که 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گزاره‌ای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فقهی را پیرامون موضوعی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جمع نمود.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نکات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ذیل این بحث مطرح گردید و مثالاتی در آن زمینه 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اقتصادنا نقل شد که عمده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گزاره‌ها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حوزه اقتصاد است.</w:t>
      </w:r>
    </w:p>
    <w:p w:rsidR="00D00DA5" w:rsidRDefault="00D00DA5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چندین بار بحث شده است که 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 بحث ذیل است.</w:t>
      </w:r>
    </w:p>
    <w:p w:rsidR="00F43E00" w:rsidRPr="00D00DA5" w:rsidRDefault="00F43E00" w:rsidP="00F43E00">
      <w:pPr>
        <w:pStyle w:val="Heading2"/>
        <w:rPr>
          <w:rtl/>
        </w:rPr>
      </w:pPr>
      <w:bookmarkStart w:id="4" w:name="_Toc432174078"/>
      <w:bookmarkStart w:id="5" w:name="_Toc432174128"/>
      <w:r>
        <w:rPr>
          <w:rFonts w:hint="cs"/>
          <w:rtl/>
        </w:rPr>
        <w:t>تمثیلی از بحث</w:t>
      </w:r>
      <w:bookmarkEnd w:id="4"/>
      <w:bookmarkEnd w:id="5"/>
    </w:p>
    <w:p w:rsidR="006F7CDF" w:rsidRPr="00F43E00" w:rsidRDefault="006F7CDF" w:rsidP="00F43E00">
      <w:pPr>
        <w:pStyle w:val="Heading2"/>
        <w:rPr>
          <w:sz w:val="42"/>
          <w:rtl/>
        </w:rPr>
      </w:pPr>
      <w:bookmarkStart w:id="6" w:name="_Toc432174079"/>
      <w:bookmarkStart w:id="7" w:name="_Toc432174129"/>
      <w:r w:rsidRPr="00F43E00">
        <w:rPr>
          <w:rFonts w:hint="cs"/>
          <w:sz w:val="42"/>
          <w:rtl/>
        </w:rPr>
        <w:t>عوامل</w:t>
      </w:r>
      <w:r w:rsidRPr="00F43E00">
        <w:rPr>
          <w:sz w:val="42"/>
          <w:rtl/>
        </w:rPr>
        <w:t xml:space="preserve"> اشتداد گناه</w:t>
      </w:r>
      <w:bookmarkEnd w:id="6"/>
      <w:bookmarkEnd w:id="7"/>
    </w:p>
    <w:p w:rsidR="006F7CDF" w:rsidRDefault="006F7CDF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مرحوم فیض این نکته را در محجة البیضاء دارند که چه نکاتی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موجب اشتداد گناه شود،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نزدیک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به پانزده عامل در این امر دخیل است که از آن التذاذ،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ابتهاج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،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زمان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،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مکان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و عوامل دیگر است که عقاب را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دوچندان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00DA5">
        <w:rPr>
          <w:rFonts w:ascii="IRBadr" w:hAnsi="IRBadr" w:cs="IRBadr" w:hint="cs"/>
          <w:sz w:val="28"/>
          <w:szCs w:val="28"/>
          <w:rtl/>
          <w:lang w:bidi="fa-IR"/>
        </w:rPr>
        <w:t xml:space="preserve"> اینجا این سؤال وجود دارد که چه اموری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D00DA5">
        <w:rPr>
          <w:rFonts w:ascii="IRBadr" w:hAnsi="IRBadr" w:cs="IRBadr" w:hint="cs"/>
          <w:sz w:val="28"/>
          <w:szCs w:val="28"/>
          <w:rtl/>
          <w:lang w:bidi="fa-IR"/>
        </w:rPr>
        <w:t xml:space="preserve"> منجر به افزایش عقاب در گناهان شود که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درزمینهٔ</w:t>
      </w:r>
      <w:r w:rsidR="00D00DA5">
        <w:rPr>
          <w:rFonts w:ascii="IRBadr" w:hAnsi="IRBadr" w:cs="IRBadr" w:hint="cs"/>
          <w:sz w:val="28"/>
          <w:szCs w:val="28"/>
          <w:rtl/>
          <w:lang w:bidi="fa-IR"/>
        </w:rPr>
        <w:t xml:space="preserve"> اطاعت نیز هست.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من</w:t>
      </w:r>
      <w:r w:rsidR="00D00DA5">
        <w:rPr>
          <w:rFonts w:ascii="IRBadr" w:hAnsi="IRBadr" w:cs="IRBadr" w:hint="cs"/>
          <w:sz w:val="28"/>
          <w:szCs w:val="28"/>
          <w:rtl/>
          <w:lang w:bidi="fa-IR"/>
        </w:rPr>
        <w:t xml:space="preserve"> این عوامل را به نزدیک پانزده مورد رساندم.</w:t>
      </w:r>
    </w:p>
    <w:p w:rsidR="00D00DA5" w:rsidRDefault="00D00DA5" w:rsidP="00F43E00">
      <w:pPr>
        <w:pStyle w:val="Heading2"/>
        <w:rPr>
          <w:rtl/>
        </w:rPr>
      </w:pPr>
      <w:bookmarkStart w:id="8" w:name="_Toc432174080"/>
      <w:bookmarkStart w:id="9" w:name="_Toc432174130"/>
      <w:r>
        <w:rPr>
          <w:rFonts w:hint="cs"/>
          <w:rtl/>
        </w:rPr>
        <w:t>ثمرات تجمیع در مثال فوق</w:t>
      </w:r>
      <w:bookmarkEnd w:id="8"/>
      <w:bookmarkEnd w:id="9"/>
    </w:p>
    <w:p w:rsidR="00F43E00" w:rsidRDefault="00D00DA5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موارد گاهی صغیره را گاهی تبدیل به کبیره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حالات دیگری که در این زمینه وجود دارد.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ما این روایات را در کنار یکدیگر گذاشته و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منظومه‌ای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تشکیل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ی‌دهیم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6F7CDF" w:rsidRPr="00D00DA5">
        <w:rPr>
          <w:rFonts w:ascii="IRBadr" w:hAnsi="IRBadr" w:cs="IRBadr"/>
          <w:sz w:val="28"/>
          <w:szCs w:val="28"/>
          <w:rtl/>
          <w:lang w:bidi="fa-IR"/>
        </w:rPr>
        <w:t xml:space="preserve"> در کنار هم گذاشتن این موارد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6F7CDF" w:rsidRPr="00D00DA5">
        <w:rPr>
          <w:rFonts w:ascii="IRBadr" w:hAnsi="IRBadr" w:cs="IRBadr"/>
          <w:sz w:val="28"/>
          <w:szCs w:val="28"/>
          <w:rtl/>
          <w:lang w:bidi="fa-IR"/>
        </w:rPr>
        <w:t xml:space="preserve"> به نکته کلی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دست‌یافت</w:t>
      </w:r>
      <w:r w:rsidR="006F7CDF" w:rsidRPr="00D00DA5">
        <w:rPr>
          <w:rFonts w:ascii="IRBadr" w:hAnsi="IRBadr" w:cs="IRBadr"/>
          <w:sz w:val="28"/>
          <w:szCs w:val="28"/>
          <w:rtl/>
          <w:lang w:bidi="fa-IR"/>
        </w:rPr>
        <w:t>؛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میزان</w:t>
      </w:r>
      <w:r w:rsidR="006F7CDF" w:rsidRPr="00D00DA5">
        <w:rPr>
          <w:rFonts w:ascii="IRBadr" w:hAnsi="IRBadr" w:cs="IRBadr"/>
          <w:sz w:val="28"/>
          <w:szCs w:val="28"/>
          <w:rtl/>
          <w:lang w:bidi="fa-IR"/>
        </w:rPr>
        <w:t xml:space="preserve"> افزایش عقاب تابع میزان تجری انسان است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او چه میزان جرئت ورزیده و در برابر مولی مقاومت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6F7CDF" w:rsidRPr="00D00DA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F7CDF" w:rsidRDefault="006F7CDF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ملاک دوم اینکه تابع میزان اثری است که آن گناه ایجاد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.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نوعی از تجمیع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و رسیدن به قوانین پایه است.</w:t>
      </w:r>
    </w:p>
    <w:p w:rsidR="00F43E00" w:rsidRDefault="001A3DBA" w:rsidP="00F43E00">
      <w:pPr>
        <w:pStyle w:val="Heading2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D00DA5" w:rsidRDefault="00D00DA5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نوعی تجمیع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رسیدن به عناوین پایه است.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البته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متفرق‌اند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چراکه برخی از این روایات در کتاب حج،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برخ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کتاب صلاة وجود دارد که برای رسیدن به نتیجه باید این متفرقات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جمع‌آوری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گردد که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پس‌ازآن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حدس،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گمان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تحلیلی به این نتیجه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ی‌رسیم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هرچه قدر تجزی در قبال مولی بیشتر باشد موجب اشتداد گناه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عامل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نیز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تأثیرگذاری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الهام دهی و ایجاد محیط مسموم گناه است.</w:t>
      </w:r>
    </w:p>
    <w:p w:rsidR="00D00DA5" w:rsidRDefault="00D00DA5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حوزه فقهی و اخلاقی نیز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مثال‌ها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متفاوتی وجود دارد که سابقاً بدان اشاره شد.</w:t>
      </w:r>
    </w:p>
    <w:p w:rsidR="00F43E00" w:rsidRDefault="00F43E00" w:rsidP="00F43E00">
      <w:pPr>
        <w:pStyle w:val="Heading2"/>
        <w:rPr>
          <w:rtl/>
        </w:rPr>
      </w:pPr>
      <w:bookmarkStart w:id="10" w:name="_Toc432174082"/>
      <w:bookmarkStart w:id="11" w:name="_Toc432174132"/>
      <w:r>
        <w:rPr>
          <w:rFonts w:hint="cs"/>
          <w:rtl/>
        </w:rPr>
        <w:t xml:space="preserve">روند </w:t>
      </w:r>
      <w:r w:rsidR="001A3DBA">
        <w:rPr>
          <w:rFonts w:hint="cs"/>
          <w:rtl/>
        </w:rPr>
        <w:t>نظریه‌سازی</w:t>
      </w:r>
      <w:bookmarkEnd w:id="10"/>
      <w:bookmarkEnd w:id="11"/>
    </w:p>
    <w:p w:rsidR="00F43E00" w:rsidRDefault="00D00DA5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دیگر این است که در تجمیع فراغ زیادی وجود دارد که در یک علم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نگرش‌ها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مختلف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برش‌ها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جدیدی زد که هر برشی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مقدمه‌ای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رسیدن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قاعده‌ای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تازه باشد که ما از ورای ای</w: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t>ن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تبویب به قواعد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پایه‌ای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ی‌رسیم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بدان نظام یا مکتب اطلاق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D00DA5" w:rsidRPr="00D00DA5" w:rsidRDefault="00D00DA5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روند فرضیه و </w:t>
      </w:r>
      <w:r w:rsidR="001A3DBA">
        <w:rPr>
          <w:rFonts w:ascii="IRBadr" w:hAnsi="IRBadr" w:cs="IRBadr" w:hint="cs"/>
          <w:sz w:val="28"/>
          <w:szCs w:val="28"/>
          <w:rtl/>
          <w:lang w:bidi="fa-IR"/>
        </w:rPr>
        <w:t>نظریه‌سازی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از اهمیت بالایی برخوردار است که در بسیاری از موارد مثل قواعد علمی از یک فرضیه شروع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به نظریه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ی‌رسید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از حدش تا رسیدن به نتیجه ادامه دارد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و ممکن است فرد احیاناً به مرحله قطع برسد که از دشواری بالایی برخوردار است.</w:t>
      </w:r>
    </w:p>
    <w:p w:rsidR="006F7CDF" w:rsidRPr="00D00DA5" w:rsidRDefault="00492CFF" w:rsidP="00F43E00">
      <w:pPr>
        <w:pStyle w:val="Heading2"/>
        <w:rPr>
          <w:rtl/>
        </w:rPr>
      </w:pPr>
      <w:bookmarkStart w:id="12" w:name="_Toc432174083"/>
      <w:bookmarkStart w:id="13" w:name="_Toc432174133"/>
      <w:r w:rsidRPr="00D00DA5">
        <w:rPr>
          <w:rtl/>
        </w:rPr>
        <w:t>نظریه‌های</w:t>
      </w:r>
      <w:r w:rsidR="006F7CDF" w:rsidRPr="00D00DA5">
        <w:rPr>
          <w:rtl/>
        </w:rPr>
        <w:t xml:space="preserve"> </w:t>
      </w:r>
      <w:r w:rsidRPr="00D00DA5">
        <w:rPr>
          <w:rtl/>
        </w:rPr>
        <w:t>عقل‌گرا</w:t>
      </w:r>
      <w:bookmarkEnd w:id="12"/>
      <w:bookmarkEnd w:id="13"/>
    </w:p>
    <w:p w:rsidR="006F7CDF" w:rsidRPr="00D00DA5" w:rsidRDefault="006F7CDF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t>در میان عامه امور مختلفی از قیبل استحسان،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سد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ذرائع و دیگر امور مشاهده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که مذهب مصوبه نیز در همین راستا معنا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می‌یابد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،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مذهبی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که قائلین آن عقیده دارند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چیزی قرار ندارد.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93C52" w:rsidRPr="00D00DA5">
        <w:rPr>
          <w:rFonts w:ascii="IRBadr" w:hAnsi="IRBadr" w:cs="IRBadr"/>
          <w:sz w:val="28"/>
          <w:szCs w:val="28"/>
          <w:rtl/>
          <w:lang w:bidi="fa-IR"/>
        </w:rPr>
        <w:t xml:space="preserve">فقهای عامه تصویب را به این شق قبول ندارند،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193C52" w:rsidRPr="00D00DA5">
        <w:rPr>
          <w:rFonts w:ascii="IRBadr" w:hAnsi="IRBadr" w:cs="IRBadr"/>
          <w:sz w:val="28"/>
          <w:szCs w:val="28"/>
          <w:rtl/>
          <w:lang w:bidi="fa-IR"/>
        </w:rPr>
        <w:t xml:space="preserve"> ما می‌رسیم به آنچه واقع است.</w:t>
      </w:r>
    </w:p>
    <w:p w:rsidR="00EF026B" w:rsidRPr="00D00DA5" w:rsidRDefault="00EF026B" w:rsidP="00F43E00">
      <w:pPr>
        <w:pStyle w:val="Heading2"/>
        <w:rPr>
          <w:rtl/>
        </w:rPr>
      </w:pPr>
      <w:bookmarkStart w:id="14" w:name="_Toc432174084"/>
      <w:bookmarkStart w:id="15" w:name="_Toc432174134"/>
      <w:r w:rsidRPr="00D00DA5">
        <w:rPr>
          <w:rtl/>
        </w:rPr>
        <w:lastRenderedPageBreak/>
        <w:t>نظریه شیعه</w:t>
      </w:r>
      <w:bookmarkEnd w:id="14"/>
      <w:bookmarkEnd w:id="15"/>
    </w:p>
    <w:p w:rsidR="00B45503" w:rsidRPr="00D00DA5" w:rsidRDefault="00193C52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این نگاه می‌گوید ما در ما لا نص فیه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باعقل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بشری خودمان در قالب‌های گوناگون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شرع</w:t>
      </w:r>
      <w:r w:rsidR="006F7CDF" w:rsidRPr="00D00DA5">
        <w:rPr>
          <w:rFonts w:ascii="IRBadr" w:hAnsi="IRBadr" w:cs="IRBadr"/>
          <w:sz w:val="28"/>
          <w:szCs w:val="28"/>
          <w:rtl/>
          <w:lang w:bidi="fa-IR"/>
        </w:rPr>
        <w:t xml:space="preserve"> راه می‌یابیم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، یا اینکه حکم ساز می‌شویم که شارع هم آن را تأیید می‌کند.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تکیه</w:t>
      </w:r>
      <w:r w:rsidR="00B45503" w:rsidRPr="00D00DA5">
        <w:rPr>
          <w:rFonts w:ascii="IRBadr" w:hAnsi="IRBadr" w:cs="IRBadr"/>
          <w:sz w:val="28"/>
          <w:szCs w:val="28"/>
          <w:rtl/>
          <w:lang w:bidi="fa-IR"/>
        </w:rPr>
        <w:t xml:space="preserve"> این نظریه بر عقل ظنی است که از دیدگاه امامیه فاقد حجیت است.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45503" w:rsidRPr="00D00D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جامع‌ترین منبع روایی در باب منع از اعمال قیاس و استحسان</w:t>
      </w:r>
      <w:r w:rsidR="00B45503" w:rsidRPr="00D00DA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جلد اول جامع </w:t>
      </w:r>
      <w:r w:rsidR="00B45503" w:rsidRPr="00D00DA5">
        <w:rPr>
          <w:rFonts w:ascii="IRBadr" w:hAnsi="IRBadr" w:cs="IRBadr"/>
          <w:sz w:val="28"/>
          <w:szCs w:val="28"/>
          <w:rtl/>
          <w:lang w:bidi="fa-IR"/>
        </w:rPr>
        <w:t>ا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حادیث الشیعه مرحوم آقای بروجردی است.</w:t>
      </w:r>
    </w:p>
    <w:p w:rsidR="00EF026B" w:rsidRPr="00D00DA5" w:rsidRDefault="00EF026B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مشخص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است که قیاس منصوص العلة قیاسی نیست که منهی روایات بوده باشد.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تنقیح مناط که مظان خطر است که فرد باید به علت حکم قطع پیدا کند.</w:t>
      </w:r>
    </w:p>
    <w:p w:rsidR="00EF026B" w:rsidRPr="00D00DA5" w:rsidRDefault="00492CFF" w:rsidP="00F43E00">
      <w:pPr>
        <w:pStyle w:val="Heading2"/>
        <w:rPr>
          <w:rtl/>
        </w:rPr>
      </w:pPr>
      <w:bookmarkStart w:id="16" w:name="_Toc432174085"/>
      <w:bookmarkStart w:id="17" w:name="_Toc432174135"/>
      <w:r w:rsidRPr="00D00DA5">
        <w:rPr>
          <w:rtl/>
        </w:rPr>
        <w:t>نتیجه‌گیری</w:t>
      </w:r>
      <w:bookmarkEnd w:id="16"/>
      <w:bookmarkEnd w:id="17"/>
    </w:p>
    <w:p w:rsidR="00EF026B" w:rsidRPr="00D00DA5" w:rsidRDefault="00492CFF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EF026B" w:rsidRPr="00D00DA5">
        <w:rPr>
          <w:rFonts w:ascii="IRBadr" w:hAnsi="IRBadr" w:cs="IRBadr"/>
          <w:sz w:val="28"/>
          <w:szCs w:val="28"/>
          <w:rtl/>
          <w:lang w:bidi="fa-IR"/>
        </w:rPr>
        <w:t xml:space="preserve"> در مواردی که فقیه به قطع 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="00EF026B" w:rsidRPr="00D00DA5">
        <w:rPr>
          <w:rFonts w:ascii="IRBadr" w:hAnsi="IRBadr" w:cs="IRBadr"/>
          <w:sz w:val="28"/>
          <w:szCs w:val="28"/>
          <w:rtl/>
          <w:lang w:bidi="fa-IR"/>
        </w:rPr>
        <w:t xml:space="preserve"> شامل این موارد 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EF026B" w:rsidRPr="00D00DA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EF026B" w:rsidRPr="00D00DA5">
        <w:rPr>
          <w:rFonts w:ascii="IRBadr" w:hAnsi="IRBadr" w:cs="IRBadr"/>
          <w:sz w:val="28"/>
          <w:szCs w:val="28"/>
          <w:rtl/>
          <w:lang w:bidi="fa-IR"/>
        </w:rPr>
        <w:t xml:space="preserve"> در همین زمینه فرموده شده؛</w:t>
      </w:r>
    </w:p>
    <w:p w:rsidR="00ED37D3" w:rsidRPr="00D00DA5" w:rsidRDefault="00ED37D3" w:rsidP="00D00DA5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</w:rPr>
      </w:pP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«عل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نا إلقاء الأصول و عل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 بالتفر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ع»</w:t>
      </w:r>
      <w:r w:rsidRPr="00D00DA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EF026B" w:rsidRPr="00D00DA5" w:rsidRDefault="00EF026B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از جهتی دیگر نیز شدیداً از اعمال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ظنی‌ات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غیر مؤیده در شریعت نهی شده است؛</w:t>
      </w:r>
    </w:p>
    <w:p w:rsidR="00ED37D3" w:rsidRPr="00D00DA5" w:rsidRDefault="00ED37D3" w:rsidP="00D00DA5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«عَنْهُ عَنْ مُحَمَّدٍ عَنْ 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أَبَانٍ عَنْ أَبِ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بَةَ قَالَ سَمِعْتُ أَبَا عَبْدِ اللَّهِ ع 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ضَلَّ عِلْمُ ابْنِ شُبْرُمَةَ عِنْدَ الْجَامِعَةِ إِمْلَاءِ رَسُولِ اللَّهِ ص وَ خَطِّ عَلِ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بِ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دِهِ إِنَّ الْجَامِعَةَ لَمْ تَدَعْ لِأَحَدٍ 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لَاماً 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عِلْمُ الْحَلَالِ وَ الْحَرَامِ إِنَّ أَصْحَابَ الْقِ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اسِ طَلَبُوا الْعِلْمَ بِالْقِ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اسِ فَلَمْ 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زْدَادُوا مِنَ الْحَقِّ إِلَّا بُعْداً إِنَّ دِ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اللَّهِ لَا 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صَابُ بِالْقِ</w:t>
      </w:r>
      <w:r w:rsidR="00492CFF"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00D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اسِ.»</w:t>
      </w:r>
      <w:r w:rsidRPr="00D00DA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EF026B" w:rsidRDefault="00EF026B" w:rsidP="00D00D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00DA5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لذا در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اخباری توصیفی موارد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به‌دست‌آمده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به‌راحتی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به شریعت نسبت داد.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در قبال سؤال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در ابتدای بحث باید گفت که این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فی الجمله 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ما را به منویات شارع برساند،</w:t>
      </w:r>
      <w:r w:rsidR="00492CFF" w:rsidRPr="00D00DA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D00DA5">
        <w:rPr>
          <w:rFonts w:ascii="IRBadr" w:hAnsi="IRBadr" w:cs="IRBadr"/>
          <w:sz w:val="28"/>
          <w:szCs w:val="28"/>
          <w:rtl/>
          <w:lang w:bidi="fa-IR"/>
        </w:rPr>
        <w:t xml:space="preserve"> در مواردی که منجر به حصول اطمینان شود.</w:t>
      </w:r>
    </w:p>
    <w:p w:rsidR="00F43E00" w:rsidRDefault="00F43E00" w:rsidP="00F43E00">
      <w:pPr>
        <w:pStyle w:val="Heading2"/>
        <w:rPr>
          <w:rtl/>
        </w:rPr>
      </w:pPr>
      <w:bookmarkStart w:id="19" w:name="_Toc432174086"/>
      <w:bookmarkStart w:id="20" w:name="_Toc432174136"/>
      <w:r>
        <w:rPr>
          <w:rFonts w:hint="cs"/>
          <w:rtl/>
        </w:rPr>
        <w:t>تیسر حجیت نظام سازی</w:t>
      </w:r>
      <w:bookmarkEnd w:id="19"/>
      <w:bookmarkEnd w:id="20"/>
    </w:p>
    <w:p w:rsidR="00F43E00" w:rsidRDefault="001A3DBA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t xml:space="preserve"> اولین مطلب در اینجا از همه این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گفته‌ها</w: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t xml:space="preserve"> این بود که آیا این قاعده و نظام سازی با ترکیبی که گفته شد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t xml:space="preserve"> ما را به </w:t>
      </w:r>
      <w:r>
        <w:rPr>
          <w:rFonts w:ascii="IRBadr" w:hAnsi="IRBadr" w:cs="IRBadr" w:hint="cs"/>
          <w:sz w:val="28"/>
          <w:szCs w:val="28"/>
          <w:rtl/>
          <w:lang w:bidi="fa-IR"/>
        </w:rPr>
        <w:t>گزاره‌هایی</w: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t xml:space="preserve"> از شارع و منسوب به او برساند که پاسخ این است که فی الجمله میسر است و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F43E00">
        <w:rPr>
          <w:rFonts w:ascii="IRBadr" w:hAnsi="IRBadr" w:cs="IRBadr" w:hint="cs"/>
          <w:sz w:val="28"/>
          <w:szCs w:val="28"/>
          <w:rtl/>
          <w:lang w:bidi="fa-IR"/>
        </w:rPr>
        <w:t xml:space="preserve"> به قوانین اخباری توصیفی پایه رسید که در این حالت زیاد است.</w:t>
      </w:r>
    </w:p>
    <w:p w:rsidR="00F43E00" w:rsidRDefault="00F43E00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مشروط به اینکه اطمینان و قطعی حاصل گردد.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عبادات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در کنار یکدیگر گذاشت و به رابطه بین عبادت و ذکر قائل نشد.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ما را به قطع برساند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قائل به حجیت آن شود و نظام سازی یعنی استقراء شواهد در علوم مختلف برای رسیدن به قواعد پایه است که باید در علم اصول از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شود اما این حالت در فقه کمتر مصداق پیدا </w:t>
      </w:r>
      <w:r w:rsidR="00850572">
        <w:rPr>
          <w:rFonts w:ascii="IRBadr" w:hAnsi="IRBadr" w:cs="IRBadr"/>
          <w:sz w:val="28"/>
          <w:szCs w:val="28"/>
          <w:rtl/>
          <w:lang w:bidi="fa-IR"/>
        </w:rPr>
        <w:t>م</w:t>
      </w:r>
      <w:r w:rsidR="0085057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بیشتر در علوم اخلاقی و سایر موارد است.</w:t>
      </w:r>
    </w:p>
    <w:p w:rsidR="00F43E00" w:rsidRPr="00D00DA5" w:rsidRDefault="00F43E00" w:rsidP="00F43E0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D00DA5" w:rsidRDefault="00152670" w:rsidP="00D00DA5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D00DA5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2F1" w:rsidRDefault="00A962F1" w:rsidP="000D5800">
      <w:pPr>
        <w:spacing w:after="0" w:line="240" w:lineRule="auto"/>
      </w:pPr>
      <w:r>
        <w:separator/>
      </w:r>
    </w:p>
  </w:endnote>
  <w:endnote w:type="continuationSeparator" w:id="0">
    <w:p w:rsidR="00A962F1" w:rsidRDefault="00A962F1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572" w:rsidRDefault="008505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572" w:rsidRDefault="008505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572" w:rsidRDefault="008505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2F1" w:rsidRDefault="00A962F1" w:rsidP="00D00DA5">
      <w:pPr>
        <w:spacing w:after="0" w:line="240" w:lineRule="auto"/>
        <w:jc w:val="right"/>
      </w:pPr>
      <w:r>
        <w:separator/>
      </w:r>
    </w:p>
  </w:footnote>
  <w:footnote w:type="continuationSeparator" w:id="0">
    <w:p w:rsidR="00A962F1" w:rsidRDefault="00A962F1" w:rsidP="000D5800">
      <w:pPr>
        <w:spacing w:after="0" w:line="240" w:lineRule="auto"/>
      </w:pPr>
      <w:r>
        <w:continuationSeparator/>
      </w:r>
    </w:p>
  </w:footnote>
  <w:footnote w:id="1">
    <w:p w:rsidR="00ED37D3" w:rsidRDefault="00ED37D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bookmarkStart w:id="18" w:name="_GoBack"/>
      <w:r w:rsidRPr="00ED37D3">
        <w:rPr>
          <w:rFonts w:ascii="Noor_Lotus" w:hAnsi="Noor_Lotus" w:cs="B Badr" w:hint="cs"/>
          <w:color w:val="000000" w:themeColor="text1"/>
          <w:rtl/>
        </w:rPr>
        <w:t>وسائل</w:t>
      </w:r>
      <w:bookmarkEnd w:id="18"/>
      <w:r w:rsidRPr="00ED37D3">
        <w:rPr>
          <w:rFonts w:ascii="Noor_Lotus" w:hAnsi="Noor_Lotus" w:cs="B Badr" w:hint="cs"/>
          <w:color w:val="000000" w:themeColor="text1"/>
          <w:rtl/>
        </w:rPr>
        <w:t xml:space="preserve"> الش</w:t>
      </w:r>
      <w:r w:rsidR="00492CFF">
        <w:rPr>
          <w:rFonts w:ascii="Noor_Lotus" w:hAnsi="Noor_Lotus" w:cs="B Badr" w:hint="cs"/>
          <w:color w:val="000000" w:themeColor="text1"/>
          <w:rtl/>
        </w:rPr>
        <w:t>ی</w:t>
      </w:r>
      <w:r w:rsidRPr="00ED37D3">
        <w:rPr>
          <w:rFonts w:ascii="Noor_Lotus" w:hAnsi="Noor_Lotus" w:cs="B Badr" w:hint="cs"/>
          <w:color w:val="000000" w:themeColor="text1"/>
          <w:rtl/>
        </w:rPr>
        <w:t>عة 18: 41</w:t>
      </w:r>
    </w:p>
  </w:footnote>
  <w:footnote w:id="2">
    <w:p w:rsidR="00ED37D3" w:rsidRDefault="00ED37D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D37D3">
        <w:rPr>
          <w:rFonts w:ascii="Noor_Titr" w:hAnsi="Noor_Titr" w:cs="B Badr" w:hint="cs"/>
          <w:color w:val="000000" w:themeColor="text1"/>
          <w:rtl/>
        </w:rPr>
        <w:t>ال</w:t>
      </w:r>
      <w:r w:rsidR="00492CFF">
        <w:rPr>
          <w:rFonts w:ascii="Noor_Titr" w:hAnsi="Noor_Titr" w:cs="B Badr" w:hint="cs"/>
          <w:color w:val="000000" w:themeColor="text1"/>
          <w:rtl/>
        </w:rPr>
        <w:t>ک</w:t>
      </w:r>
      <w:r w:rsidRPr="00ED37D3">
        <w:rPr>
          <w:rFonts w:ascii="Noor_Titr" w:hAnsi="Noor_Titr" w:cs="B Badr" w:hint="cs"/>
          <w:color w:val="000000" w:themeColor="text1"/>
          <w:rtl/>
        </w:rPr>
        <w:t>اف</w:t>
      </w:r>
      <w:r w:rsidR="00492CFF">
        <w:rPr>
          <w:rFonts w:ascii="Noor_Titr" w:hAnsi="Noor_Titr" w:cs="B Badr" w:hint="cs"/>
          <w:color w:val="000000" w:themeColor="text1"/>
          <w:rtl/>
        </w:rPr>
        <w:t>ی</w:t>
      </w:r>
      <w:r w:rsidRPr="00ED37D3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492CFF">
        <w:rPr>
          <w:rFonts w:ascii="Noor_Titr" w:hAnsi="Noor_Titr" w:cs="B Badr" w:hint="cs"/>
          <w:color w:val="000000" w:themeColor="text1"/>
          <w:rtl/>
        </w:rPr>
        <w:t>ی</w:t>
      </w:r>
      <w:r w:rsidRPr="00ED37D3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492CFF">
        <w:rPr>
          <w:rFonts w:ascii="Noor_Titr" w:hAnsi="Noor_Titr" w:cs="B Badr"/>
          <w:color w:val="000000" w:themeColor="text1"/>
          <w:rtl/>
        </w:rPr>
        <w:t>ج 1</w:t>
      </w:r>
      <w:r w:rsidRPr="00ED37D3">
        <w:rPr>
          <w:rFonts w:ascii="Noor_Titr" w:hAnsi="Noor_Titr" w:cs="B Badr" w:hint="cs"/>
          <w:color w:val="000000" w:themeColor="text1"/>
          <w:rtl/>
        </w:rPr>
        <w:t>، ص: 57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572" w:rsidRDefault="008505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193C52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A205788" wp14:editId="35CAB73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0C9A01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  <w:lang w:bidi="fa-IR"/>
      </w:rPr>
      <w:drawing>
        <wp:inline distT="0" distB="0" distL="0" distR="0" wp14:anchorId="3CE3F61A" wp14:editId="1065089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492CF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93C52">
      <w:rPr>
        <w:rFonts w:ascii="IranNastaliq" w:hAnsi="IranNastaliq" w:cs="IranNastaliq" w:hint="cs"/>
        <w:sz w:val="40"/>
        <w:szCs w:val="40"/>
        <w:rtl/>
      </w:rPr>
      <w:t>4504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572" w:rsidRDefault="008505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52"/>
    <w:rsid w:val="000228A2"/>
    <w:rsid w:val="000324F1"/>
    <w:rsid w:val="0003479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3C52"/>
    <w:rsid w:val="00197CDD"/>
    <w:rsid w:val="001A3DBA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70E85"/>
    <w:rsid w:val="003963D7"/>
    <w:rsid w:val="00396F28"/>
    <w:rsid w:val="003A1A05"/>
    <w:rsid w:val="003A2654"/>
    <w:rsid w:val="003B681C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77613"/>
    <w:rsid w:val="00492CFF"/>
    <w:rsid w:val="004B337F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D3A87"/>
    <w:rsid w:val="006F01B4"/>
    <w:rsid w:val="006F7CDF"/>
    <w:rsid w:val="0070706A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1F02"/>
    <w:rsid w:val="008407A4"/>
    <w:rsid w:val="00844860"/>
    <w:rsid w:val="00845CC4"/>
    <w:rsid w:val="00850572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5664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2F1"/>
    <w:rsid w:val="00A96F68"/>
    <w:rsid w:val="00AA2342"/>
    <w:rsid w:val="00AD0304"/>
    <w:rsid w:val="00AD27BE"/>
    <w:rsid w:val="00AF0F1A"/>
    <w:rsid w:val="00B15027"/>
    <w:rsid w:val="00B21CF4"/>
    <w:rsid w:val="00B24300"/>
    <w:rsid w:val="00B45503"/>
    <w:rsid w:val="00B63F15"/>
    <w:rsid w:val="00BB5F7E"/>
    <w:rsid w:val="00BC26F6"/>
    <w:rsid w:val="00BC4833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00DA5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2502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37D3"/>
    <w:rsid w:val="00EE1C07"/>
    <w:rsid w:val="00EE2C91"/>
    <w:rsid w:val="00EE3979"/>
    <w:rsid w:val="00EF026B"/>
    <w:rsid w:val="00EF138C"/>
    <w:rsid w:val="00F034CE"/>
    <w:rsid w:val="00F10A0F"/>
    <w:rsid w:val="00F40284"/>
    <w:rsid w:val="00F40B68"/>
    <w:rsid w:val="00F43E00"/>
    <w:rsid w:val="00F67976"/>
    <w:rsid w:val="00F70BE1"/>
    <w:rsid w:val="00FB75A2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DB71026-CB9E-4E85-810F-65B7E9B5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193C5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43E00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43E00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D3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D37D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3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009D3-6A83-48FF-A942-31E78127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14</TotalTime>
  <Pages>5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</cp:revision>
  <dcterms:created xsi:type="dcterms:W3CDTF">2015-10-09T13:43:00Z</dcterms:created>
  <dcterms:modified xsi:type="dcterms:W3CDTF">2015-10-10T04:48:00Z</dcterms:modified>
</cp:coreProperties>
</file>