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394E5C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AD8" w:rsidRDefault="00BB4AD8" w:rsidP="00BB4AD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1149879" w:history="1">
        <w:r w:rsidRPr="00B92677">
          <w:rPr>
            <w:rStyle w:val="Hyperlink"/>
            <w:rFonts w:hint="eastAsia"/>
            <w:noProof/>
            <w:rtl/>
          </w:rPr>
          <w:t>شرط</w:t>
        </w:r>
        <w:r w:rsidRPr="00B92677">
          <w:rPr>
            <w:rStyle w:val="Hyperlink"/>
            <w:noProof/>
            <w:rtl/>
          </w:rPr>
          <w:t xml:space="preserve"> </w:t>
        </w:r>
        <w:r w:rsidRPr="00B92677">
          <w:rPr>
            <w:rStyle w:val="Hyperlink"/>
            <w:rFonts w:hint="eastAsia"/>
            <w:noProof/>
            <w:rtl/>
          </w:rPr>
          <w:t>بلوغ</w:t>
        </w:r>
        <w:r w:rsidRPr="00B92677">
          <w:rPr>
            <w:rStyle w:val="Hyperlink"/>
            <w:noProof/>
            <w:rtl/>
          </w:rPr>
          <w:t xml:space="preserve"> </w:t>
        </w:r>
        <w:r w:rsidRPr="00B92677">
          <w:rPr>
            <w:rStyle w:val="Hyperlink"/>
            <w:rFonts w:hint="eastAsia"/>
            <w:noProof/>
            <w:rtl/>
          </w:rPr>
          <w:t>در</w:t>
        </w:r>
        <w:r w:rsidRPr="00B92677">
          <w:rPr>
            <w:rStyle w:val="Hyperlink"/>
            <w:noProof/>
            <w:rtl/>
          </w:rPr>
          <w:t xml:space="preserve"> </w:t>
        </w:r>
        <w:r w:rsidRPr="00B92677">
          <w:rPr>
            <w:rStyle w:val="Hyperlink"/>
            <w:rFonts w:hint="eastAsia"/>
            <w:noProof/>
            <w:rtl/>
          </w:rPr>
          <w:t>قصاص</w:t>
        </w:r>
        <w:r w:rsidRPr="00B92677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Toc531149879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DC6ACD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B4AD8" w:rsidRDefault="00240EE9" w:rsidP="00BB4AD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49880" w:history="1">
        <w:r w:rsidR="00BB4AD8" w:rsidRPr="00B92677">
          <w:rPr>
            <w:rStyle w:val="Hyperlink"/>
            <w:rFonts w:hint="eastAsia"/>
            <w:noProof/>
            <w:rtl/>
          </w:rPr>
          <w:t>استدلال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بر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عدم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قصاص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در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قتل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صب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و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جن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rFonts w:hint="eastAsia"/>
            <w:noProof/>
            <w:rtl/>
          </w:rPr>
          <w:t>ن</w:t>
        </w:r>
        <w:r w:rsidR="00BB4AD8" w:rsidRPr="00B92677">
          <w:rPr>
            <w:rStyle w:val="Hyperlink"/>
            <w:noProof/>
            <w:rtl/>
          </w:rPr>
          <w:t>:</w:t>
        </w:r>
        <w:r w:rsidR="00BB4AD8">
          <w:rPr>
            <w:noProof/>
            <w:webHidden/>
            <w:rtl/>
          </w:rPr>
          <w:tab/>
        </w:r>
        <w:r w:rsidR="00BB4AD8">
          <w:rPr>
            <w:rStyle w:val="Hyperlink"/>
            <w:noProof/>
            <w:rtl/>
          </w:rPr>
          <w:fldChar w:fldCharType="begin"/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noProof/>
            <w:webHidden/>
          </w:rPr>
          <w:instrText xml:space="preserve">PAGEREF </w:instrText>
        </w:r>
        <w:r w:rsidR="00BB4AD8">
          <w:rPr>
            <w:noProof/>
            <w:webHidden/>
            <w:rtl/>
          </w:rPr>
          <w:instrText>_</w:instrText>
        </w:r>
        <w:r w:rsidR="00BB4AD8">
          <w:rPr>
            <w:noProof/>
            <w:webHidden/>
          </w:rPr>
          <w:instrText>Toc531149880 \h</w:instrText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rStyle w:val="Hyperlink"/>
            <w:noProof/>
            <w:rtl/>
          </w:rPr>
        </w:r>
        <w:r w:rsidR="00BB4AD8">
          <w:rPr>
            <w:rStyle w:val="Hyperlink"/>
            <w:noProof/>
            <w:rtl/>
          </w:rPr>
          <w:fldChar w:fldCharType="separate"/>
        </w:r>
        <w:r w:rsidR="00DC6ACD">
          <w:rPr>
            <w:noProof/>
            <w:webHidden/>
            <w:rtl/>
          </w:rPr>
          <w:t>1</w:t>
        </w:r>
        <w:r w:rsidR="00BB4AD8">
          <w:rPr>
            <w:rStyle w:val="Hyperlink"/>
            <w:noProof/>
            <w:rtl/>
          </w:rPr>
          <w:fldChar w:fldCharType="end"/>
        </w:r>
      </w:hyperlink>
    </w:p>
    <w:p w:rsidR="00BB4AD8" w:rsidRDefault="00240EE9" w:rsidP="00BB4AD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49881" w:history="1">
        <w:r w:rsidR="00BB4AD8" w:rsidRPr="00B92677">
          <w:rPr>
            <w:rStyle w:val="Hyperlink"/>
            <w:rFonts w:hint="eastAsia"/>
            <w:noProof/>
            <w:rtl/>
          </w:rPr>
          <w:t>اشکال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استاد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به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استدلال</w:t>
        </w:r>
        <w:r w:rsidR="00BB4AD8" w:rsidRPr="00B92677">
          <w:rPr>
            <w:rStyle w:val="Hyperlink"/>
            <w:noProof/>
            <w:rtl/>
          </w:rPr>
          <w:t>:</w:t>
        </w:r>
        <w:r w:rsidR="00BB4AD8">
          <w:rPr>
            <w:noProof/>
            <w:webHidden/>
            <w:rtl/>
          </w:rPr>
          <w:tab/>
        </w:r>
        <w:r w:rsidR="00BB4AD8">
          <w:rPr>
            <w:rStyle w:val="Hyperlink"/>
            <w:noProof/>
            <w:rtl/>
          </w:rPr>
          <w:fldChar w:fldCharType="begin"/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noProof/>
            <w:webHidden/>
          </w:rPr>
          <w:instrText xml:space="preserve">PAGEREF </w:instrText>
        </w:r>
        <w:r w:rsidR="00BB4AD8">
          <w:rPr>
            <w:noProof/>
            <w:webHidden/>
            <w:rtl/>
          </w:rPr>
          <w:instrText>_</w:instrText>
        </w:r>
        <w:r w:rsidR="00BB4AD8">
          <w:rPr>
            <w:noProof/>
            <w:webHidden/>
          </w:rPr>
          <w:instrText>Toc531149881 \h</w:instrText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rStyle w:val="Hyperlink"/>
            <w:noProof/>
            <w:rtl/>
          </w:rPr>
        </w:r>
        <w:r w:rsidR="00BB4AD8">
          <w:rPr>
            <w:rStyle w:val="Hyperlink"/>
            <w:noProof/>
            <w:rtl/>
          </w:rPr>
          <w:fldChar w:fldCharType="separate"/>
        </w:r>
        <w:r w:rsidR="00DC6ACD">
          <w:rPr>
            <w:noProof/>
            <w:webHidden/>
            <w:rtl/>
          </w:rPr>
          <w:t>2</w:t>
        </w:r>
        <w:r w:rsidR="00BB4AD8">
          <w:rPr>
            <w:rStyle w:val="Hyperlink"/>
            <w:noProof/>
            <w:rtl/>
          </w:rPr>
          <w:fldChar w:fldCharType="end"/>
        </w:r>
      </w:hyperlink>
    </w:p>
    <w:p w:rsidR="00BB4AD8" w:rsidRDefault="00240EE9" w:rsidP="00BB4AD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49882" w:history="1">
        <w:r w:rsidR="00BB4AD8" w:rsidRPr="00B92677">
          <w:rPr>
            <w:rStyle w:val="Hyperlink"/>
            <w:rFonts w:hint="eastAsia"/>
            <w:noProof/>
            <w:rtl/>
          </w:rPr>
          <w:t>استدلال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مرحوم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خوئ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و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تبر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rFonts w:hint="eastAsia"/>
            <w:noProof/>
            <w:rtl/>
          </w:rPr>
          <w:t>ز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در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قتل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صب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>:</w:t>
        </w:r>
        <w:r w:rsidR="00BB4AD8">
          <w:rPr>
            <w:noProof/>
            <w:webHidden/>
            <w:rtl/>
          </w:rPr>
          <w:tab/>
        </w:r>
        <w:r w:rsidR="00BB4AD8">
          <w:rPr>
            <w:rStyle w:val="Hyperlink"/>
            <w:noProof/>
            <w:rtl/>
          </w:rPr>
          <w:fldChar w:fldCharType="begin"/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noProof/>
            <w:webHidden/>
          </w:rPr>
          <w:instrText xml:space="preserve">PAGEREF </w:instrText>
        </w:r>
        <w:r w:rsidR="00BB4AD8">
          <w:rPr>
            <w:noProof/>
            <w:webHidden/>
            <w:rtl/>
          </w:rPr>
          <w:instrText>_</w:instrText>
        </w:r>
        <w:r w:rsidR="00BB4AD8">
          <w:rPr>
            <w:noProof/>
            <w:webHidden/>
          </w:rPr>
          <w:instrText>Toc531149882 \h</w:instrText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rStyle w:val="Hyperlink"/>
            <w:noProof/>
            <w:rtl/>
          </w:rPr>
        </w:r>
        <w:r w:rsidR="00BB4AD8">
          <w:rPr>
            <w:rStyle w:val="Hyperlink"/>
            <w:noProof/>
            <w:rtl/>
          </w:rPr>
          <w:fldChar w:fldCharType="separate"/>
        </w:r>
        <w:r w:rsidR="00DC6ACD">
          <w:rPr>
            <w:noProof/>
            <w:webHidden/>
            <w:rtl/>
          </w:rPr>
          <w:t>2</w:t>
        </w:r>
        <w:r w:rsidR="00BB4AD8">
          <w:rPr>
            <w:rStyle w:val="Hyperlink"/>
            <w:noProof/>
            <w:rtl/>
          </w:rPr>
          <w:fldChar w:fldCharType="end"/>
        </w:r>
      </w:hyperlink>
    </w:p>
    <w:p w:rsidR="00BB4AD8" w:rsidRDefault="00240EE9" w:rsidP="00BB4AD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49883" w:history="1">
        <w:r w:rsidR="00BB4AD8" w:rsidRPr="00B92677">
          <w:rPr>
            <w:rStyle w:val="Hyperlink"/>
            <w:rFonts w:hint="eastAsia"/>
            <w:noProof/>
            <w:rtl/>
          </w:rPr>
          <w:t>اشکال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استاد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به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مرحوم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خوئ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و</w:t>
        </w:r>
        <w:r w:rsidR="00BB4AD8" w:rsidRPr="00B92677">
          <w:rPr>
            <w:rStyle w:val="Hyperlink"/>
            <w:noProof/>
            <w:rtl/>
          </w:rPr>
          <w:t xml:space="preserve"> </w:t>
        </w:r>
        <w:r w:rsidR="00BB4AD8" w:rsidRPr="00B92677">
          <w:rPr>
            <w:rStyle w:val="Hyperlink"/>
            <w:rFonts w:hint="eastAsia"/>
            <w:noProof/>
            <w:rtl/>
          </w:rPr>
          <w:t>تبر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rFonts w:hint="eastAsia"/>
            <w:noProof/>
            <w:rtl/>
          </w:rPr>
          <w:t>ز</w:t>
        </w:r>
        <w:r w:rsidR="00BB4AD8" w:rsidRPr="00B92677">
          <w:rPr>
            <w:rStyle w:val="Hyperlink"/>
            <w:rFonts w:hint="cs"/>
            <w:noProof/>
            <w:rtl/>
          </w:rPr>
          <w:t>ی</w:t>
        </w:r>
        <w:r w:rsidR="00BB4AD8" w:rsidRPr="00B92677">
          <w:rPr>
            <w:rStyle w:val="Hyperlink"/>
            <w:noProof/>
            <w:rtl/>
          </w:rPr>
          <w:t>:</w:t>
        </w:r>
        <w:r w:rsidR="00BB4AD8">
          <w:rPr>
            <w:noProof/>
            <w:webHidden/>
            <w:rtl/>
          </w:rPr>
          <w:tab/>
        </w:r>
        <w:r w:rsidR="00BB4AD8">
          <w:rPr>
            <w:rStyle w:val="Hyperlink"/>
            <w:noProof/>
            <w:rtl/>
          </w:rPr>
          <w:fldChar w:fldCharType="begin"/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noProof/>
            <w:webHidden/>
          </w:rPr>
          <w:instrText xml:space="preserve">PAGEREF </w:instrText>
        </w:r>
        <w:r w:rsidR="00BB4AD8">
          <w:rPr>
            <w:noProof/>
            <w:webHidden/>
            <w:rtl/>
          </w:rPr>
          <w:instrText>_</w:instrText>
        </w:r>
        <w:r w:rsidR="00BB4AD8">
          <w:rPr>
            <w:noProof/>
            <w:webHidden/>
          </w:rPr>
          <w:instrText>Toc531149883 \h</w:instrText>
        </w:r>
        <w:r w:rsidR="00BB4AD8">
          <w:rPr>
            <w:noProof/>
            <w:webHidden/>
            <w:rtl/>
          </w:rPr>
          <w:instrText xml:space="preserve"> </w:instrText>
        </w:r>
        <w:r w:rsidR="00BB4AD8">
          <w:rPr>
            <w:rStyle w:val="Hyperlink"/>
            <w:noProof/>
            <w:rtl/>
          </w:rPr>
        </w:r>
        <w:r w:rsidR="00BB4AD8">
          <w:rPr>
            <w:rStyle w:val="Hyperlink"/>
            <w:noProof/>
            <w:rtl/>
          </w:rPr>
          <w:fldChar w:fldCharType="separate"/>
        </w:r>
        <w:r w:rsidR="00DC6ACD">
          <w:rPr>
            <w:noProof/>
            <w:webHidden/>
            <w:rtl/>
          </w:rPr>
          <w:t>3</w:t>
        </w:r>
        <w:r w:rsidR="00BB4AD8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BB4AD8" w:rsidP="00394E5C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394E5C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8D0225">
        <w:rPr>
          <w:rFonts w:hint="cs"/>
          <w:rtl/>
        </w:rPr>
        <w:t>عدم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قصاص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مادر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در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قتل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فرزند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8D0225">
        <w:rPr>
          <w:rFonts w:hint="cs"/>
          <w:rtl/>
        </w:rPr>
        <w:t>شروط</w:t>
      </w:r>
      <w:r w:rsidR="008D0225">
        <w:rPr>
          <w:rtl/>
        </w:rPr>
        <w:t xml:space="preserve"> </w:t>
      </w:r>
      <w:r w:rsidR="008D0225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8D0225">
        <w:rPr>
          <w:rFonts w:hint="cs"/>
          <w:rtl/>
        </w:rPr>
        <w:t>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394E5C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E606FD" w:rsidRDefault="00E606FD" w:rsidP="00394E5C">
      <w:pPr>
        <w:jc w:val="both"/>
        <w:rPr>
          <w:rtl/>
        </w:rPr>
      </w:pPr>
      <w:r>
        <w:rPr>
          <w:rFonts w:hint="cs"/>
          <w:rtl/>
        </w:rPr>
        <w:t>بحث در قصاص مادر</w:t>
      </w:r>
      <w:r w:rsidR="00394E5C">
        <w:rPr>
          <w:rFonts w:hint="cs"/>
          <w:rtl/>
        </w:rPr>
        <w:t>،</w:t>
      </w:r>
      <w:r>
        <w:rPr>
          <w:rFonts w:hint="cs"/>
          <w:rtl/>
        </w:rPr>
        <w:t xml:space="preserve"> در قتل فرزند بود که گفتیم مشهور قائل به قصاص بودند و نظر ما این شد که </w:t>
      </w:r>
      <w:r w:rsidR="00394E5C">
        <w:rPr>
          <w:rFonts w:hint="cs"/>
          <w:rtl/>
        </w:rPr>
        <w:t xml:space="preserve">مقتضای صناعت عدم قصاص می باشد. </w:t>
      </w:r>
      <w:r>
        <w:rPr>
          <w:rFonts w:hint="cs"/>
          <w:rtl/>
        </w:rPr>
        <w:t>دو روایت برای عدم قصاص ذکر کردیم و گفتیم که استدلال به این دو روایت مبتنی بر این است که قائل به قصاص بالغ در مقابل صبی و جنین باشیم. حال ضمن این بحث مبحث تکمیلی ای را برای اشتراط بلوغ در مجنی علیه ذکر می کنیم.</w:t>
      </w:r>
    </w:p>
    <w:p w:rsidR="00E606FD" w:rsidRDefault="00E606FD" w:rsidP="00673A9E">
      <w:pPr>
        <w:pStyle w:val="Heading1"/>
        <w:rPr>
          <w:rtl/>
        </w:rPr>
      </w:pPr>
      <w:bookmarkStart w:id="4" w:name="_Toc531066287"/>
      <w:bookmarkStart w:id="5" w:name="_Toc531149879"/>
      <w:r>
        <w:rPr>
          <w:rFonts w:hint="cs"/>
          <w:rtl/>
        </w:rPr>
        <w:t>شرط بلوغ در قصاص:</w:t>
      </w:r>
      <w:bookmarkEnd w:id="4"/>
      <w:bookmarkEnd w:id="5"/>
    </w:p>
    <w:p w:rsidR="00E606FD" w:rsidRPr="00394E5C" w:rsidRDefault="00E606FD" w:rsidP="0036539A">
      <w:pPr>
        <w:pStyle w:val="NormalWeb"/>
        <w:bidi/>
        <w:jc w:val="both"/>
        <w:rPr>
          <w:rFonts w:ascii="Noor_Lotus" w:hAnsi="Noor_Lotus" w:cs="B Badr"/>
          <w:color w:val="000000" w:themeColor="text1"/>
          <w:sz w:val="28"/>
          <w:szCs w:val="28"/>
          <w:rtl/>
        </w:rPr>
      </w:pPr>
      <w:r w:rsidRPr="00394E5C">
        <w:rPr>
          <w:rFonts w:cs="B Badr" w:hint="cs"/>
          <w:color w:val="000000" w:themeColor="text1"/>
          <w:sz w:val="28"/>
          <w:szCs w:val="28"/>
          <w:rtl/>
        </w:rPr>
        <w:t>اگر شخص بالغی انسان نابالغی را بکشد، مشهور قائل به قصاص بودند و ظاهر کلماتشان این است که حتی قتل جنینی که در او ولوج روح شده است، موجب قصاص است. دلیل هم عموم</w:t>
      </w:r>
      <w:r w:rsidR="0036539A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36539A">
        <w:rPr>
          <w:rFonts w:ascii="Arial" w:hAnsi="Arial" w:cs="Arial" w:hint="cs"/>
          <w:color w:val="008000"/>
          <w:sz w:val="28"/>
          <w:szCs w:val="28"/>
          <w:rtl/>
        </w:rPr>
        <w:t>﴿</w:t>
      </w:r>
      <w:r w:rsidR="0036539A" w:rsidRPr="0036539A">
        <w:rPr>
          <w:rFonts w:ascii="me_quran" w:hAnsi="me_quran" w:cs="B Badr" w:hint="cs"/>
          <w:color w:val="008000"/>
          <w:sz w:val="28"/>
          <w:szCs w:val="28"/>
          <w:rtl/>
        </w:rPr>
        <w:t>وَ مَنْ قُتِلَ مَظْلُوماً فَقَدْ جَعَلْنا لِوَلِيِّهِ سُلْطاناً فَلا يُسْرِفْ فِي الْقَتْ</w:t>
      </w:r>
      <w:r w:rsidR="00394E5C" w:rsidRPr="0036539A">
        <w:rPr>
          <w:rFonts w:ascii="me_quran" w:hAnsi="me_quran" w:cs="B Badr" w:hint="cs"/>
          <w:color w:val="008000"/>
          <w:sz w:val="28"/>
          <w:szCs w:val="28"/>
          <w:rtl/>
        </w:rPr>
        <w:t>ل</w:t>
      </w:r>
      <w:r w:rsidR="0036539A" w:rsidRPr="00D80351">
        <w:rPr>
          <w:rFonts w:ascii="Arial" w:hAnsi="Arial" w:cs="Arial" w:hint="cs"/>
          <w:color w:val="008000"/>
          <w:sz w:val="28"/>
          <w:szCs w:val="28"/>
          <w:rtl/>
        </w:rPr>
        <w:t>﴾</w:t>
      </w:r>
      <w:r w:rsidR="00394E5C" w:rsidRPr="00D80351">
        <w:rPr>
          <w:rFonts w:ascii="me_quran" w:hAnsi="me_quran" w:cs="Arial" w:hint="cs"/>
          <w:color w:val="008000"/>
          <w:sz w:val="28"/>
          <w:szCs w:val="28"/>
          <w:rtl/>
        </w:rPr>
        <w:t>ِ</w:t>
      </w:r>
      <w:r w:rsidR="0036539A">
        <w:rPr>
          <w:rStyle w:val="FootnoteReference"/>
          <w:rFonts w:ascii="me_quran" w:hAnsi="me_quran" w:cs="Arial"/>
          <w:color w:val="008000"/>
          <w:sz w:val="28"/>
          <w:szCs w:val="28"/>
          <w:rtl/>
        </w:rPr>
        <w:footnoteReference w:id="1"/>
      </w:r>
      <w:r w:rsidR="0036539A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Pr="00394E5C">
        <w:rPr>
          <w:rFonts w:cs="B Badr" w:hint="cs"/>
          <w:color w:val="000000" w:themeColor="text1"/>
          <w:sz w:val="28"/>
          <w:szCs w:val="28"/>
          <w:rtl/>
        </w:rPr>
        <w:t>می باشد که شامل جنین هم می شود. در مقابل این نظ</w:t>
      </w:r>
      <w:r w:rsidR="00394E5C">
        <w:rPr>
          <w:rFonts w:cs="B Badr" w:hint="cs"/>
          <w:color w:val="000000" w:themeColor="text1"/>
          <w:sz w:val="28"/>
          <w:szCs w:val="28"/>
          <w:rtl/>
        </w:rPr>
        <w:t>ریه، نظر حلبی</w:t>
      </w:r>
      <w:r w:rsidR="0036539A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2"/>
      </w:r>
      <w:r w:rsidRPr="00394E5C">
        <w:rPr>
          <w:rFonts w:cs="B Badr" w:hint="cs"/>
          <w:color w:val="000000" w:themeColor="text1"/>
          <w:sz w:val="28"/>
          <w:szCs w:val="28"/>
          <w:rtl/>
        </w:rPr>
        <w:t>و مرحوم خوئی</w:t>
      </w:r>
      <w:r w:rsidR="0036539A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3"/>
      </w:r>
      <w:r w:rsidRPr="00394E5C">
        <w:rPr>
          <w:rFonts w:cs="B Badr" w:hint="cs"/>
          <w:color w:val="000000" w:themeColor="text1"/>
          <w:sz w:val="28"/>
          <w:szCs w:val="28"/>
          <w:rtl/>
        </w:rPr>
        <w:t xml:space="preserve"> بود که قائل به عدم قصاص بودند.</w:t>
      </w:r>
    </w:p>
    <w:p w:rsidR="00E606FD" w:rsidRDefault="00E606FD" w:rsidP="00673A9E">
      <w:pPr>
        <w:pStyle w:val="Heading1"/>
        <w:rPr>
          <w:rtl/>
        </w:rPr>
      </w:pPr>
      <w:bookmarkStart w:id="6" w:name="_Toc531066288"/>
      <w:bookmarkStart w:id="7" w:name="_Toc531149880"/>
      <w:r>
        <w:rPr>
          <w:rFonts w:hint="cs"/>
          <w:rtl/>
        </w:rPr>
        <w:t>استدلال بر عدم قصاص در قتل صبی و جنین:</w:t>
      </w:r>
      <w:bookmarkEnd w:id="6"/>
      <w:bookmarkEnd w:id="7"/>
    </w:p>
    <w:p w:rsidR="00E606FD" w:rsidRPr="0036539A" w:rsidRDefault="00E606FD" w:rsidP="00394E5C">
      <w:pPr>
        <w:jc w:val="both"/>
        <w:rPr>
          <w:rFonts w:ascii="Noor_Lotus" w:eastAsia="Times New Roman" w:hAnsi="Noor_Lotus"/>
          <w:color w:val="000000" w:themeColor="text1"/>
          <w:sz w:val="28"/>
          <w:rtl/>
        </w:rPr>
      </w:pPr>
      <w:r w:rsidRPr="0036539A">
        <w:rPr>
          <w:rFonts w:hint="cs"/>
          <w:color w:val="000000" w:themeColor="text1"/>
          <w:sz w:val="28"/>
          <w:rtl/>
        </w:rPr>
        <w:t xml:space="preserve">ممکن است استدلال شود در ردّ قول مشهور، به روایاتی که در قتل جنین، فرموده اند که دیه جنینی که </w:t>
      </w:r>
      <w:r w:rsidRPr="0036539A">
        <w:rPr>
          <w:rFonts w:hint="cs"/>
          <w:color w:val="008000"/>
          <w:sz w:val="28"/>
          <w:rtl/>
        </w:rPr>
        <w:t xml:space="preserve">« </w:t>
      </w:r>
      <w:r w:rsidRPr="0036539A">
        <w:rPr>
          <w:rFonts w:ascii="Noor_Lotus" w:eastAsia="Times New Roman" w:hAnsi="Noor_Lotus" w:hint="cs"/>
          <w:color w:val="008000"/>
          <w:sz w:val="28"/>
          <w:rtl/>
        </w:rPr>
        <w:t>وَلَجَتْهَا الرُّوحُ</w:t>
      </w:r>
      <w:r w:rsidR="0036539A" w:rsidRPr="0036539A">
        <w:rPr>
          <w:rFonts w:ascii="Noor_Lotus" w:eastAsia="Times New Roman" w:hAnsi="Noor_Lotus" w:hint="cs"/>
          <w:color w:val="008000"/>
          <w:sz w:val="28"/>
          <w:rtl/>
        </w:rPr>
        <w:t xml:space="preserve"> </w:t>
      </w:r>
      <w:r w:rsidRPr="0036539A">
        <w:rPr>
          <w:rFonts w:ascii="Noor_Lotus" w:eastAsia="Times New Roman" w:hAnsi="Noor_Lotus" w:hint="cs"/>
          <w:color w:val="008000"/>
          <w:sz w:val="28"/>
          <w:rtl/>
        </w:rPr>
        <w:t>»</w:t>
      </w:r>
      <w:r w:rsidR="000B53AD">
        <w:rPr>
          <w:rStyle w:val="FootnoteReference"/>
          <w:rFonts w:ascii="Noor_Lotus" w:eastAsia="Times New Roman" w:hAnsi="Noor_Lotus"/>
          <w:color w:val="008000"/>
          <w:sz w:val="28"/>
          <w:rtl/>
        </w:rPr>
        <w:footnoteReference w:id="4"/>
      </w:r>
      <w:r w:rsidRPr="0036539A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هزار دینار می باشد. اگر طبق نظر مشهور بگوئیم فرقی بین جنین و غیر جنین نیست، معنای دیه در مورد جنین این است که قصاص </w:t>
      </w:r>
      <w:r w:rsidRPr="0036539A">
        <w:rPr>
          <w:rFonts w:ascii="Noor_Lotus" w:eastAsia="Times New Roman" w:hAnsi="Noor_Lotus" w:hint="cs"/>
          <w:color w:val="000000" w:themeColor="text1"/>
          <w:sz w:val="28"/>
          <w:rtl/>
        </w:rPr>
        <w:lastRenderedPageBreak/>
        <w:t xml:space="preserve">ثابت نیست. اگر بخواهد هم دیه و هم قصاص ثابت باشد، جمع بین عوض و معوض می شود. در نتیجه این </w:t>
      </w:r>
      <w:r w:rsidR="005C6681">
        <w:rPr>
          <w:rFonts w:ascii="Noor_Lotus" w:eastAsia="Times New Roman" w:hAnsi="Noor_Lotus" w:hint="cs"/>
          <w:color w:val="000000" w:themeColor="text1"/>
          <w:sz w:val="28"/>
          <w:rtl/>
        </w:rPr>
        <w:t>روایات، مخالف نظر مشهور می باشد که قائل به قصاص هستند.</w:t>
      </w:r>
    </w:p>
    <w:p w:rsidR="00E606FD" w:rsidRDefault="00E606FD" w:rsidP="00A7056E">
      <w:pPr>
        <w:pStyle w:val="Heading1"/>
        <w:rPr>
          <w:rtl/>
        </w:rPr>
      </w:pPr>
      <w:bookmarkStart w:id="8" w:name="_Toc531066289"/>
      <w:bookmarkStart w:id="9" w:name="_Toc531149881"/>
      <w:r>
        <w:rPr>
          <w:rFonts w:hint="cs"/>
          <w:rtl/>
        </w:rPr>
        <w:t>اشکال استاد به استدلال:</w:t>
      </w:r>
      <w:bookmarkEnd w:id="8"/>
      <w:bookmarkEnd w:id="9"/>
    </w:p>
    <w:p w:rsidR="00E606FD" w:rsidRPr="000B53AD" w:rsidRDefault="00E606FD" w:rsidP="00125C6A">
      <w:pPr>
        <w:jc w:val="both"/>
        <w:rPr>
          <w:rFonts w:ascii="Noor_Lotus" w:eastAsia="Times New Roman" w:hAnsi="Noor_Lotus"/>
          <w:color w:val="000000" w:themeColor="text1"/>
          <w:sz w:val="28"/>
          <w:rtl/>
        </w:rPr>
      </w:pP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حق این است که این </w:t>
      </w:r>
      <w:r w:rsidR="00555E12">
        <w:rPr>
          <w:rFonts w:ascii="Noor_Lotus" w:eastAsia="Times New Roman" w:hAnsi="Noor_Lotus" w:hint="cs"/>
          <w:color w:val="000000" w:themeColor="text1"/>
          <w:sz w:val="28"/>
          <w:rtl/>
        </w:rPr>
        <w:t>روایات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نمی تواند در مقام به عنوان استدلال</w:t>
      </w:r>
      <w:r w:rsidR="00A7056E"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مطرح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شود. دلیل ما بر عدم ثبوت قصاص در قتل صبی منحصر در صحیحه</w:t>
      </w:r>
      <w:r w:rsidR="00125C6A">
        <w:rPr>
          <w:rFonts w:ascii="Noor_Lotus" w:eastAsia="Times New Roman" w:hAnsi="Noor_Lotus" w:hint="eastAsia"/>
          <w:color w:val="000000" w:themeColor="text1"/>
          <w:sz w:val="28"/>
          <w:rtl/>
        </w:rPr>
        <w:t>‌ی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ابی بصیر</w:t>
      </w:r>
      <w:r w:rsidR="00125C6A">
        <w:rPr>
          <w:rStyle w:val="FootnoteReference"/>
          <w:rFonts w:ascii="Noor_Lotus" w:eastAsia="Times New Roman" w:hAnsi="Noor_Lotus"/>
          <w:color w:val="000000" w:themeColor="text1"/>
          <w:sz w:val="28"/>
          <w:rtl/>
        </w:rPr>
        <w:footnoteReference w:id="5"/>
      </w:r>
      <w:r w:rsidR="00A7056E" w:rsidRPr="000B53AD">
        <w:rPr>
          <w:rFonts w:ascii="Noor_Lotus" w:eastAsia="Times New Roman" w:hAnsi="Noor_Lotus" w:hint="cs"/>
          <w:color w:val="000000" w:themeColor="text1"/>
          <w:sz w:val="28"/>
          <w:rtl/>
        </w:rPr>
        <w:t>،</w:t>
      </w:r>
      <w:r w:rsidR="00A7056E" w:rsidRPr="000B53AD">
        <w:rPr>
          <w:rFonts w:ascii="Noor_Lotus" w:eastAsia="Times New Roman" w:hAnsi="Noor_Lotus"/>
          <w:color w:val="000000" w:themeColor="text1"/>
          <w:sz w:val="28"/>
          <w:rtl/>
        </w:rPr>
        <w:t xml:space="preserve"> </w:t>
      </w:r>
      <w:r w:rsid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می 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>باشد. ما به این روایات استدلال نکردیم به دلیل اینکه این روایت در مقام بیان مقدار دیه است و از جهت اینکه قتل جنین دیه دارد یا موجب قصاص است در مقام بیان نیست. حال دلالت این روایات بر ثبوت دیه ( و عدم قصاص ) هم اگر ثابت شود، نسبت این رو</w:t>
      </w:r>
      <w:r w:rsidR="00A7056E" w:rsidRPr="000B53AD">
        <w:rPr>
          <w:rFonts w:ascii="Noor_Lotus" w:eastAsia="Times New Roman" w:hAnsi="Noor_Lotus" w:hint="cs"/>
          <w:color w:val="000000" w:themeColor="text1"/>
          <w:sz w:val="28"/>
          <w:rtl/>
        </w:rPr>
        <w:t>ایات که دلالتشان بر ثبوت دیه بالا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طلاق و عموم است ( نه بالخصوص) با </w:t>
      </w:r>
      <w:r w:rsidR="00B01F14">
        <w:rPr>
          <w:rFonts w:ascii="Noor_Lotus" w:eastAsia="Times New Roman" w:hAnsi="Noor_Lotus" w:hint="cs"/>
          <w:color w:val="000000" w:themeColor="text1"/>
          <w:sz w:val="28"/>
          <w:rtl/>
        </w:rPr>
        <w:t>دلیل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</w:t>
      </w:r>
      <w:r w:rsidR="00874772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ثبوت 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>قصاص</w:t>
      </w:r>
      <w:r w:rsidR="00874772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در عمد </w:t>
      </w:r>
      <w:r w:rsidR="00874772" w:rsidRPr="00874772">
        <w:rPr>
          <w:rFonts w:ascii="Noor_Lotus" w:eastAsia="Times New Roman" w:hAnsi="Noor_Lotus" w:hint="cs"/>
          <w:color w:val="008000"/>
          <w:sz w:val="28"/>
          <w:rtl/>
        </w:rPr>
        <w:t xml:space="preserve">« </w:t>
      </w:r>
      <w:r w:rsidR="00874772" w:rsidRPr="00874772">
        <w:rPr>
          <w:rStyle w:val="hilight"/>
          <w:color w:val="008000"/>
          <w:rtl/>
        </w:rPr>
        <w:t>والعمد</w:t>
      </w:r>
      <w:r w:rsidR="00874772" w:rsidRPr="00874772">
        <w:rPr>
          <w:color w:val="008000"/>
          <w:rtl/>
        </w:rPr>
        <w:t xml:space="preserve"> </w:t>
      </w:r>
      <w:r w:rsidR="00874772" w:rsidRPr="00874772">
        <w:rPr>
          <w:rStyle w:val="hilight"/>
          <w:color w:val="008000"/>
          <w:rtl/>
        </w:rPr>
        <w:t>هو</w:t>
      </w:r>
      <w:r w:rsidR="00874772" w:rsidRPr="00874772">
        <w:rPr>
          <w:color w:val="008000"/>
          <w:rtl/>
        </w:rPr>
        <w:t xml:space="preserve"> </w:t>
      </w:r>
      <w:r w:rsidR="00874772" w:rsidRPr="00874772">
        <w:rPr>
          <w:rStyle w:val="hilight"/>
          <w:color w:val="008000"/>
          <w:rtl/>
        </w:rPr>
        <w:t>القود</w:t>
      </w:r>
      <w:r w:rsidR="00874772" w:rsidRPr="00874772">
        <w:rPr>
          <w:rStyle w:val="hilight"/>
          <w:rFonts w:hint="cs"/>
          <w:color w:val="008000"/>
          <w:rtl/>
        </w:rPr>
        <w:t xml:space="preserve"> »</w:t>
      </w:r>
      <w:r w:rsidR="00874772">
        <w:rPr>
          <w:rStyle w:val="FootnoteReference"/>
          <w:rFonts w:ascii="Noor_Lotus" w:eastAsia="Times New Roman" w:hAnsi="Noor_Lotus"/>
          <w:color w:val="000000" w:themeColor="text1"/>
          <w:sz w:val="28"/>
          <w:rtl/>
        </w:rPr>
        <w:footnoteReference w:id="6"/>
      </w:r>
      <w:r w:rsidR="00874772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</w:t>
      </w:r>
      <w:r w:rsidRPr="000B53AD">
        <w:rPr>
          <w:rFonts w:ascii="Noor_Lotus" w:eastAsia="Times New Roman" w:hAnsi="Noor_Lotus" w:hint="cs"/>
          <w:color w:val="000000" w:themeColor="text1"/>
          <w:sz w:val="28"/>
          <w:rtl/>
        </w:rPr>
        <w:t>من وجه است</w:t>
      </w:r>
      <w:r w:rsidR="00B01F14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و تعارض شکل می گیرد و پس از تساقط به عمومات قصاص رجوع می کنیم و قصاص ثابت می شود.</w:t>
      </w:r>
      <w:r w:rsidR="00AC0D48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</w:t>
      </w:r>
    </w:p>
    <w:p w:rsidR="00E606FD" w:rsidRDefault="00E606FD" w:rsidP="00A7056E">
      <w:pPr>
        <w:pStyle w:val="Heading1"/>
        <w:rPr>
          <w:rtl/>
        </w:rPr>
      </w:pPr>
      <w:bookmarkStart w:id="10" w:name="_Toc531066290"/>
      <w:bookmarkStart w:id="11" w:name="_Toc531149882"/>
      <w:r>
        <w:rPr>
          <w:rFonts w:hint="cs"/>
          <w:rtl/>
        </w:rPr>
        <w:t>استدلال مرحوم خوئی و تبریزی در قتل صبی:</w:t>
      </w:r>
      <w:bookmarkEnd w:id="10"/>
      <w:bookmarkEnd w:id="11"/>
    </w:p>
    <w:p w:rsidR="00E606FD" w:rsidRPr="00125C6A" w:rsidRDefault="00E606FD" w:rsidP="00AF486F">
      <w:pPr>
        <w:pStyle w:val="NormalWeb"/>
        <w:bidi/>
        <w:jc w:val="both"/>
        <w:rPr>
          <w:rFonts w:ascii="Noor_Lotus" w:hAnsi="Noor_Lotus" w:cs="B Badr"/>
          <w:color w:val="000000"/>
          <w:sz w:val="28"/>
          <w:szCs w:val="28"/>
          <w:rtl/>
        </w:rPr>
      </w:pP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>مرحوم خوئی و تبریزی</w:t>
      </w:r>
      <w:r w:rsidR="00874772" w:rsidRPr="00125C6A">
        <w:rPr>
          <w:rStyle w:val="FootnoteReference"/>
          <w:rFonts w:ascii="Noor_Lotus" w:hAnsi="Noor_Lotus" w:cs="B Badr"/>
          <w:color w:val="000000"/>
          <w:sz w:val="28"/>
          <w:szCs w:val="28"/>
          <w:rtl/>
        </w:rPr>
        <w:footnoteReference w:id="7"/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 xml:space="preserve"> در قتل </w:t>
      </w:r>
      <w:r w:rsidR="00A760E2" w:rsidRPr="00125C6A">
        <w:rPr>
          <w:rFonts w:ascii="Noor_Lotus" w:hAnsi="Noor_Lotus" w:cs="B Badr" w:hint="cs"/>
          <w:color w:val="000000"/>
          <w:sz w:val="28"/>
          <w:szCs w:val="28"/>
          <w:rtl/>
        </w:rPr>
        <w:t xml:space="preserve">جنین و </w:t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>صبی قائل به عدم قصاص می باشند و دلیلشان هم این است که ادله قصاص، با قطع نظر از صحیحه ابی بصیر، شامل صبی نمی شود و نسبت به صبی قصور دارد. در ادله</w:t>
      </w:r>
      <w:r w:rsidR="00125C6A">
        <w:rPr>
          <w:rFonts w:ascii="Noor_Lotus" w:hAnsi="Noor_Lotus" w:cs="B Badr" w:hint="eastAsia"/>
          <w:color w:val="000000"/>
          <w:sz w:val="28"/>
          <w:szCs w:val="28"/>
          <w:rtl/>
        </w:rPr>
        <w:t>‌</w:t>
      </w:r>
      <w:r w:rsidR="00125C6A">
        <w:rPr>
          <w:rFonts w:ascii="Noor_Lotus" w:hAnsi="Noor_Lotus" w:cs="B Badr" w:hint="cs"/>
          <w:color w:val="000000"/>
          <w:sz w:val="28"/>
          <w:szCs w:val="28"/>
          <w:rtl/>
        </w:rPr>
        <w:t>ی</w:t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 xml:space="preserve"> قصاص عناوینی مانند رجل و مؤمن ذکر شده است که رجل و مؤمن شامل صبی و به طریق اولی جنین نمی شود.</w:t>
      </w:r>
      <w:r w:rsidR="000B53AD" w:rsidRPr="00125C6A">
        <w:rPr>
          <w:rFonts w:ascii="Noor_Lotus" w:hAnsi="Noor_Lotus" w:cs="B Badr" w:hint="cs"/>
          <w:color w:val="000000"/>
          <w:sz w:val="28"/>
          <w:szCs w:val="28"/>
          <w:rtl/>
        </w:rPr>
        <w:t xml:space="preserve"> </w:t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>مرحوم خوئی این وجه را در کتاب القصاص مطرح نکرده است بلکه در بحث قتل جنین مطرح کرده است.</w:t>
      </w:r>
      <w:r w:rsidR="00AF486F" w:rsidRPr="00125C6A">
        <w:rPr>
          <w:rFonts w:ascii="Noor_Lotus" w:hAnsi="Noor_Lotus" w:cs="B Badr" w:hint="cs"/>
          <w:color w:val="000000"/>
          <w:sz w:val="28"/>
          <w:szCs w:val="28"/>
          <w:rtl/>
        </w:rPr>
        <w:t xml:space="preserve"> </w:t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>پس ادله قصاص نسبت به جنین و صبی قصور دارد نه اینکه عمومات به وسیله</w:t>
      </w:r>
      <w:r w:rsidRPr="00125C6A">
        <w:rPr>
          <w:rFonts w:ascii="Noor_Lotus" w:hAnsi="Noor_Lotus" w:cs="B Badr"/>
          <w:color w:val="000000"/>
          <w:sz w:val="28"/>
          <w:szCs w:val="28"/>
          <w:rtl/>
        </w:rPr>
        <w:softHyphen/>
      </w:r>
      <w:r w:rsidRPr="00125C6A">
        <w:rPr>
          <w:rFonts w:ascii="Noor_Lotus" w:hAnsi="Noor_Lotus" w:cs="B Badr" w:hint="cs"/>
          <w:color w:val="000000"/>
          <w:sz w:val="28"/>
          <w:szCs w:val="28"/>
          <w:rtl/>
        </w:rPr>
        <w:t>ی صحیحه تخصیص خورده باشد.</w:t>
      </w:r>
    </w:p>
    <w:p w:rsidR="00E606FD" w:rsidRDefault="00E606FD" w:rsidP="00434935">
      <w:pPr>
        <w:pStyle w:val="Heading1"/>
        <w:rPr>
          <w:rtl/>
        </w:rPr>
      </w:pPr>
      <w:bookmarkStart w:id="12" w:name="_Toc531066291"/>
      <w:bookmarkStart w:id="13" w:name="_Toc531149883"/>
      <w:r>
        <w:rPr>
          <w:rFonts w:hint="cs"/>
          <w:rtl/>
        </w:rPr>
        <w:lastRenderedPageBreak/>
        <w:t>اشکال استاد به مرحوم خوئی و تبریزی:</w:t>
      </w:r>
      <w:bookmarkEnd w:id="12"/>
      <w:bookmarkEnd w:id="13"/>
    </w:p>
    <w:p w:rsidR="00E606FD" w:rsidRPr="00D80351" w:rsidRDefault="00E606FD" w:rsidP="003D6BAE">
      <w:pPr>
        <w:jc w:val="both"/>
        <w:rPr>
          <w:rFonts w:ascii="Noor_Lotus" w:eastAsia="Times New Roman" w:hAnsi="Noor_Lotus"/>
          <w:color w:val="000000" w:themeColor="text1"/>
          <w:sz w:val="28"/>
          <w:rtl/>
        </w:rPr>
      </w:pPr>
      <w:r w:rsidRPr="00D80351">
        <w:rPr>
          <w:rFonts w:ascii="Noor_Lotus" w:eastAsia="Times New Roman" w:hAnsi="Noor_Lotus" w:hint="cs"/>
          <w:color w:val="000000" w:themeColor="text1"/>
          <w:sz w:val="28"/>
          <w:rtl/>
        </w:rPr>
        <w:t>ادله ای که برای ثبوت قصاص مطرح شده است م</w:t>
      </w:r>
      <w:r w:rsidR="00D80351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نحصر در این موارد نیست و عمومات </w:t>
      </w:r>
      <w:r w:rsidR="00D80351">
        <w:rPr>
          <w:rFonts w:ascii="Arial" w:eastAsia="Times New Roman" w:hAnsi="Arial" w:cs="Arial" w:hint="cs"/>
          <w:color w:val="008000"/>
          <w:sz w:val="28"/>
          <w:rtl/>
        </w:rPr>
        <w:t>﴿</w:t>
      </w:r>
      <w:r w:rsidR="00D80351" w:rsidRPr="00D80351">
        <w:rPr>
          <w:rFonts w:ascii="Noor_Lotus" w:eastAsia="Times New Roman" w:hAnsi="Noor_Lotus" w:hint="cs"/>
          <w:color w:val="008000"/>
          <w:sz w:val="28"/>
          <w:rtl/>
        </w:rPr>
        <w:t>النفس بالنف</w:t>
      </w:r>
      <w:r w:rsidRPr="00D80351">
        <w:rPr>
          <w:rFonts w:ascii="Noor_Lotus" w:eastAsia="Times New Roman" w:hAnsi="Noor_Lotus" w:hint="cs"/>
          <w:color w:val="008000"/>
          <w:sz w:val="28"/>
          <w:rtl/>
        </w:rPr>
        <w:t>س</w:t>
      </w:r>
      <w:r w:rsidR="00D80351" w:rsidRPr="00D80351">
        <w:rPr>
          <w:rFonts w:ascii="Arial" w:eastAsia="Times New Roman" w:hAnsi="Arial" w:cs="Arial" w:hint="cs"/>
          <w:color w:val="008000"/>
          <w:sz w:val="28"/>
          <w:rtl/>
        </w:rPr>
        <w:t>﴾</w:t>
      </w:r>
      <w:r w:rsidR="00D80351">
        <w:rPr>
          <w:rStyle w:val="FootnoteReference"/>
          <w:rFonts w:ascii="Noor_Lotus" w:eastAsia="Times New Roman" w:hAnsi="Noor_Lotus"/>
          <w:color w:val="000000" w:themeColor="text1"/>
          <w:sz w:val="28"/>
          <w:rtl/>
        </w:rPr>
        <w:footnoteReference w:id="8"/>
      </w:r>
      <w:r w:rsidR="00D80351">
        <w:rPr>
          <w:rFonts w:ascii="Noor_Lotus" w:eastAsia="Times New Roman" w:hAnsi="Noor_Lotus" w:hint="cs"/>
          <w:color w:val="000000" w:themeColor="text1"/>
          <w:sz w:val="28"/>
          <w:rtl/>
        </w:rPr>
        <w:t>و</w:t>
      </w:r>
      <w:r w:rsidR="00D80351">
        <w:rPr>
          <w:rFonts w:ascii="Arial" w:hAnsi="Arial" w:cs="Arial" w:hint="cs"/>
          <w:color w:val="008000"/>
          <w:sz w:val="28"/>
          <w:rtl/>
        </w:rPr>
        <w:t>﴿</w:t>
      </w:r>
      <w:r w:rsidR="00D80351" w:rsidRPr="00D80351">
        <w:rPr>
          <w:rFonts w:ascii="me_quran" w:hAnsi="me_quran" w:hint="cs"/>
          <w:color w:val="008000"/>
          <w:sz w:val="28"/>
          <w:rtl/>
        </w:rPr>
        <w:t xml:space="preserve"> وَ مَنْ قُتِلَ مَظْلُوماً فَقَدْ جَعَلْنا لِوَلِيِّهِ سُلْطاناً فَلا يُسْرِفْ فِي الْقَتْل</w:t>
      </w:r>
      <w:r w:rsidR="00D80351" w:rsidRPr="00D80351">
        <w:rPr>
          <w:rFonts w:ascii="Arial" w:eastAsia="Times New Roman" w:hAnsi="Arial" w:cs="Arial" w:hint="cs"/>
          <w:color w:val="008000"/>
          <w:sz w:val="28"/>
          <w:rtl/>
        </w:rPr>
        <w:t>﴾</w:t>
      </w:r>
      <w:r w:rsidR="00D80351">
        <w:rPr>
          <w:rStyle w:val="FootnoteReference"/>
          <w:rFonts w:ascii="Noor_Lotus" w:eastAsia="Times New Roman" w:hAnsi="Noor_Lotus"/>
          <w:color w:val="008000"/>
          <w:sz w:val="28"/>
          <w:rtl/>
        </w:rPr>
        <w:footnoteReference w:id="9"/>
      </w:r>
      <w:r w:rsidR="00D80351" w:rsidRPr="00D80351">
        <w:rPr>
          <w:rFonts w:ascii="Noor_Lotus" w:eastAsia="Times New Roman" w:hAnsi="Noor_Lotus" w:hint="cs"/>
          <w:color w:val="008000"/>
          <w:sz w:val="28"/>
          <w:rtl/>
        </w:rPr>
        <w:t xml:space="preserve"> </w:t>
      </w:r>
      <w:r w:rsidRPr="00D80351">
        <w:rPr>
          <w:rFonts w:ascii="Noor_Lotus" w:eastAsia="Times New Roman" w:hAnsi="Noor_Lotus" w:hint="cs"/>
          <w:color w:val="000000" w:themeColor="text1"/>
          <w:sz w:val="28"/>
          <w:rtl/>
        </w:rPr>
        <w:t>هم داریم. بالفرض اگر موضوع قصاص، قتل مؤمن باشد، دلیل اسلام تبعی</w:t>
      </w:r>
      <w:r w:rsidR="00D80351">
        <w:rPr>
          <w:rStyle w:val="FootnoteReference"/>
          <w:rFonts w:ascii="Noor_Lotus" w:eastAsia="Times New Roman" w:hAnsi="Noor_Lotus"/>
          <w:color w:val="000000" w:themeColor="text1"/>
          <w:sz w:val="28"/>
          <w:rtl/>
        </w:rPr>
        <w:footnoteReference w:id="10"/>
      </w:r>
      <w:r w:rsidRPr="00D80351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بر روایات قتل مؤمن حکومت دارد و مقتضای این حکومت این است که شخص صبی مسلمان است و در نتیجه قصاص ثابت است. درست است که روایات اسلام تبعی در مورد نصرانی</w:t>
      </w:r>
      <w:r w:rsidR="0041595E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که مسلمان می شود،</w:t>
      </w:r>
      <w:r w:rsidRPr="00D80351">
        <w:rPr>
          <w:rFonts w:ascii="Noor_Lotus" w:eastAsia="Times New Roman" w:hAnsi="Noor_Lotus" w:hint="cs"/>
          <w:color w:val="000000" w:themeColor="text1"/>
          <w:sz w:val="28"/>
          <w:rtl/>
        </w:rPr>
        <w:t xml:space="preserve"> می باشد ولی در جایی که والدین از ابتدا مسلمان باش</w:t>
      </w:r>
      <w:r w:rsidR="00444A93">
        <w:rPr>
          <w:rFonts w:ascii="Noor_Lotus" w:eastAsia="Times New Roman" w:hAnsi="Noor_Lotus" w:hint="cs"/>
          <w:color w:val="000000" w:themeColor="text1"/>
          <w:sz w:val="28"/>
          <w:rtl/>
        </w:rPr>
        <w:t>ن</w:t>
      </w:r>
      <w:r w:rsidRPr="00D80351">
        <w:rPr>
          <w:rFonts w:ascii="Noor_Lotus" w:eastAsia="Times New Roman" w:hAnsi="Noor_Lotus" w:hint="cs"/>
          <w:color w:val="000000" w:themeColor="text1"/>
          <w:sz w:val="28"/>
          <w:rtl/>
        </w:rPr>
        <w:t>د به طریق اولی اسلام تبعی هست.</w:t>
      </w:r>
    </w:p>
    <w:p w:rsidR="001A1EA5" w:rsidRPr="00125C6A" w:rsidRDefault="00E606FD" w:rsidP="000B53AD">
      <w:pPr>
        <w:jc w:val="both"/>
        <w:rPr>
          <w:rFonts w:ascii="Noor_Lotus" w:eastAsia="Times New Roman" w:hAnsi="Noor_Lotus"/>
          <w:color w:val="000000"/>
          <w:sz w:val="28"/>
          <w:rtl/>
        </w:rPr>
      </w:pPr>
      <w:r w:rsidRPr="00125C6A">
        <w:rPr>
          <w:rFonts w:ascii="Noor_Lotus" w:eastAsia="Times New Roman" w:hAnsi="Noor_Lotus" w:hint="cs"/>
          <w:color w:val="000000"/>
          <w:sz w:val="28"/>
          <w:rtl/>
        </w:rPr>
        <w:t xml:space="preserve">در نتیجه تنها دلیل برای عدم قتل بالغ در مقابل صبی، صحیحه ابی بصیر می باشد.   </w:t>
      </w:r>
    </w:p>
    <w:sectPr w:rsidR="001A1EA5" w:rsidRPr="00125C6A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EE9" w:rsidRDefault="00240EE9" w:rsidP="008B750B">
      <w:pPr>
        <w:spacing w:line="240" w:lineRule="auto"/>
      </w:pPr>
      <w:r>
        <w:separator/>
      </w:r>
    </w:p>
  </w:endnote>
  <w:endnote w:type="continuationSeparator" w:id="0">
    <w:p w:rsidR="00240EE9" w:rsidRDefault="00240EE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me_quran">
    <w:charset w:val="B2"/>
    <w:family w:val="roman"/>
    <w:pitch w:val="variable"/>
    <w:sig w:usb0="00002001" w:usb1="80000000" w:usb2="00000008" w:usb3="00000000" w:csb0="00000040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C6ACD" w:rsidRPr="00DC6ACD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D022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F1mq1_13970906-033_mk4_mfeb.ir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EE9" w:rsidRDefault="00240EE9" w:rsidP="008B750B">
      <w:pPr>
        <w:spacing w:line="240" w:lineRule="auto"/>
      </w:pPr>
      <w:r>
        <w:separator/>
      </w:r>
    </w:p>
  </w:footnote>
  <w:footnote w:type="continuationSeparator" w:id="0">
    <w:p w:rsidR="00240EE9" w:rsidRDefault="00240EE9" w:rsidP="008B750B">
      <w:pPr>
        <w:spacing w:line="240" w:lineRule="auto"/>
      </w:pPr>
      <w:r>
        <w:continuationSeparator/>
      </w:r>
    </w:p>
  </w:footnote>
  <w:footnote w:id="1">
    <w:p w:rsidR="0036539A" w:rsidRPr="0036539A" w:rsidRDefault="0036539A" w:rsidP="0036539A">
      <w:pPr>
        <w:pStyle w:val="FootnoteText"/>
      </w:pPr>
      <w:r w:rsidRPr="0036539A">
        <w:footnoteRef/>
      </w:r>
      <w:r w:rsidRPr="0036539A">
        <w:rPr>
          <w:rtl/>
        </w:rPr>
        <w:t xml:space="preserve"> </w:t>
      </w:r>
      <w:r w:rsidRPr="0036539A">
        <w:rPr>
          <w:rFonts w:hint="cs"/>
          <w:rtl/>
        </w:rPr>
        <w:t>سوره</w:t>
      </w:r>
      <w:r w:rsidRPr="0036539A">
        <w:rPr>
          <w:rtl/>
        </w:rPr>
        <w:t xml:space="preserve"> </w:t>
      </w:r>
      <w:r w:rsidRPr="0036539A">
        <w:rPr>
          <w:rFonts w:hint="cs"/>
          <w:rtl/>
        </w:rPr>
        <w:t>اسراء،</w:t>
      </w:r>
      <w:r w:rsidRPr="0036539A">
        <w:rPr>
          <w:rtl/>
        </w:rPr>
        <w:t xml:space="preserve"> </w:t>
      </w:r>
      <w:r w:rsidRPr="0036539A">
        <w:rPr>
          <w:rFonts w:hint="cs"/>
          <w:rtl/>
        </w:rPr>
        <w:t>آيه</w:t>
      </w:r>
      <w:r w:rsidRPr="0036539A">
        <w:rPr>
          <w:rtl/>
        </w:rPr>
        <w:t xml:space="preserve"> 33.</w:t>
      </w:r>
    </w:p>
  </w:footnote>
  <w:footnote w:id="2">
    <w:p w:rsidR="0036539A" w:rsidRPr="0036539A" w:rsidRDefault="0036539A" w:rsidP="0036539A">
      <w:pPr>
        <w:pStyle w:val="FootnoteText"/>
      </w:pPr>
      <w:r w:rsidRPr="0036539A">
        <w:footnoteRef/>
      </w:r>
      <w:r w:rsidRPr="0036539A">
        <w:rPr>
          <w:rtl/>
        </w:rPr>
        <w:t xml:space="preserve"> </w:t>
      </w:r>
      <w:hyperlink r:id="rId1" w:history="1">
        <w:r w:rsidRPr="0036539A">
          <w:rPr>
            <w:rStyle w:val="Hyperlink"/>
            <w:rFonts w:hint="cs"/>
            <w:rtl/>
          </w:rPr>
          <w:t>الکافی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للحلبی،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أبو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الصلاح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الحلبی،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ج</w:t>
        </w:r>
        <w:r w:rsidRPr="0036539A">
          <w:rPr>
            <w:rStyle w:val="Hyperlink"/>
            <w:rtl/>
          </w:rPr>
          <w:t>1</w:t>
        </w:r>
        <w:r w:rsidRPr="0036539A">
          <w:rPr>
            <w:rStyle w:val="Hyperlink"/>
            <w:rFonts w:hint="cs"/>
            <w:rtl/>
          </w:rPr>
          <w:t>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ص</w:t>
        </w:r>
        <w:r w:rsidRPr="0036539A">
          <w:rPr>
            <w:rStyle w:val="Hyperlink"/>
            <w:rtl/>
          </w:rPr>
          <w:t>384.</w:t>
        </w:r>
      </w:hyperlink>
    </w:p>
  </w:footnote>
  <w:footnote w:id="3">
    <w:p w:rsidR="0036539A" w:rsidRPr="0036539A" w:rsidRDefault="0036539A" w:rsidP="0036539A">
      <w:pPr>
        <w:pStyle w:val="FootnoteText"/>
      </w:pPr>
      <w:r w:rsidRPr="0036539A">
        <w:footnoteRef/>
      </w:r>
      <w:r w:rsidRPr="0036539A">
        <w:rPr>
          <w:rtl/>
        </w:rPr>
        <w:t xml:space="preserve"> </w:t>
      </w:r>
      <w:hyperlink r:id="rId2" w:history="1">
        <w:r w:rsidRPr="0036539A">
          <w:rPr>
            <w:rStyle w:val="Hyperlink"/>
            <w:rFonts w:hint="cs"/>
            <w:rtl/>
          </w:rPr>
          <w:t>مبانی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تکملة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المنهاج،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السید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أبوالقاسم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الخوئی،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ج</w:t>
        </w:r>
        <w:r w:rsidRPr="0036539A">
          <w:rPr>
            <w:rStyle w:val="Hyperlink"/>
            <w:rtl/>
          </w:rPr>
          <w:t>2</w:t>
        </w:r>
        <w:r w:rsidRPr="0036539A">
          <w:rPr>
            <w:rStyle w:val="Hyperlink"/>
            <w:rFonts w:hint="cs"/>
            <w:rtl/>
          </w:rPr>
          <w:t>،</w:t>
        </w:r>
        <w:r w:rsidRPr="0036539A">
          <w:rPr>
            <w:rStyle w:val="Hyperlink"/>
            <w:rtl/>
          </w:rPr>
          <w:t xml:space="preserve"> </w:t>
        </w:r>
        <w:r w:rsidRPr="0036539A">
          <w:rPr>
            <w:rStyle w:val="Hyperlink"/>
            <w:rFonts w:hint="cs"/>
            <w:rtl/>
          </w:rPr>
          <w:t>ص</w:t>
        </w:r>
        <w:r w:rsidRPr="0036539A">
          <w:rPr>
            <w:rStyle w:val="Hyperlink"/>
            <w:rtl/>
          </w:rPr>
          <w:t>71.</w:t>
        </w:r>
      </w:hyperlink>
    </w:p>
  </w:footnote>
  <w:footnote w:id="4">
    <w:p w:rsidR="000B53AD" w:rsidRPr="000B53AD" w:rsidRDefault="000B53AD" w:rsidP="000B53AD">
      <w:pPr>
        <w:pStyle w:val="FootnoteText"/>
      </w:pPr>
      <w:r w:rsidRPr="000B53AD">
        <w:footnoteRef/>
      </w:r>
      <w:r w:rsidRPr="000B53AD">
        <w:rPr>
          <w:rtl/>
        </w:rPr>
        <w:t xml:space="preserve"> </w:t>
      </w:r>
      <w:hyperlink r:id="rId3" w:history="1">
        <w:r w:rsidRPr="000B53AD">
          <w:rPr>
            <w:rStyle w:val="Hyperlink"/>
            <w:rFonts w:hint="cs"/>
            <w:rtl/>
          </w:rPr>
          <w:t>وسائل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الشیعة،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الشیخ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الحر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العاملي،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ج</w:t>
        </w:r>
        <w:r w:rsidRPr="000B53AD">
          <w:rPr>
            <w:rStyle w:val="Hyperlink"/>
            <w:rtl/>
          </w:rPr>
          <w:t>29</w:t>
        </w:r>
        <w:r w:rsidRPr="000B53AD">
          <w:rPr>
            <w:rStyle w:val="Hyperlink"/>
            <w:rFonts w:hint="cs"/>
            <w:rtl/>
          </w:rPr>
          <w:t>،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ص</w:t>
        </w:r>
        <w:r w:rsidRPr="000B53AD">
          <w:rPr>
            <w:rStyle w:val="Hyperlink"/>
            <w:rtl/>
          </w:rPr>
          <w:t>318</w:t>
        </w:r>
        <w:r w:rsidRPr="000B53AD">
          <w:rPr>
            <w:rStyle w:val="Hyperlink"/>
            <w:rFonts w:hint="cs"/>
            <w:rtl/>
          </w:rPr>
          <w:t>،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ط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آل</w:t>
        </w:r>
        <w:r w:rsidRPr="000B53AD">
          <w:rPr>
            <w:rStyle w:val="Hyperlink"/>
            <w:rtl/>
          </w:rPr>
          <w:t xml:space="preserve"> </w:t>
        </w:r>
        <w:r w:rsidRPr="000B53AD">
          <w:rPr>
            <w:rStyle w:val="Hyperlink"/>
            <w:rFonts w:hint="cs"/>
            <w:rtl/>
          </w:rPr>
          <w:t>البيت</w:t>
        </w:r>
        <w:r w:rsidRPr="000B53AD">
          <w:rPr>
            <w:rStyle w:val="Hyperlink"/>
            <w:rtl/>
          </w:rPr>
          <w:t>.</w:t>
        </w:r>
      </w:hyperlink>
    </w:p>
  </w:footnote>
  <w:footnote w:id="5">
    <w:p w:rsidR="00125C6A" w:rsidRPr="00125C6A" w:rsidRDefault="00125C6A" w:rsidP="00125C6A">
      <w:pPr>
        <w:pStyle w:val="FootnoteText"/>
        <w:rPr>
          <w:rtl/>
        </w:rPr>
      </w:pPr>
      <w:r w:rsidRPr="00125C6A">
        <w:footnoteRef/>
      </w:r>
      <w:r w:rsidRPr="00125C6A">
        <w:rPr>
          <w:rtl/>
        </w:rPr>
        <w:t xml:space="preserve"> </w:t>
      </w:r>
      <w:hyperlink r:id="rId4" w:history="1">
        <w:r w:rsidRPr="00125C6A">
          <w:rPr>
            <w:rStyle w:val="Hyperlink"/>
            <w:rFonts w:hint="cs"/>
            <w:rtl/>
          </w:rPr>
          <w:t>الکافی،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محمد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بن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یعقوب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کلینی،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ج</w:t>
        </w:r>
        <w:r w:rsidRPr="00125C6A">
          <w:rPr>
            <w:rStyle w:val="Hyperlink"/>
            <w:rtl/>
          </w:rPr>
          <w:t>7</w:t>
        </w:r>
        <w:r w:rsidRPr="00125C6A">
          <w:rPr>
            <w:rStyle w:val="Hyperlink"/>
            <w:rFonts w:hint="cs"/>
            <w:rtl/>
          </w:rPr>
          <w:t>،</w:t>
        </w:r>
        <w:r w:rsidRPr="00125C6A">
          <w:rPr>
            <w:rStyle w:val="Hyperlink"/>
            <w:rtl/>
          </w:rPr>
          <w:t xml:space="preserve"> </w:t>
        </w:r>
        <w:r w:rsidRPr="00125C6A">
          <w:rPr>
            <w:rStyle w:val="Hyperlink"/>
            <w:rFonts w:hint="cs"/>
            <w:rtl/>
          </w:rPr>
          <w:t>ص</w:t>
        </w:r>
        <w:r w:rsidRPr="00125C6A">
          <w:rPr>
            <w:rStyle w:val="Hyperlink"/>
            <w:rtl/>
          </w:rPr>
          <w:t>294.</w:t>
        </w:r>
      </w:hyperlink>
    </w:p>
  </w:footnote>
  <w:footnote w:id="6">
    <w:p w:rsidR="00874772" w:rsidRPr="00874772" w:rsidRDefault="00874772" w:rsidP="00874772">
      <w:pPr>
        <w:pStyle w:val="FootnoteText"/>
      </w:pPr>
      <w:r w:rsidRPr="00874772">
        <w:footnoteRef/>
      </w:r>
      <w:r w:rsidRPr="00874772">
        <w:rPr>
          <w:rtl/>
        </w:rPr>
        <w:t xml:space="preserve"> </w:t>
      </w:r>
      <w:hyperlink r:id="rId5" w:history="1">
        <w:r w:rsidRPr="00874772">
          <w:rPr>
            <w:rStyle w:val="Hyperlink"/>
            <w:rFonts w:hint="cs"/>
            <w:rtl/>
          </w:rPr>
          <w:t>تهذیب</w:t>
        </w:r>
        <w:r w:rsidRPr="00874772">
          <w:rPr>
            <w:rStyle w:val="Hyperlink"/>
            <w:rtl/>
          </w:rPr>
          <w:t xml:space="preserve"> </w:t>
        </w:r>
        <w:r w:rsidRPr="00874772">
          <w:rPr>
            <w:rStyle w:val="Hyperlink"/>
            <w:rFonts w:hint="cs"/>
            <w:rtl/>
          </w:rPr>
          <w:t>الاحکام،</w:t>
        </w:r>
        <w:r w:rsidRPr="00874772">
          <w:rPr>
            <w:rStyle w:val="Hyperlink"/>
            <w:rtl/>
          </w:rPr>
          <w:t xml:space="preserve"> </w:t>
        </w:r>
        <w:r w:rsidRPr="00874772">
          <w:rPr>
            <w:rStyle w:val="Hyperlink"/>
            <w:rFonts w:hint="cs"/>
            <w:rtl/>
          </w:rPr>
          <w:t>شیخ</w:t>
        </w:r>
        <w:r w:rsidRPr="00874772">
          <w:rPr>
            <w:rStyle w:val="Hyperlink"/>
            <w:rtl/>
          </w:rPr>
          <w:t xml:space="preserve"> </w:t>
        </w:r>
        <w:r w:rsidRPr="00874772">
          <w:rPr>
            <w:rStyle w:val="Hyperlink"/>
            <w:rFonts w:hint="cs"/>
            <w:rtl/>
          </w:rPr>
          <w:t>طوسی،</w:t>
        </w:r>
        <w:r w:rsidRPr="00874772">
          <w:rPr>
            <w:rStyle w:val="Hyperlink"/>
            <w:rtl/>
          </w:rPr>
          <w:t xml:space="preserve"> </w:t>
        </w:r>
        <w:r w:rsidRPr="00874772">
          <w:rPr>
            <w:rStyle w:val="Hyperlink"/>
            <w:rFonts w:hint="cs"/>
            <w:rtl/>
          </w:rPr>
          <w:t>ج</w:t>
        </w:r>
        <w:r w:rsidRPr="00874772">
          <w:rPr>
            <w:rStyle w:val="Hyperlink"/>
            <w:rtl/>
          </w:rPr>
          <w:t>10</w:t>
        </w:r>
        <w:r w:rsidRPr="00874772">
          <w:rPr>
            <w:rStyle w:val="Hyperlink"/>
            <w:rFonts w:hint="cs"/>
            <w:rtl/>
          </w:rPr>
          <w:t>،</w:t>
        </w:r>
        <w:r w:rsidRPr="00874772">
          <w:rPr>
            <w:rStyle w:val="Hyperlink"/>
            <w:rtl/>
          </w:rPr>
          <w:t xml:space="preserve"> </w:t>
        </w:r>
        <w:r w:rsidRPr="00874772">
          <w:rPr>
            <w:rStyle w:val="Hyperlink"/>
            <w:rFonts w:hint="cs"/>
            <w:rtl/>
          </w:rPr>
          <w:t>ص</w:t>
        </w:r>
        <w:r w:rsidRPr="00874772">
          <w:rPr>
            <w:rStyle w:val="Hyperlink"/>
            <w:rtl/>
          </w:rPr>
          <w:t>158.</w:t>
        </w:r>
      </w:hyperlink>
    </w:p>
  </w:footnote>
  <w:footnote w:id="7">
    <w:p w:rsidR="00874772" w:rsidRPr="00874772" w:rsidRDefault="00874772">
      <w:pPr>
        <w:pStyle w:val="FootnoteText"/>
        <w:rPr>
          <w:u w:val="single"/>
        </w:rPr>
      </w:pPr>
      <w:r w:rsidRPr="00874772">
        <w:rPr>
          <w:rStyle w:val="FootnoteReference"/>
          <w:color w:val="0070C0"/>
          <w:u w:val="single"/>
        </w:rPr>
        <w:footnoteRef/>
      </w:r>
      <w:r w:rsidRPr="00874772">
        <w:rPr>
          <w:color w:val="0070C0"/>
          <w:u w:val="single"/>
          <w:rtl/>
        </w:rPr>
        <w:t xml:space="preserve"> </w:t>
      </w:r>
      <w:r w:rsidRPr="00874772">
        <w:rPr>
          <w:rFonts w:hint="cs"/>
          <w:color w:val="0070C0"/>
          <w:u w:val="single"/>
          <w:rtl/>
        </w:rPr>
        <w:t>استاد جلسه بعد از این نسبت به این دو بزرگوار عدول کردند</w:t>
      </w:r>
    </w:p>
  </w:footnote>
  <w:footnote w:id="8">
    <w:p w:rsidR="00D80351" w:rsidRPr="00D80351" w:rsidRDefault="00D80351" w:rsidP="00D80351">
      <w:pPr>
        <w:pStyle w:val="FootnoteText"/>
        <w:rPr>
          <w:rtl/>
        </w:rPr>
      </w:pPr>
      <w:r w:rsidRPr="00D80351">
        <w:footnoteRef/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سوره</w:t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مائده،</w:t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آيه</w:t>
      </w:r>
      <w:r w:rsidRPr="00D80351">
        <w:rPr>
          <w:rtl/>
        </w:rPr>
        <w:t xml:space="preserve"> 45.</w:t>
      </w:r>
    </w:p>
  </w:footnote>
  <w:footnote w:id="9">
    <w:p w:rsidR="00D80351" w:rsidRPr="00D80351" w:rsidRDefault="00D80351" w:rsidP="00D80351">
      <w:pPr>
        <w:pStyle w:val="FootnoteText"/>
        <w:rPr>
          <w:rtl/>
        </w:rPr>
      </w:pPr>
      <w:r w:rsidRPr="00D80351">
        <w:footnoteRef/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سوره</w:t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اسراء،</w:t>
      </w:r>
      <w:r w:rsidRPr="00D80351">
        <w:rPr>
          <w:rtl/>
        </w:rPr>
        <w:t xml:space="preserve"> </w:t>
      </w:r>
      <w:r w:rsidRPr="00D80351">
        <w:rPr>
          <w:rFonts w:hint="cs"/>
          <w:rtl/>
        </w:rPr>
        <w:t>آيه</w:t>
      </w:r>
      <w:r w:rsidRPr="00D80351">
        <w:rPr>
          <w:rtl/>
        </w:rPr>
        <w:t xml:space="preserve"> 33.</w:t>
      </w:r>
    </w:p>
  </w:footnote>
  <w:footnote w:id="10">
    <w:p w:rsidR="00D80351" w:rsidRPr="00D80351" w:rsidRDefault="00D80351" w:rsidP="00D80351">
      <w:pPr>
        <w:pStyle w:val="FootnoteText"/>
      </w:pPr>
      <w:r w:rsidRPr="00D80351">
        <w:footnoteRef/>
      </w:r>
      <w:r w:rsidRPr="00D80351">
        <w:rPr>
          <w:rtl/>
        </w:rPr>
        <w:t xml:space="preserve"> </w:t>
      </w:r>
      <w:hyperlink r:id="rId6" w:history="1">
        <w:r w:rsidRPr="00D80351">
          <w:rPr>
            <w:rStyle w:val="Hyperlink"/>
            <w:rFonts w:hint="cs"/>
            <w:rtl/>
          </w:rPr>
          <w:t>تهذیب</w:t>
        </w:r>
        <w:r w:rsidRPr="00D80351">
          <w:rPr>
            <w:rStyle w:val="Hyperlink"/>
            <w:rtl/>
          </w:rPr>
          <w:t xml:space="preserve"> </w:t>
        </w:r>
        <w:r w:rsidRPr="00D80351">
          <w:rPr>
            <w:rStyle w:val="Hyperlink"/>
            <w:rFonts w:hint="cs"/>
            <w:rtl/>
          </w:rPr>
          <w:t>الاحکام،</w:t>
        </w:r>
        <w:r w:rsidRPr="00D80351">
          <w:rPr>
            <w:rStyle w:val="Hyperlink"/>
            <w:rtl/>
          </w:rPr>
          <w:t xml:space="preserve"> </w:t>
        </w:r>
        <w:r w:rsidRPr="00D80351">
          <w:rPr>
            <w:rStyle w:val="Hyperlink"/>
            <w:rFonts w:hint="cs"/>
            <w:rtl/>
          </w:rPr>
          <w:t>شیخ</w:t>
        </w:r>
        <w:r w:rsidRPr="00D80351">
          <w:rPr>
            <w:rStyle w:val="Hyperlink"/>
            <w:rtl/>
          </w:rPr>
          <w:t xml:space="preserve"> </w:t>
        </w:r>
        <w:r w:rsidRPr="00D80351">
          <w:rPr>
            <w:rStyle w:val="Hyperlink"/>
            <w:rFonts w:hint="cs"/>
            <w:rtl/>
          </w:rPr>
          <w:t>طوسی،</w:t>
        </w:r>
        <w:r w:rsidRPr="00D80351">
          <w:rPr>
            <w:rStyle w:val="Hyperlink"/>
            <w:rtl/>
          </w:rPr>
          <w:t xml:space="preserve"> </w:t>
        </w:r>
        <w:r w:rsidRPr="00D80351">
          <w:rPr>
            <w:rStyle w:val="Hyperlink"/>
            <w:rFonts w:hint="cs"/>
            <w:rtl/>
          </w:rPr>
          <w:t>ج</w:t>
        </w:r>
        <w:r w:rsidRPr="00D80351">
          <w:rPr>
            <w:rStyle w:val="Hyperlink"/>
            <w:rtl/>
          </w:rPr>
          <w:t>6</w:t>
        </w:r>
        <w:r w:rsidRPr="00D80351">
          <w:rPr>
            <w:rStyle w:val="Hyperlink"/>
            <w:rFonts w:hint="cs"/>
            <w:rtl/>
          </w:rPr>
          <w:t>،</w:t>
        </w:r>
        <w:r w:rsidRPr="00D80351">
          <w:rPr>
            <w:rStyle w:val="Hyperlink"/>
            <w:rtl/>
          </w:rPr>
          <w:t xml:space="preserve"> </w:t>
        </w:r>
        <w:r w:rsidRPr="00D80351">
          <w:rPr>
            <w:rStyle w:val="Hyperlink"/>
            <w:rFonts w:hint="cs"/>
            <w:rtl/>
          </w:rPr>
          <w:t>ص</w:t>
        </w:r>
        <w:r w:rsidRPr="00D80351">
          <w:rPr>
            <w:rStyle w:val="Hyperlink"/>
            <w:rtl/>
          </w:rPr>
          <w:t>151.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8D0225">
      <w:rPr>
        <w:b/>
        <w:bCs/>
        <w:sz w:val="20"/>
        <w:szCs w:val="24"/>
        <w:rtl/>
      </w:rPr>
      <w:t>033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8D0225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8D0225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8D0225">
      <w:rPr>
        <w:sz w:val="24"/>
        <w:szCs w:val="24"/>
        <w:rtl/>
      </w:rPr>
      <w:t>6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8D0225">
      <w:rPr>
        <w:rFonts w:hint="cs"/>
        <w:color w:val="000000" w:themeColor="text1"/>
        <w:sz w:val="24"/>
        <w:szCs w:val="24"/>
        <w:rtl/>
      </w:rPr>
      <w:t>شروط</w:t>
    </w:r>
    <w:r w:rsidR="008D0225">
      <w:rPr>
        <w:color w:val="000000" w:themeColor="text1"/>
        <w:sz w:val="24"/>
        <w:szCs w:val="24"/>
        <w:rtl/>
      </w:rPr>
      <w:t xml:space="preserve"> </w:t>
    </w:r>
    <w:r w:rsidR="008D0225">
      <w:rPr>
        <w:rFonts w:hint="cs"/>
        <w:color w:val="000000" w:themeColor="text1"/>
        <w:sz w:val="24"/>
        <w:szCs w:val="24"/>
        <w:rtl/>
      </w:rPr>
      <w:t>قصاص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8D0225">
      <w:rPr>
        <w:rFonts w:hint="cs"/>
        <w:sz w:val="24"/>
        <w:szCs w:val="24"/>
        <w:rtl/>
      </w:rPr>
      <w:t>مهدی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خسروبیگی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8D0225">
      <w:rPr>
        <w:rFonts w:hint="cs"/>
        <w:sz w:val="24"/>
        <w:szCs w:val="24"/>
        <w:rtl/>
      </w:rPr>
      <w:t>عدم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قصاص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مادر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در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قتل</w:t>
    </w:r>
    <w:r w:rsidR="008D0225">
      <w:rPr>
        <w:sz w:val="24"/>
        <w:szCs w:val="24"/>
        <w:rtl/>
      </w:rPr>
      <w:t xml:space="preserve"> </w:t>
    </w:r>
    <w:r w:rsidR="008D0225">
      <w:rPr>
        <w:rFonts w:hint="cs"/>
        <w:sz w:val="24"/>
        <w:szCs w:val="24"/>
        <w:rtl/>
      </w:rPr>
      <w:t>فرزند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0107"/>
    <w:rsid w:val="000353D7"/>
    <w:rsid w:val="00055496"/>
    <w:rsid w:val="00080A41"/>
    <w:rsid w:val="0008299B"/>
    <w:rsid w:val="000913AA"/>
    <w:rsid w:val="00094847"/>
    <w:rsid w:val="00096C63"/>
    <w:rsid w:val="000B53AD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5C6A"/>
    <w:rsid w:val="00127E95"/>
    <w:rsid w:val="00130659"/>
    <w:rsid w:val="00133392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0EE9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6E77"/>
    <w:rsid w:val="0033402C"/>
    <w:rsid w:val="00340521"/>
    <w:rsid w:val="00345C73"/>
    <w:rsid w:val="00354A99"/>
    <w:rsid w:val="00360311"/>
    <w:rsid w:val="00361922"/>
    <w:rsid w:val="0036539A"/>
    <w:rsid w:val="0037339B"/>
    <w:rsid w:val="00386C11"/>
    <w:rsid w:val="00394E5C"/>
    <w:rsid w:val="00397466"/>
    <w:rsid w:val="003A0B43"/>
    <w:rsid w:val="003A6148"/>
    <w:rsid w:val="003C33F6"/>
    <w:rsid w:val="003C3D2E"/>
    <w:rsid w:val="003C43A5"/>
    <w:rsid w:val="003D6BAE"/>
    <w:rsid w:val="003E1C5C"/>
    <w:rsid w:val="003E6650"/>
    <w:rsid w:val="003F3963"/>
    <w:rsid w:val="003F5B46"/>
    <w:rsid w:val="00401363"/>
    <w:rsid w:val="00402E47"/>
    <w:rsid w:val="0041595E"/>
    <w:rsid w:val="00425015"/>
    <w:rsid w:val="00430994"/>
    <w:rsid w:val="00434935"/>
    <w:rsid w:val="00441B6D"/>
    <w:rsid w:val="00444A93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5E12"/>
    <w:rsid w:val="0056213C"/>
    <w:rsid w:val="00580C24"/>
    <w:rsid w:val="005968EF"/>
    <w:rsid w:val="00596C1E"/>
    <w:rsid w:val="005A2E26"/>
    <w:rsid w:val="005B7BCA"/>
    <w:rsid w:val="005C0DAE"/>
    <w:rsid w:val="005C188E"/>
    <w:rsid w:val="005C6681"/>
    <w:rsid w:val="005D2349"/>
    <w:rsid w:val="005E1B60"/>
    <w:rsid w:val="005E5507"/>
    <w:rsid w:val="005E598C"/>
    <w:rsid w:val="005E607B"/>
    <w:rsid w:val="005F0A8D"/>
    <w:rsid w:val="005F41C3"/>
    <w:rsid w:val="00601229"/>
    <w:rsid w:val="00603B67"/>
    <w:rsid w:val="00611FE1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3A9E"/>
    <w:rsid w:val="006875DF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74772"/>
    <w:rsid w:val="008956DD"/>
    <w:rsid w:val="008A510E"/>
    <w:rsid w:val="008A522A"/>
    <w:rsid w:val="008B4464"/>
    <w:rsid w:val="008B750B"/>
    <w:rsid w:val="008C3162"/>
    <w:rsid w:val="008D0225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0F8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3CC4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056E"/>
    <w:rsid w:val="00A760E2"/>
    <w:rsid w:val="00AA1F60"/>
    <w:rsid w:val="00AA40D7"/>
    <w:rsid w:val="00AB5F7D"/>
    <w:rsid w:val="00AC0C50"/>
    <w:rsid w:val="00AC0D48"/>
    <w:rsid w:val="00AC6FE2"/>
    <w:rsid w:val="00AF3925"/>
    <w:rsid w:val="00AF486F"/>
    <w:rsid w:val="00B01F14"/>
    <w:rsid w:val="00B1296B"/>
    <w:rsid w:val="00B136A1"/>
    <w:rsid w:val="00B2292F"/>
    <w:rsid w:val="00B43169"/>
    <w:rsid w:val="00B501A8"/>
    <w:rsid w:val="00B51275"/>
    <w:rsid w:val="00B5596C"/>
    <w:rsid w:val="00B55AE4"/>
    <w:rsid w:val="00B702DD"/>
    <w:rsid w:val="00B70B46"/>
    <w:rsid w:val="00B739B0"/>
    <w:rsid w:val="00B814A3"/>
    <w:rsid w:val="00B96F38"/>
    <w:rsid w:val="00BB4AD8"/>
    <w:rsid w:val="00BC716B"/>
    <w:rsid w:val="00BD0E74"/>
    <w:rsid w:val="00BD1837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0FC9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3601C"/>
    <w:rsid w:val="00D552B9"/>
    <w:rsid w:val="00D735B2"/>
    <w:rsid w:val="00D74021"/>
    <w:rsid w:val="00D76D01"/>
    <w:rsid w:val="00D80351"/>
    <w:rsid w:val="00D922A9"/>
    <w:rsid w:val="00D9394A"/>
    <w:rsid w:val="00DB0CBB"/>
    <w:rsid w:val="00DB67CC"/>
    <w:rsid w:val="00DC3783"/>
    <w:rsid w:val="00DC6ACD"/>
    <w:rsid w:val="00DE1070"/>
    <w:rsid w:val="00E00219"/>
    <w:rsid w:val="00E0316B"/>
    <w:rsid w:val="00E25E10"/>
    <w:rsid w:val="00E50B41"/>
    <w:rsid w:val="00E5219B"/>
    <w:rsid w:val="00E52D07"/>
    <w:rsid w:val="00E5518B"/>
    <w:rsid w:val="00E606FD"/>
    <w:rsid w:val="00E609FE"/>
    <w:rsid w:val="00E630BE"/>
    <w:rsid w:val="00E75920"/>
    <w:rsid w:val="00E80D96"/>
    <w:rsid w:val="00E871FA"/>
    <w:rsid w:val="00E936A4"/>
    <w:rsid w:val="00E954BB"/>
    <w:rsid w:val="00E96F07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6B3E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C5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DFA276A-DCF8-4769-A6A4-81580E5A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customStyle="1" w:styleId="hilight">
    <w:name w:val="hilight"/>
    <w:basedOn w:val="DefaultParagraphFont"/>
    <w:rsid w:val="00874772"/>
  </w:style>
  <w:style w:type="character" w:styleId="FollowedHyperlink">
    <w:name w:val="FollowedHyperlink"/>
    <w:basedOn w:val="DefaultParagraphFont"/>
    <w:uiPriority w:val="99"/>
    <w:semiHidden/>
    <w:unhideWhenUsed/>
    <w:rsid w:val="00125C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29/318/&#1608;&#1604;&#1580;&#1578;&#1607;&#1575;%20&#1575;&#1604;&#1585;&#1608;&#1581;" TargetMode="External"/><Relationship Id="rId2" Type="http://schemas.openxmlformats.org/officeDocument/2006/relationships/hyperlink" Target="http://lib.eshia.ir/21001/2/71/&#1576;&#1602;&#1578;&#1604;%20&#1575;&#1604;&#1589;&#1576;&#1610;" TargetMode="External"/><Relationship Id="rId1" Type="http://schemas.openxmlformats.org/officeDocument/2006/relationships/hyperlink" Target="http://lib.eshia.ir/10033/1/384/&#1583;&#1608;&#1606;%20&#1575;&#1604;&#1602;&#1608;&#1583;" TargetMode="External"/><Relationship Id="rId6" Type="http://schemas.openxmlformats.org/officeDocument/2006/relationships/hyperlink" Target="http://lib.eshia.ir/10083/6/151/&#1608;&#1604;&#1608;&#1604;&#1583;&#1607;%20&#1575;&#1604;&#1589;&#1594;&#1575;&#1585;" TargetMode="External"/><Relationship Id="rId5" Type="http://schemas.openxmlformats.org/officeDocument/2006/relationships/hyperlink" Target="http://lib.eshia.ir/10083/10/158/&#1608;&#1575;&#1604;&#1593;&#1605;&#1583;%20&#1607;&#1608;%20&#1575;&#1604;&#1602;&#1608;&#1583;" TargetMode="External"/><Relationship Id="rId4" Type="http://schemas.openxmlformats.org/officeDocument/2006/relationships/hyperlink" Target="http://lib.eshia.ir/11005/7/294/&#1740;&#1602;&#1575;&#15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E06A-333B-4C76-9FA4-156FD16F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3406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</cp:lastModifiedBy>
  <cp:revision>7</cp:revision>
  <cp:lastPrinted>2019-01-04T07:11:00Z</cp:lastPrinted>
  <dcterms:created xsi:type="dcterms:W3CDTF">2018-11-28T14:28:00Z</dcterms:created>
  <dcterms:modified xsi:type="dcterms:W3CDTF">2019-01-04T07:14:00Z</dcterms:modified>
  <cp:contentStatus>ویرایش 2.5</cp:contentStatus>
  <cp:version>2.7</cp:version>
</cp:coreProperties>
</file>