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4406D"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223662" w:history="1">
        <w:r w:rsidR="0014406D" w:rsidRPr="00466F88">
          <w:rPr>
            <w:rStyle w:val="Hyperlink"/>
            <w:rFonts w:hint="eastAsia"/>
            <w:noProof/>
            <w:rtl/>
          </w:rPr>
          <w:t>کلام</w:t>
        </w:r>
        <w:r w:rsidR="0014406D" w:rsidRPr="00466F88">
          <w:rPr>
            <w:rStyle w:val="Hyperlink"/>
            <w:noProof/>
            <w:rtl/>
          </w:rPr>
          <w:t xml:space="preserve"> </w:t>
        </w:r>
        <w:r w:rsidR="0014406D" w:rsidRPr="00466F88">
          <w:rPr>
            <w:rStyle w:val="Hyperlink"/>
            <w:rFonts w:hint="eastAsia"/>
            <w:noProof/>
            <w:rtl/>
          </w:rPr>
          <w:t>آ</w:t>
        </w:r>
        <w:r w:rsidR="0014406D" w:rsidRPr="00466F88">
          <w:rPr>
            <w:rStyle w:val="Hyperlink"/>
            <w:rFonts w:hint="cs"/>
            <w:noProof/>
            <w:rtl/>
          </w:rPr>
          <w:t>ی</w:t>
        </w:r>
        <w:r w:rsidR="0014406D" w:rsidRPr="00466F88">
          <w:rPr>
            <w:rStyle w:val="Hyperlink"/>
            <w:rFonts w:hint="eastAsia"/>
            <w:noProof/>
            <w:rtl/>
          </w:rPr>
          <w:t>ت</w:t>
        </w:r>
        <w:r w:rsidR="0014406D" w:rsidRPr="00466F88">
          <w:rPr>
            <w:rStyle w:val="Hyperlink"/>
            <w:noProof/>
            <w:rtl/>
          </w:rPr>
          <w:t xml:space="preserve"> </w:t>
        </w:r>
        <w:r w:rsidR="0014406D" w:rsidRPr="00466F88">
          <w:rPr>
            <w:rStyle w:val="Hyperlink"/>
            <w:rFonts w:hint="eastAsia"/>
            <w:noProof/>
            <w:rtl/>
          </w:rPr>
          <w:t>الله</w:t>
        </w:r>
        <w:r w:rsidR="0014406D" w:rsidRPr="00466F88">
          <w:rPr>
            <w:rStyle w:val="Hyperlink"/>
            <w:noProof/>
            <w:rtl/>
          </w:rPr>
          <w:t xml:space="preserve"> </w:t>
        </w:r>
        <w:r w:rsidR="0014406D" w:rsidRPr="00466F88">
          <w:rPr>
            <w:rStyle w:val="Hyperlink"/>
            <w:rFonts w:hint="eastAsia"/>
            <w:noProof/>
            <w:rtl/>
          </w:rPr>
          <w:t>حائر</w:t>
        </w:r>
        <w:r w:rsidR="0014406D" w:rsidRPr="00466F88">
          <w:rPr>
            <w:rStyle w:val="Hyperlink"/>
            <w:rFonts w:hint="cs"/>
            <w:noProof/>
            <w:rtl/>
          </w:rPr>
          <w:t>ی</w:t>
        </w:r>
        <w:r w:rsidR="0014406D" w:rsidRPr="00466F88">
          <w:rPr>
            <w:rStyle w:val="Hyperlink"/>
            <w:noProof/>
            <w:rtl/>
          </w:rPr>
          <w:t xml:space="preserve"> </w:t>
        </w:r>
        <w:r w:rsidR="0014406D" w:rsidRPr="00466F88">
          <w:rPr>
            <w:rStyle w:val="Hyperlink"/>
            <w:rFonts w:hint="eastAsia"/>
            <w:noProof/>
            <w:rtl/>
          </w:rPr>
          <w:t>در</w:t>
        </w:r>
        <w:r w:rsidR="0014406D" w:rsidRPr="00466F88">
          <w:rPr>
            <w:rStyle w:val="Hyperlink"/>
            <w:noProof/>
            <w:rtl/>
          </w:rPr>
          <w:t xml:space="preserve"> </w:t>
        </w:r>
        <w:r w:rsidR="0014406D" w:rsidRPr="00466F88">
          <w:rPr>
            <w:rStyle w:val="Hyperlink"/>
            <w:rFonts w:hint="eastAsia"/>
            <w:noProof/>
            <w:rtl/>
          </w:rPr>
          <w:t>بحث</w:t>
        </w:r>
        <w:r w:rsidR="0014406D" w:rsidRPr="00466F88">
          <w:rPr>
            <w:rStyle w:val="Hyperlink"/>
            <w:noProof/>
            <w:rtl/>
          </w:rPr>
          <w:t xml:space="preserve"> </w:t>
        </w:r>
        <w:r w:rsidR="0014406D" w:rsidRPr="00466F88">
          <w:rPr>
            <w:rStyle w:val="Hyperlink"/>
            <w:rFonts w:hint="eastAsia"/>
            <w:noProof/>
            <w:rtl/>
          </w:rPr>
          <w:t>نکول</w:t>
        </w:r>
        <w:r w:rsidR="0014406D">
          <w:rPr>
            <w:noProof/>
            <w:webHidden/>
            <w:rtl/>
          </w:rPr>
          <w:tab/>
        </w:r>
        <w:r w:rsidR="0014406D">
          <w:rPr>
            <w:rStyle w:val="Hyperlink"/>
            <w:noProof/>
            <w:rtl/>
          </w:rPr>
          <w:fldChar w:fldCharType="begin"/>
        </w:r>
        <w:r w:rsidR="0014406D">
          <w:rPr>
            <w:noProof/>
            <w:webHidden/>
            <w:rtl/>
          </w:rPr>
          <w:instrText xml:space="preserve"> </w:instrText>
        </w:r>
        <w:r w:rsidR="0014406D">
          <w:rPr>
            <w:noProof/>
            <w:webHidden/>
          </w:rPr>
          <w:instrText xml:space="preserve">PAGEREF </w:instrText>
        </w:r>
        <w:r w:rsidR="0014406D">
          <w:rPr>
            <w:noProof/>
            <w:webHidden/>
            <w:rtl/>
          </w:rPr>
          <w:instrText>_</w:instrText>
        </w:r>
        <w:r w:rsidR="0014406D">
          <w:rPr>
            <w:noProof/>
            <w:webHidden/>
          </w:rPr>
          <w:instrText>Toc</w:instrText>
        </w:r>
        <w:r w:rsidR="0014406D">
          <w:rPr>
            <w:noProof/>
            <w:webHidden/>
            <w:rtl/>
          </w:rPr>
          <w:instrText xml:space="preserve">2223662 </w:instrText>
        </w:r>
        <w:r w:rsidR="0014406D">
          <w:rPr>
            <w:noProof/>
            <w:webHidden/>
          </w:rPr>
          <w:instrText>\h</w:instrText>
        </w:r>
        <w:r w:rsidR="0014406D">
          <w:rPr>
            <w:noProof/>
            <w:webHidden/>
            <w:rtl/>
          </w:rPr>
          <w:instrText xml:space="preserve"> </w:instrText>
        </w:r>
        <w:r w:rsidR="0014406D">
          <w:rPr>
            <w:rStyle w:val="Hyperlink"/>
            <w:noProof/>
            <w:rtl/>
          </w:rPr>
        </w:r>
        <w:r w:rsidR="0014406D">
          <w:rPr>
            <w:rStyle w:val="Hyperlink"/>
            <w:noProof/>
            <w:rtl/>
          </w:rPr>
          <w:fldChar w:fldCharType="separate"/>
        </w:r>
        <w:r w:rsidR="00DD2840">
          <w:rPr>
            <w:noProof/>
            <w:webHidden/>
            <w:rtl/>
          </w:rPr>
          <w:t>1</w:t>
        </w:r>
        <w:r w:rsidR="0014406D">
          <w:rPr>
            <w:rStyle w:val="Hyperlink"/>
            <w:noProof/>
            <w:rtl/>
          </w:rPr>
          <w:fldChar w:fldCharType="end"/>
        </w:r>
      </w:hyperlink>
    </w:p>
    <w:p w:rsidR="0014406D" w:rsidRDefault="00FE2DD7">
      <w:pPr>
        <w:pStyle w:val="TOC2"/>
        <w:tabs>
          <w:tab w:val="right" w:leader="dot" w:pos="10194"/>
        </w:tabs>
        <w:rPr>
          <w:rFonts w:asciiTheme="minorHAnsi" w:eastAsiaTheme="minorEastAsia" w:hAnsiTheme="minorHAnsi" w:cstheme="minorBidi"/>
          <w:bCs w:val="0"/>
          <w:noProof/>
          <w:color w:val="auto"/>
          <w:szCs w:val="22"/>
          <w:rtl/>
        </w:rPr>
      </w:pPr>
      <w:hyperlink w:anchor="_Toc2223663" w:history="1">
        <w:r w:rsidR="0014406D" w:rsidRPr="00466F88">
          <w:rPr>
            <w:rStyle w:val="Hyperlink"/>
            <w:rFonts w:hint="eastAsia"/>
            <w:noProof/>
            <w:rtl/>
          </w:rPr>
          <w:t>اشکال</w:t>
        </w:r>
        <w:r w:rsidR="0014406D" w:rsidRPr="00466F88">
          <w:rPr>
            <w:rStyle w:val="Hyperlink"/>
            <w:noProof/>
            <w:rtl/>
          </w:rPr>
          <w:t xml:space="preserve"> </w:t>
        </w:r>
        <w:r w:rsidR="0014406D" w:rsidRPr="00466F88">
          <w:rPr>
            <w:rStyle w:val="Hyperlink"/>
            <w:rFonts w:hint="eastAsia"/>
            <w:noProof/>
            <w:rtl/>
          </w:rPr>
          <w:t>به</w:t>
        </w:r>
        <w:r w:rsidR="0014406D" w:rsidRPr="00466F88">
          <w:rPr>
            <w:rStyle w:val="Hyperlink"/>
            <w:noProof/>
            <w:rtl/>
          </w:rPr>
          <w:t xml:space="preserve"> </w:t>
        </w:r>
        <w:r w:rsidR="0014406D" w:rsidRPr="00466F88">
          <w:rPr>
            <w:rStyle w:val="Hyperlink"/>
            <w:rFonts w:hint="eastAsia"/>
            <w:noProof/>
            <w:rtl/>
          </w:rPr>
          <w:t>کلام</w:t>
        </w:r>
        <w:r w:rsidR="0014406D" w:rsidRPr="00466F88">
          <w:rPr>
            <w:rStyle w:val="Hyperlink"/>
            <w:noProof/>
            <w:rtl/>
          </w:rPr>
          <w:t xml:space="preserve"> </w:t>
        </w:r>
        <w:r w:rsidR="0014406D" w:rsidRPr="00466F88">
          <w:rPr>
            <w:rStyle w:val="Hyperlink"/>
            <w:rFonts w:hint="eastAsia"/>
            <w:noProof/>
            <w:rtl/>
          </w:rPr>
          <w:t>محقق</w:t>
        </w:r>
        <w:r w:rsidR="0014406D" w:rsidRPr="00466F88">
          <w:rPr>
            <w:rStyle w:val="Hyperlink"/>
            <w:noProof/>
            <w:rtl/>
          </w:rPr>
          <w:t xml:space="preserve"> </w:t>
        </w:r>
        <w:r w:rsidR="0014406D" w:rsidRPr="00466F88">
          <w:rPr>
            <w:rStyle w:val="Hyperlink"/>
            <w:rFonts w:hint="eastAsia"/>
            <w:noProof/>
            <w:rtl/>
          </w:rPr>
          <w:t>حائر</w:t>
        </w:r>
        <w:r w:rsidR="0014406D" w:rsidRPr="00466F88">
          <w:rPr>
            <w:rStyle w:val="Hyperlink"/>
            <w:rFonts w:hint="cs"/>
            <w:noProof/>
            <w:rtl/>
          </w:rPr>
          <w:t>ی</w:t>
        </w:r>
        <w:r w:rsidR="0014406D">
          <w:rPr>
            <w:noProof/>
            <w:webHidden/>
            <w:rtl/>
          </w:rPr>
          <w:tab/>
        </w:r>
        <w:r w:rsidR="0014406D">
          <w:rPr>
            <w:rStyle w:val="Hyperlink"/>
            <w:noProof/>
            <w:rtl/>
          </w:rPr>
          <w:fldChar w:fldCharType="begin"/>
        </w:r>
        <w:r w:rsidR="0014406D">
          <w:rPr>
            <w:noProof/>
            <w:webHidden/>
            <w:rtl/>
          </w:rPr>
          <w:instrText xml:space="preserve"> </w:instrText>
        </w:r>
        <w:r w:rsidR="0014406D">
          <w:rPr>
            <w:noProof/>
            <w:webHidden/>
          </w:rPr>
          <w:instrText xml:space="preserve">PAGEREF </w:instrText>
        </w:r>
        <w:r w:rsidR="0014406D">
          <w:rPr>
            <w:noProof/>
            <w:webHidden/>
            <w:rtl/>
          </w:rPr>
          <w:instrText>_</w:instrText>
        </w:r>
        <w:r w:rsidR="0014406D">
          <w:rPr>
            <w:noProof/>
            <w:webHidden/>
          </w:rPr>
          <w:instrText>Toc</w:instrText>
        </w:r>
        <w:r w:rsidR="0014406D">
          <w:rPr>
            <w:noProof/>
            <w:webHidden/>
            <w:rtl/>
          </w:rPr>
          <w:instrText xml:space="preserve">2223663 </w:instrText>
        </w:r>
        <w:r w:rsidR="0014406D">
          <w:rPr>
            <w:noProof/>
            <w:webHidden/>
          </w:rPr>
          <w:instrText>\h</w:instrText>
        </w:r>
        <w:r w:rsidR="0014406D">
          <w:rPr>
            <w:noProof/>
            <w:webHidden/>
            <w:rtl/>
          </w:rPr>
          <w:instrText xml:space="preserve"> </w:instrText>
        </w:r>
        <w:r w:rsidR="0014406D">
          <w:rPr>
            <w:rStyle w:val="Hyperlink"/>
            <w:noProof/>
            <w:rtl/>
          </w:rPr>
        </w:r>
        <w:r w:rsidR="0014406D">
          <w:rPr>
            <w:rStyle w:val="Hyperlink"/>
            <w:noProof/>
            <w:rtl/>
          </w:rPr>
          <w:fldChar w:fldCharType="separate"/>
        </w:r>
        <w:r w:rsidR="00DD2840">
          <w:rPr>
            <w:noProof/>
            <w:webHidden/>
            <w:rtl/>
          </w:rPr>
          <w:t>2</w:t>
        </w:r>
        <w:r w:rsidR="0014406D">
          <w:rPr>
            <w:rStyle w:val="Hyperlink"/>
            <w:noProof/>
            <w:rtl/>
          </w:rPr>
          <w:fldChar w:fldCharType="end"/>
        </w:r>
      </w:hyperlink>
    </w:p>
    <w:p w:rsidR="0014406D" w:rsidRDefault="00FE2DD7">
      <w:pPr>
        <w:pStyle w:val="TOC1"/>
        <w:rPr>
          <w:rFonts w:asciiTheme="minorHAnsi" w:eastAsiaTheme="minorEastAsia" w:hAnsiTheme="minorHAnsi" w:cstheme="minorBidi"/>
          <w:noProof/>
          <w:color w:val="auto"/>
          <w:szCs w:val="22"/>
          <w:rtl/>
        </w:rPr>
      </w:pPr>
      <w:hyperlink w:anchor="_Toc2223664" w:history="1">
        <w:r w:rsidR="0014406D" w:rsidRPr="00466F88">
          <w:rPr>
            <w:rStyle w:val="Hyperlink"/>
            <w:rFonts w:hint="eastAsia"/>
            <w:noProof/>
            <w:rtl/>
          </w:rPr>
          <w:t>رد</w:t>
        </w:r>
        <w:r w:rsidR="0014406D" w:rsidRPr="00466F88">
          <w:rPr>
            <w:rStyle w:val="Hyperlink"/>
            <w:noProof/>
            <w:rtl/>
          </w:rPr>
          <w:t xml:space="preserve"> </w:t>
        </w:r>
        <w:r w:rsidR="0014406D" w:rsidRPr="00466F88">
          <w:rPr>
            <w:rStyle w:val="Hyperlink"/>
            <w:rFonts w:hint="cs"/>
            <w:noProof/>
            <w:rtl/>
          </w:rPr>
          <w:t>ی</w:t>
        </w:r>
        <w:r w:rsidR="0014406D" w:rsidRPr="00466F88">
          <w:rPr>
            <w:rStyle w:val="Hyperlink"/>
            <w:rFonts w:hint="eastAsia"/>
            <w:noProof/>
            <w:rtl/>
          </w:rPr>
          <w:t>م</w:t>
        </w:r>
        <w:r w:rsidR="0014406D" w:rsidRPr="00466F88">
          <w:rPr>
            <w:rStyle w:val="Hyperlink"/>
            <w:rFonts w:hint="cs"/>
            <w:noProof/>
            <w:rtl/>
          </w:rPr>
          <w:t>ی</w:t>
        </w:r>
        <w:r w:rsidR="0014406D" w:rsidRPr="00466F88">
          <w:rPr>
            <w:rStyle w:val="Hyperlink"/>
            <w:rFonts w:hint="eastAsia"/>
            <w:noProof/>
            <w:rtl/>
          </w:rPr>
          <w:t>ن</w:t>
        </w:r>
        <w:r w:rsidR="0014406D">
          <w:rPr>
            <w:noProof/>
            <w:webHidden/>
            <w:rtl/>
          </w:rPr>
          <w:tab/>
        </w:r>
        <w:r w:rsidR="0014406D">
          <w:rPr>
            <w:rStyle w:val="Hyperlink"/>
            <w:noProof/>
            <w:rtl/>
          </w:rPr>
          <w:fldChar w:fldCharType="begin"/>
        </w:r>
        <w:r w:rsidR="0014406D">
          <w:rPr>
            <w:noProof/>
            <w:webHidden/>
            <w:rtl/>
          </w:rPr>
          <w:instrText xml:space="preserve"> </w:instrText>
        </w:r>
        <w:r w:rsidR="0014406D">
          <w:rPr>
            <w:noProof/>
            <w:webHidden/>
          </w:rPr>
          <w:instrText xml:space="preserve">PAGEREF </w:instrText>
        </w:r>
        <w:r w:rsidR="0014406D">
          <w:rPr>
            <w:noProof/>
            <w:webHidden/>
            <w:rtl/>
          </w:rPr>
          <w:instrText>_</w:instrText>
        </w:r>
        <w:r w:rsidR="0014406D">
          <w:rPr>
            <w:noProof/>
            <w:webHidden/>
          </w:rPr>
          <w:instrText>Toc</w:instrText>
        </w:r>
        <w:r w:rsidR="0014406D">
          <w:rPr>
            <w:noProof/>
            <w:webHidden/>
            <w:rtl/>
          </w:rPr>
          <w:instrText xml:space="preserve">2223664 </w:instrText>
        </w:r>
        <w:r w:rsidR="0014406D">
          <w:rPr>
            <w:noProof/>
            <w:webHidden/>
          </w:rPr>
          <w:instrText>\h</w:instrText>
        </w:r>
        <w:r w:rsidR="0014406D">
          <w:rPr>
            <w:noProof/>
            <w:webHidden/>
            <w:rtl/>
          </w:rPr>
          <w:instrText xml:space="preserve"> </w:instrText>
        </w:r>
        <w:r w:rsidR="0014406D">
          <w:rPr>
            <w:rStyle w:val="Hyperlink"/>
            <w:noProof/>
            <w:rtl/>
          </w:rPr>
        </w:r>
        <w:r w:rsidR="0014406D">
          <w:rPr>
            <w:rStyle w:val="Hyperlink"/>
            <w:noProof/>
            <w:rtl/>
          </w:rPr>
          <w:fldChar w:fldCharType="separate"/>
        </w:r>
        <w:r w:rsidR="00DD2840">
          <w:rPr>
            <w:noProof/>
            <w:webHidden/>
            <w:rtl/>
          </w:rPr>
          <w:t>2</w:t>
        </w:r>
        <w:r w:rsidR="0014406D">
          <w:rPr>
            <w:rStyle w:val="Hyperlink"/>
            <w:noProof/>
            <w:rtl/>
          </w:rPr>
          <w:fldChar w:fldCharType="end"/>
        </w:r>
      </w:hyperlink>
    </w:p>
    <w:p w:rsidR="0014406D" w:rsidRDefault="00FE2DD7">
      <w:pPr>
        <w:pStyle w:val="TOC1"/>
        <w:rPr>
          <w:rFonts w:asciiTheme="minorHAnsi" w:eastAsiaTheme="minorEastAsia" w:hAnsiTheme="minorHAnsi" w:cstheme="minorBidi"/>
          <w:noProof/>
          <w:color w:val="auto"/>
          <w:szCs w:val="22"/>
          <w:rtl/>
        </w:rPr>
      </w:pPr>
      <w:hyperlink w:anchor="_Toc2223665" w:history="1">
        <w:r w:rsidR="0014406D" w:rsidRPr="00466F88">
          <w:rPr>
            <w:rStyle w:val="Hyperlink"/>
            <w:rFonts w:hint="eastAsia"/>
            <w:noProof/>
            <w:rtl/>
          </w:rPr>
          <w:t>دل</w:t>
        </w:r>
        <w:r w:rsidR="0014406D" w:rsidRPr="00466F88">
          <w:rPr>
            <w:rStyle w:val="Hyperlink"/>
            <w:rFonts w:hint="cs"/>
            <w:noProof/>
            <w:rtl/>
          </w:rPr>
          <w:t>ی</w:t>
        </w:r>
        <w:r w:rsidR="0014406D" w:rsidRPr="00466F88">
          <w:rPr>
            <w:rStyle w:val="Hyperlink"/>
            <w:rFonts w:hint="eastAsia"/>
            <w:noProof/>
            <w:rtl/>
          </w:rPr>
          <w:t>ل</w:t>
        </w:r>
        <w:r w:rsidR="0014406D" w:rsidRPr="00466F88">
          <w:rPr>
            <w:rStyle w:val="Hyperlink"/>
            <w:noProof/>
            <w:rtl/>
          </w:rPr>
          <w:t xml:space="preserve"> </w:t>
        </w:r>
        <w:r w:rsidR="0014406D" w:rsidRPr="00466F88">
          <w:rPr>
            <w:rStyle w:val="Hyperlink"/>
            <w:rFonts w:hint="eastAsia"/>
            <w:noProof/>
            <w:rtl/>
          </w:rPr>
          <w:t>د</w:t>
        </w:r>
        <w:r w:rsidR="0014406D" w:rsidRPr="00466F88">
          <w:rPr>
            <w:rStyle w:val="Hyperlink"/>
            <w:rFonts w:hint="cs"/>
            <w:noProof/>
            <w:rtl/>
          </w:rPr>
          <w:t>ی</w:t>
        </w:r>
        <w:r w:rsidR="0014406D" w:rsidRPr="00466F88">
          <w:rPr>
            <w:rStyle w:val="Hyperlink"/>
            <w:rFonts w:hint="eastAsia"/>
            <w:noProof/>
            <w:rtl/>
          </w:rPr>
          <w:t>گر</w:t>
        </w:r>
        <w:r w:rsidR="0014406D" w:rsidRPr="00466F88">
          <w:rPr>
            <w:rStyle w:val="Hyperlink"/>
            <w:noProof/>
            <w:rtl/>
          </w:rPr>
          <w:t xml:space="preserve"> </w:t>
        </w:r>
        <w:r w:rsidR="0014406D" w:rsidRPr="00466F88">
          <w:rPr>
            <w:rStyle w:val="Hyperlink"/>
            <w:rFonts w:hint="eastAsia"/>
            <w:noProof/>
            <w:rtl/>
          </w:rPr>
          <w:t>بر</w:t>
        </w:r>
        <w:r w:rsidR="0014406D" w:rsidRPr="00466F88">
          <w:rPr>
            <w:rStyle w:val="Hyperlink"/>
            <w:noProof/>
            <w:rtl/>
          </w:rPr>
          <w:t xml:space="preserve"> </w:t>
        </w:r>
        <w:r w:rsidR="0014406D" w:rsidRPr="00466F88">
          <w:rPr>
            <w:rStyle w:val="Hyperlink"/>
            <w:rFonts w:hint="eastAsia"/>
            <w:noProof/>
            <w:rtl/>
          </w:rPr>
          <w:t>عدم</w:t>
        </w:r>
        <w:r w:rsidR="0014406D" w:rsidRPr="00466F88">
          <w:rPr>
            <w:rStyle w:val="Hyperlink"/>
            <w:noProof/>
            <w:rtl/>
          </w:rPr>
          <w:t xml:space="preserve"> </w:t>
        </w:r>
        <w:r w:rsidR="0014406D" w:rsidRPr="00466F88">
          <w:rPr>
            <w:rStyle w:val="Hyperlink"/>
            <w:rFonts w:hint="eastAsia"/>
            <w:noProof/>
            <w:rtl/>
          </w:rPr>
          <w:t>رد</w:t>
        </w:r>
        <w:r w:rsidR="0014406D" w:rsidRPr="00466F88">
          <w:rPr>
            <w:rStyle w:val="Hyperlink"/>
            <w:noProof/>
            <w:rtl/>
          </w:rPr>
          <w:t xml:space="preserve"> </w:t>
        </w:r>
        <w:r w:rsidR="0014406D" w:rsidRPr="00466F88">
          <w:rPr>
            <w:rStyle w:val="Hyperlink"/>
            <w:rFonts w:hint="cs"/>
            <w:noProof/>
            <w:rtl/>
          </w:rPr>
          <w:t>ی</w:t>
        </w:r>
        <w:r w:rsidR="0014406D" w:rsidRPr="00466F88">
          <w:rPr>
            <w:rStyle w:val="Hyperlink"/>
            <w:rFonts w:hint="eastAsia"/>
            <w:noProof/>
            <w:rtl/>
          </w:rPr>
          <w:t>م</w:t>
        </w:r>
        <w:r w:rsidR="0014406D" w:rsidRPr="00466F88">
          <w:rPr>
            <w:rStyle w:val="Hyperlink"/>
            <w:rFonts w:hint="cs"/>
            <w:noProof/>
            <w:rtl/>
          </w:rPr>
          <w:t>ی</w:t>
        </w:r>
        <w:r w:rsidR="0014406D" w:rsidRPr="00466F88">
          <w:rPr>
            <w:rStyle w:val="Hyperlink"/>
            <w:rFonts w:hint="eastAsia"/>
            <w:noProof/>
            <w:rtl/>
          </w:rPr>
          <w:t>ن</w:t>
        </w:r>
        <w:r w:rsidR="0014406D">
          <w:rPr>
            <w:noProof/>
            <w:webHidden/>
            <w:rtl/>
          </w:rPr>
          <w:tab/>
        </w:r>
        <w:r w:rsidR="0014406D">
          <w:rPr>
            <w:rStyle w:val="Hyperlink"/>
            <w:noProof/>
            <w:rtl/>
          </w:rPr>
          <w:fldChar w:fldCharType="begin"/>
        </w:r>
        <w:r w:rsidR="0014406D">
          <w:rPr>
            <w:noProof/>
            <w:webHidden/>
            <w:rtl/>
          </w:rPr>
          <w:instrText xml:space="preserve"> </w:instrText>
        </w:r>
        <w:r w:rsidR="0014406D">
          <w:rPr>
            <w:noProof/>
            <w:webHidden/>
          </w:rPr>
          <w:instrText xml:space="preserve">PAGEREF </w:instrText>
        </w:r>
        <w:r w:rsidR="0014406D">
          <w:rPr>
            <w:noProof/>
            <w:webHidden/>
            <w:rtl/>
          </w:rPr>
          <w:instrText>_</w:instrText>
        </w:r>
        <w:r w:rsidR="0014406D">
          <w:rPr>
            <w:noProof/>
            <w:webHidden/>
          </w:rPr>
          <w:instrText>Toc</w:instrText>
        </w:r>
        <w:r w:rsidR="0014406D">
          <w:rPr>
            <w:noProof/>
            <w:webHidden/>
            <w:rtl/>
          </w:rPr>
          <w:instrText xml:space="preserve">2223665 </w:instrText>
        </w:r>
        <w:r w:rsidR="0014406D">
          <w:rPr>
            <w:noProof/>
            <w:webHidden/>
          </w:rPr>
          <w:instrText>\h</w:instrText>
        </w:r>
        <w:r w:rsidR="0014406D">
          <w:rPr>
            <w:noProof/>
            <w:webHidden/>
            <w:rtl/>
          </w:rPr>
          <w:instrText xml:space="preserve"> </w:instrText>
        </w:r>
        <w:r w:rsidR="0014406D">
          <w:rPr>
            <w:rStyle w:val="Hyperlink"/>
            <w:noProof/>
            <w:rtl/>
          </w:rPr>
        </w:r>
        <w:r w:rsidR="0014406D">
          <w:rPr>
            <w:rStyle w:val="Hyperlink"/>
            <w:noProof/>
            <w:rtl/>
          </w:rPr>
          <w:fldChar w:fldCharType="separate"/>
        </w:r>
        <w:r w:rsidR="00DD2840">
          <w:rPr>
            <w:noProof/>
            <w:webHidden/>
            <w:rtl/>
          </w:rPr>
          <w:t>3</w:t>
        </w:r>
        <w:r w:rsidR="0014406D">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77839">
        <w:rPr>
          <w:rFonts w:hint="cs"/>
          <w:rtl/>
        </w:rPr>
        <w:t>قسامه</w:t>
      </w:r>
      <w:r w:rsidR="00025B70">
        <w:rPr>
          <w:rFonts w:hint="cs"/>
          <w:rtl/>
        </w:rPr>
        <w:t xml:space="preserve"> </w:t>
      </w:r>
      <w:r w:rsidR="00386C11" w:rsidRPr="00A6366F">
        <w:rPr>
          <w:rFonts w:hint="cs"/>
          <w:rtl/>
        </w:rPr>
        <w:t>/</w:t>
      </w:r>
      <w:bookmarkStart w:id="1" w:name="BokSabj_d"/>
      <w:bookmarkEnd w:id="1"/>
      <w:r w:rsidR="00C77839">
        <w:rPr>
          <w:rFonts w:hint="cs"/>
          <w:rtl/>
        </w:rPr>
        <w:t>طرق</w:t>
      </w:r>
      <w:r w:rsidR="00C77839">
        <w:rPr>
          <w:rtl/>
        </w:rPr>
        <w:t xml:space="preserve"> </w:t>
      </w:r>
      <w:r w:rsidR="00C77839">
        <w:rPr>
          <w:rFonts w:hint="cs"/>
          <w:rtl/>
        </w:rPr>
        <w:t>اثبات</w:t>
      </w:r>
      <w:r w:rsidR="00C77839">
        <w:rPr>
          <w:rtl/>
        </w:rPr>
        <w:t xml:space="preserve"> </w:t>
      </w:r>
      <w:r w:rsidR="00C77839">
        <w:rPr>
          <w:rFonts w:hint="cs"/>
          <w:rtl/>
        </w:rPr>
        <w:t>قتل</w:t>
      </w:r>
      <w:r w:rsidR="00386C11" w:rsidRPr="00A6366F">
        <w:rPr>
          <w:rFonts w:hint="cs"/>
          <w:rtl/>
        </w:rPr>
        <w:t xml:space="preserve"> /</w:t>
      </w:r>
      <w:bookmarkStart w:id="2" w:name="Bokkolli"/>
      <w:bookmarkEnd w:id="2"/>
      <w:r w:rsidR="00C77839">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C1756B" w:rsidRPr="00E72860" w:rsidRDefault="00D15D88" w:rsidP="00D15D88">
      <w:pPr>
        <w:jc w:val="both"/>
        <w:rPr>
          <w:sz w:val="28"/>
          <w:rtl/>
        </w:rPr>
      </w:pPr>
      <w:r w:rsidRPr="00E72860">
        <w:rPr>
          <w:rFonts w:hint="cs"/>
          <w:sz w:val="28"/>
          <w:rtl/>
        </w:rPr>
        <w:t xml:space="preserve">گفتیم </w:t>
      </w:r>
      <w:r w:rsidR="00C1756B" w:rsidRPr="00E72860">
        <w:rPr>
          <w:rFonts w:hint="cs"/>
          <w:sz w:val="28"/>
          <w:rtl/>
        </w:rPr>
        <w:t>بحث در مسأله‌ی قسامه نسبت به مدعی علیه</w:t>
      </w:r>
      <w:r w:rsidR="00C1756B">
        <w:rPr>
          <w:rFonts w:hint="cs"/>
          <w:sz w:val="28"/>
          <w:rtl/>
        </w:rPr>
        <w:t xml:space="preserve"> </w:t>
      </w:r>
      <w:r w:rsidR="00C1756B" w:rsidRPr="00E72860">
        <w:rPr>
          <w:rFonts w:hint="cs"/>
          <w:sz w:val="28"/>
          <w:rtl/>
        </w:rPr>
        <w:t>در دو مسأله است</w:t>
      </w:r>
      <w:r>
        <w:rPr>
          <w:rFonts w:hint="cs"/>
          <w:sz w:val="28"/>
          <w:rtl/>
        </w:rPr>
        <w:t>:</w:t>
      </w:r>
      <w:r w:rsidR="00C1756B" w:rsidRPr="00E72860">
        <w:rPr>
          <w:rFonts w:hint="cs"/>
          <w:sz w:val="28"/>
          <w:rtl/>
        </w:rPr>
        <w:t xml:space="preserve"> 1. نکول مدعی علیه آیا موجب ثبوت قصاص است یا اینکه دیه ثابت می شود. مشهور قائل به ثبوت دعوی بودند که اگر قتل عمد باشد قصاص هم ثابت می شود. 2. بحث رد یمین بود که گفتیم معروف و مشهور این است که با صرف نکول دعوی ثابت می شود و جایی برای رد قسم نیست.</w:t>
      </w:r>
    </w:p>
    <w:p w:rsidR="00C1756B" w:rsidRPr="00E72860" w:rsidRDefault="00C1756B" w:rsidP="002858F0">
      <w:pPr>
        <w:pStyle w:val="Heading1"/>
        <w:rPr>
          <w:rtl/>
        </w:rPr>
      </w:pPr>
      <w:bookmarkStart w:id="3" w:name="_Toc2223662"/>
      <w:r w:rsidRPr="00E72860">
        <w:rPr>
          <w:rFonts w:hint="cs"/>
          <w:rtl/>
        </w:rPr>
        <w:t>کلام آیت الله حائری در بحث نکول</w:t>
      </w:r>
      <w:bookmarkEnd w:id="3"/>
    </w:p>
    <w:p w:rsidR="00C1756B" w:rsidRPr="00E72860" w:rsidRDefault="00C1756B" w:rsidP="002858F0">
      <w:pPr>
        <w:jc w:val="both"/>
        <w:rPr>
          <w:sz w:val="28"/>
          <w:rtl/>
        </w:rPr>
      </w:pPr>
      <w:r w:rsidRPr="00E72860">
        <w:rPr>
          <w:rFonts w:hint="cs"/>
          <w:sz w:val="28"/>
          <w:rtl/>
        </w:rPr>
        <w:t xml:space="preserve"> قبلا گفتیم که فقط در تحریر مرحوم امام قائل به ثبوت دیه شده است ولی حضرت آیت الله حائری هم همین نظر امام را دارند. اگر مدعی قسامه اقامه کند دعوی ثابت می شود و در صورت عمدی بودن قصاص هم ثابت می شود ولی در صورت نکول مدعی علیه حکم به قصاص نمی شود و دیه ثابت است. ایشان</w:t>
      </w:r>
      <w:r w:rsidR="002858F0">
        <w:rPr>
          <w:rStyle w:val="FootnoteReference"/>
          <w:sz w:val="28"/>
          <w:rtl/>
        </w:rPr>
        <w:footnoteReference w:id="1"/>
      </w:r>
      <w:r w:rsidRPr="00E72860">
        <w:rPr>
          <w:rFonts w:hint="cs"/>
          <w:sz w:val="28"/>
          <w:rtl/>
        </w:rPr>
        <w:t xml:space="preserve"> برای اثبات مدعای خود به صحیحه‌ی برید بن معاویه استدلال نکرده است. نکته ای که ایشان به آن استدلال کرده است این است که در روایات قسامه آنچه که بدان حکم شده است دیه می باشد و حرفی از قصاص مطرح نیست. هر چند روایات قسامه که بحث دیه را متعین کرده اند قاتل شخص معینی نیست و محل بحث ما فرض تعین قاتل است ولی کأن ایشان م</w:t>
      </w:r>
      <w:r w:rsidR="003A3B8C">
        <w:rPr>
          <w:rFonts w:hint="cs"/>
          <w:sz w:val="28"/>
          <w:rtl/>
        </w:rPr>
        <w:t>ی خواهند بگویند حکم به ثبوت شیئ</w:t>
      </w:r>
      <w:r w:rsidRPr="00E72860">
        <w:rPr>
          <w:rFonts w:hint="cs"/>
          <w:sz w:val="28"/>
          <w:rtl/>
        </w:rPr>
        <w:t xml:space="preserve">ی بر مدعی علیه در فرض نکول او به نکته‌ی لغویت است که برای فرار از لغویت اثبات دیه کافی است. هر چند آن روایاتی از قسامه که در مقام بود و بحث </w:t>
      </w:r>
      <w:r w:rsidRPr="00E72860">
        <w:rPr>
          <w:rFonts w:hint="cs"/>
          <w:sz w:val="28"/>
          <w:rtl/>
        </w:rPr>
        <w:lastRenderedPageBreak/>
        <w:t>دیه را مطرح کرده بودند مربوط به فرض عدم تعین قاتل بود</w:t>
      </w:r>
      <w:r>
        <w:rPr>
          <w:rFonts w:hint="cs"/>
          <w:sz w:val="28"/>
          <w:rtl/>
        </w:rPr>
        <w:t xml:space="preserve"> و فرض آنها هم قسامه بود و نه نکول آنها</w:t>
      </w:r>
      <w:r w:rsidRPr="00E72860">
        <w:rPr>
          <w:rFonts w:hint="cs"/>
          <w:sz w:val="28"/>
          <w:rtl/>
        </w:rPr>
        <w:t xml:space="preserve"> لکن </w:t>
      </w:r>
      <w:r>
        <w:rPr>
          <w:rFonts w:hint="cs"/>
          <w:sz w:val="28"/>
          <w:rtl/>
        </w:rPr>
        <w:t>این موجب می شود که اطلاقی در دلیل نکول نسبت به ثبوت قصاص ثابت نشود.</w:t>
      </w:r>
    </w:p>
    <w:p w:rsidR="00C1756B" w:rsidRPr="00E72860" w:rsidRDefault="00C1756B" w:rsidP="0014406D">
      <w:pPr>
        <w:pStyle w:val="Heading2"/>
        <w:rPr>
          <w:rtl/>
        </w:rPr>
      </w:pPr>
      <w:bookmarkStart w:id="4" w:name="_Toc2223663"/>
      <w:r w:rsidRPr="00E72860">
        <w:rPr>
          <w:rFonts w:hint="cs"/>
          <w:rtl/>
        </w:rPr>
        <w:t>اشکال به کلام محقق حائری</w:t>
      </w:r>
      <w:bookmarkEnd w:id="4"/>
    </w:p>
    <w:p w:rsidR="00C1756B" w:rsidRPr="00E72860" w:rsidRDefault="00C1756B" w:rsidP="00C1756B">
      <w:pPr>
        <w:jc w:val="both"/>
        <w:rPr>
          <w:sz w:val="28"/>
          <w:rtl/>
        </w:rPr>
      </w:pPr>
      <w:r w:rsidRPr="00F9100F">
        <w:rPr>
          <w:rFonts w:hint="cs"/>
          <w:sz w:val="28"/>
          <w:highlight w:val="yellow"/>
          <w:rtl/>
        </w:rPr>
        <w:t xml:space="preserve">اشکال ما به </w:t>
      </w:r>
      <w:r w:rsidRPr="00E72860">
        <w:rPr>
          <w:rFonts w:hint="cs"/>
          <w:sz w:val="28"/>
          <w:rtl/>
        </w:rPr>
        <w:t>ایشان این است که ما نمی خواستیم به نکته‌ی لغویت دعوی را ثابت کنیم. ما گفتیم از باب اطلاق مقامی باب قسامه به این نتیجه می رسیم که دعوی در فرض نکول مدعی علیه ثابت می شود و نتیجه‌ی ثبوت و الزام دعوی هم مانند سائر حقوق این است که آن چیزی که مورد ادعا بود ثابت می شود و اگر مدعا قتل عمد باشد قصاص ثابت می شود.</w:t>
      </w:r>
    </w:p>
    <w:p w:rsidR="00C1756B" w:rsidRPr="00E72860" w:rsidRDefault="00C1756B" w:rsidP="00AF0CE5">
      <w:pPr>
        <w:pStyle w:val="NormalWeb"/>
        <w:bidi/>
        <w:jc w:val="both"/>
        <w:rPr>
          <w:rFonts w:ascii="Noor_Lotus" w:hAnsi="Noor_Lotus" w:cs="B Badr"/>
          <w:color w:val="000000"/>
          <w:sz w:val="28"/>
          <w:szCs w:val="28"/>
          <w:rtl/>
        </w:rPr>
      </w:pPr>
      <w:r w:rsidRPr="00E72860">
        <w:rPr>
          <w:rFonts w:cs="B Badr" w:hint="cs"/>
          <w:sz w:val="28"/>
          <w:szCs w:val="28"/>
          <w:rtl/>
        </w:rPr>
        <w:t>نکته ای هم که باید تذکر دهیم این</w:t>
      </w:r>
      <w:r w:rsidR="00AF0CE5">
        <w:rPr>
          <w:rFonts w:cs="B Badr" w:hint="cs"/>
          <w:sz w:val="28"/>
          <w:szCs w:val="28"/>
          <w:rtl/>
        </w:rPr>
        <w:t xml:space="preserve"> است که ثبوت قصاص</w:t>
      </w:r>
      <w:r w:rsidRPr="00E72860">
        <w:rPr>
          <w:rFonts w:cs="B Badr" w:hint="cs"/>
          <w:sz w:val="28"/>
          <w:szCs w:val="28"/>
          <w:rtl/>
        </w:rPr>
        <w:t xml:space="preserve"> با نکول منکر در فرض قتل</w:t>
      </w:r>
      <w:r w:rsidR="00AF0CE5">
        <w:rPr>
          <w:rFonts w:cs="B Badr" w:hint="cs"/>
          <w:sz w:val="28"/>
          <w:szCs w:val="28"/>
          <w:rtl/>
        </w:rPr>
        <w:t xml:space="preserve"> عمد،</w:t>
      </w:r>
      <w:r w:rsidRPr="00E72860">
        <w:rPr>
          <w:rFonts w:cs="B Badr" w:hint="cs"/>
          <w:sz w:val="28"/>
          <w:szCs w:val="28"/>
          <w:rtl/>
        </w:rPr>
        <w:t xml:space="preserve"> نه تنها ظاهر کلام فقها است بلکه صریح کلمات عده ای از فقها است. مثلا در تحریر مرحوم علامه فرموده است</w:t>
      </w:r>
      <w:r w:rsidR="00480045">
        <w:rPr>
          <w:rFonts w:cs="B Badr" w:hint="cs"/>
          <w:sz w:val="28"/>
          <w:szCs w:val="28"/>
          <w:rtl/>
        </w:rPr>
        <w:t>:</w:t>
      </w:r>
      <w:r w:rsidRPr="00E72860">
        <w:rPr>
          <w:rFonts w:cs="B Badr" w:hint="cs"/>
          <w:sz w:val="28"/>
          <w:szCs w:val="28"/>
          <w:rtl/>
        </w:rPr>
        <w:t xml:space="preserve"> «</w:t>
      </w:r>
      <w:r w:rsidRPr="00F9100F">
        <w:rPr>
          <w:rFonts w:ascii="Noor_Lotus" w:hAnsi="Noor_Lotus" w:cs="B Badr" w:hint="cs"/>
          <w:color w:val="000080"/>
          <w:sz w:val="28"/>
          <w:szCs w:val="28"/>
          <w:rtl/>
        </w:rPr>
        <w:t>و لو امتنع المدّعى عليهم من اليمين، لم يحبسوا حتّى يحلفوا، بل تثبت الدعوى عليهم، و يثبت القصاص إن كان القتل عمدا</w:t>
      </w:r>
      <w:r w:rsidRPr="00E72860">
        <w:rPr>
          <w:rFonts w:ascii="Noor_Lotus" w:hAnsi="Noor_Lotus" w:cs="B Badr" w:hint="cs"/>
          <w:color w:val="000000"/>
          <w:sz w:val="28"/>
          <w:szCs w:val="28"/>
          <w:rtl/>
        </w:rPr>
        <w:t>»</w:t>
      </w:r>
      <w:r w:rsidR="00F9100F">
        <w:rPr>
          <w:rStyle w:val="FootnoteReference"/>
          <w:rFonts w:ascii="Noor_Lotus" w:hAnsi="Noor_Lotus" w:cs="B Badr"/>
          <w:color w:val="000000"/>
          <w:sz w:val="28"/>
          <w:szCs w:val="28"/>
          <w:rtl/>
        </w:rPr>
        <w:footnoteReference w:id="2"/>
      </w:r>
      <w:r w:rsidRPr="00E72860">
        <w:rPr>
          <w:rFonts w:ascii="Noor_Lotus" w:hAnsi="Noor_Lotus" w:cs="B Badr" w:hint="cs"/>
          <w:color w:val="000000"/>
          <w:sz w:val="28"/>
          <w:szCs w:val="28"/>
          <w:rtl/>
        </w:rPr>
        <w:t xml:space="preserve"> همچنین در الدر المنضود هم آمده است «</w:t>
      </w:r>
      <w:r w:rsidR="00662BBF" w:rsidRPr="00662BBF">
        <w:rPr>
          <w:rFonts w:ascii="IE Nassim" w:hAnsi="IE Nassim" w:cs="B Badr"/>
          <w:color w:val="000080"/>
          <w:sz w:val="29"/>
          <w:szCs w:val="28"/>
          <w:shd w:val="clear" w:color="auto" w:fill="FFFFFF"/>
          <w:rtl/>
        </w:rPr>
        <w:t>ولو فقدت القسامة أو امتنعوا من اليمين ، حلف المنكر مع قومه كذلك ، فإن امتنع ، ألزم الدعوى ، فيقتص في العمد ويؤخذ الدية في الخطأ</w:t>
      </w:r>
      <w:r w:rsidRPr="00E72860">
        <w:rPr>
          <w:rFonts w:ascii="Noor_Lotus" w:hAnsi="Noor_Lotus" w:cs="B Badr" w:hint="cs"/>
          <w:color w:val="000000"/>
          <w:sz w:val="28"/>
          <w:szCs w:val="28"/>
          <w:rtl/>
        </w:rPr>
        <w:t>»</w:t>
      </w:r>
      <w:r w:rsidR="00662BBF">
        <w:rPr>
          <w:rStyle w:val="FootnoteReference"/>
          <w:rFonts w:ascii="Noor_Lotus" w:hAnsi="Noor_Lotus" w:cs="B Badr"/>
          <w:color w:val="000000"/>
          <w:sz w:val="28"/>
          <w:szCs w:val="28"/>
          <w:rtl/>
        </w:rPr>
        <w:footnoteReference w:id="3"/>
      </w:r>
    </w:p>
    <w:p w:rsidR="00C1756B" w:rsidRPr="00E72860" w:rsidRDefault="00C1756B" w:rsidP="00C1756B">
      <w:pPr>
        <w:pStyle w:val="NormalWeb"/>
        <w:bidi/>
        <w:jc w:val="both"/>
        <w:rPr>
          <w:rFonts w:ascii="Noor_Lotus" w:hAnsi="Noor_Lotus" w:cs="B Badr"/>
          <w:color w:val="000000"/>
          <w:sz w:val="28"/>
          <w:szCs w:val="28"/>
          <w:rtl/>
        </w:rPr>
      </w:pPr>
      <w:r w:rsidRPr="00E72860">
        <w:rPr>
          <w:rFonts w:ascii="Noor_Lotus" w:hAnsi="Noor_Lotus" w:cs="B Badr" w:hint="cs"/>
          <w:color w:val="000000"/>
          <w:sz w:val="28"/>
          <w:szCs w:val="28"/>
          <w:rtl/>
        </w:rPr>
        <w:t>در عبارات دیگران هم تصریح به این مطلب هست که دیگر نیاز به بیان نیست.</w:t>
      </w:r>
    </w:p>
    <w:p w:rsidR="00C1756B" w:rsidRPr="00E72860" w:rsidRDefault="00C1756B" w:rsidP="00E30A75">
      <w:pPr>
        <w:pStyle w:val="Heading1"/>
        <w:rPr>
          <w:rtl/>
        </w:rPr>
      </w:pPr>
      <w:bookmarkStart w:id="5" w:name="_Toc2223664"/>
      <w:r w:rsidRPr="00E72860">
        <w:rPr>
          <w:rFonts w:hint="cs"/>
          <w:rtl/>
        </w:rPr>
        <w:t>رد یمین</w:t>
      </w:r>
      <w:bookmarkEnd w:id="5"/>
    </w:p>
    <w:p w:rsidR="00C1756B" w:rsidRPr="00E72860" w:rsidRDefault="00C1756B" w:rsidP="00C1756B">
      <w:pPr>
        <w:pStyle w:val="NormalWeb"/>
        <w:bidi/>
        <w:jc w:val="both"/>
        <w:rPr>
          <w:rFonts w:ascii="Noor_Lotus" w:hAnsi="Noor_Lotus" w:cs="B Badr"/>
          <w:color w:val="000000"/>
          <w:sz w:val="28"/>
          <w:szCs w:val="28"/>
          <w:rtl/>
        </w:rPr>
      </w:pPr>
      <w:r w:rsidRPr="00E72860">
        <w:rPr>
          <w:rFonts w:ascii="Noor_Lotus" w:hAnsi="Noor_Lotus" w:cs="B Badr" w:hint="cs"/>
          <w:color w:val="000000"/>
          <w:sz w:val="28"/>
          <w:szCs w:val="28"/>
          <w:rtl/>
        </w:rPr>
        <w:t>مسأله</w:t>
      </w:r>
      <w:r w:rsidRPr="00E72860">
        <w:rPr>
          <w:rFonts w:ascii="Arial" w:eastAsia="Arial" w:hAnsi="Arial" w:cs="B Badr" w:hint="cs"/>
          <w:color w:val="000000"/>
          <w:sz w:val="28"/>
          <w:szCs w:val="28"/>
          <w:rtl/>
        </w:rPr>
        <w:t>‌ی دومی که در مقام هست این است که آیا اگر مدعی علیه نکول از قسم کرد قسم به مدعی رد می شود و یا به صرف نکول دعوی اثبات می شود. مشهور قائل به رد یمین نیستند ولی مرحوم شیخ طوسی</w:t>
      </w:r>
      <w:r w:rsidR="00E30A75">
        <w:rPr>
          <w:rStyle w:val="FootnoteReference"/>
          <w:rFonts w:ascii="Arial" w:eastAsia="Arial" w:hAnsi="Arial" w:cs="B Badr"/>
          <w:color w:val="000000"/>
          <w:sz w:val="28"/>
          <w:szCs w:val="28"/>
          <w:rtl/>
        </w:rPr>
        <w:footnoteReference w:id="4"/>
      </w:r>
      <w:r w:rsidRPr="00E72860">
        <w:rPr>
          <w:rFonts w:ascii="Arial" w:eastAsia="Arial" w:hAnsi="Arial" w:cs="B Badr" w:hint="cs"/>
          <w:color w:val="000000"/>
          <w:sz w:val="28"/>
          <w:szCs w:val="28"/>
          <w:rtl/>
        </w:rPr>
        <w:t xml:space="preserve"> قائل به رد یمین شد. مرحوم خوئی</w:t>
      </w:r>
      <w:r>
        <w:rPr>
          <w:rFonts w:ascii="Arial" w:eastAsia="Arial" w:hAnsi="Arial" w:cs="B Badr" w:hint="cs"/>
          <w:color w:val="000000"/>
          <w:sz w:val="28"/>
          <w:szCs w:val="28"/>
          <w:rtl/>
        </w:rPr>
        <w:t xml:space="preserve"> مانند مشهور قائل به عدم رد یمی</w:t>
      </w:r>
      <w:r w:rsidRPr="00E72860">
        <w:rPr>
          <w:rFonts w:ascii="Arial" w:eastAsia="Arial" w:hAnsi="Arial" w:cs="B Badr" w:hint="cs"/>
          <w:color w:val="000000"/>
          <w:sz w:val="28"/>
          <w:szCs w:val="28"/>
          <w:rtl/>
        </w:rPr>
        <w:t xml:space="preserve">ن بودند و دلیلشان هم این بود که در ادله‌ی رد یمین اطلاقی وجود ندارد که ما به ایشان اشکال کردیم که روایات باب قسم اطلاق داشت که شامل باب قتل هم می شود. در بعضی از کلمات به این اطلاق هم تمسک </w:t>
      </w:r>
      <w:r w:rsidRPr="00E72860">
        <w:rPr>
          <w:rFonts w:ascii="Arial" w:eastAsia="Arial" w:hAnsi="Arial" w:cs="B Badr" w:hint="cs"/>
          <w:color w:val="000000"/>
          <w:sz w:val="28"/>
          <w:szCs w:val="28"/>
          <w:rtl/>
        </w:rPr>
        <w:lastRenderedPageBreak/>
        <w:t>شده است. مرحوم فاضل هندی فرموده است «</w:t>
      </w:r>
      <w:r w:rsidRPr="00E30A75">
        <w:rPr>
          <w:rFonts w:ascii="Noor_Lotus" w:hAnsi="Noor_Lotus" w:cs="B Badr" w:hint="cs"/>
          <w:color w:val="000080"/>
          <w:sz w:val="28"/>
          <w:szCs w:val="28"/>
          <w:rtl/>
        </w:rPr>
        <w:t>و قيل في المبسوط له ردّ اليمين على المدّعي كما في سائر الدعاوي، لعموم أدلّته</w:t>
      </w:r>
      <w:r w:rsidRPr="00E72860">
        <w:rPr>
          <w:rFonts w:ascii="Noor_Lotus" w:hAnsi="Noor_Lotus" w:cs="B Badr" w:hint="cs"/>
          <w:color w:val="000000"/>
          <w:sz w:val="28"/>
          <w:szCs w:val="28"/>
          <w:rtl/>
        </w:rPr>
        <w:t>»</w:t>
      </w:r>
      <w:r w:rsidR="0014406D">
        <w:rPr>
          <w:rStyle w:val="FootnoteReference"/>
          <w:rFonts w:ascii="Noor_Lotus" w:hAnsi="Noor_Lotus" w:cs="B Badr"/>
          <w:color w:val="000000"/>
          <w:sz w:val="28"/>
          <w:szCs w:val="28"/>
          <w:rtl/>
        </w:rPr>
        <w:footnoteReference w:id="5"/>
      </w:r>
      <w:r w:rsidRPr="00E72860">
        <w:rPr>
          <w:rFonts w:ascii="Noor_Lotus" w:hAnsi="Noor_Lotus" w:cs="B Badr" w:hint="cs"/>
          <w:color w:val="000000"/>
          <w:sz w:val="28"/>
          <w:szCs w:val="28"/>
          <w:rtl/>
        </w:rPr>
        <w:t xml:space="preserve"> البته ایشان تعبیر به عموم کرده که مراد همان اطلاق است.</w:t>
      </w:r>
    </w:p>
    <w:p w:rsidR="00C1756B" w:rsidRPr="00E72860" w:rsidRDefault="00C1756B" w:rsidP="0014406D">
      <w:pPr>
        <w:pStyle w:val="Heading1"/>
        <w:rPr>
          <w:rtl/>
        </w:rPr>
      </w:pPr>
      <w:bookmarkStart w:id="7" w:name="_Toc2223665"/>
      <w:r w:rsidRPr="00E72860">
        <w:rPr>
          <w:rFonts w:hint="cs"/>
          <w:rtl/>
        </w:rPr>
        <w:t>دلیل دیگر بر عدم رد یمین</w:t>
      </w:r>
      <w:bookmarkEnd w:id="7"/>
    </w:p>
    <w:p w:rsidR="001A1EA5" w:rsidRPr="00480045" w:rsidRDefault="00C1756B" w:rsidP="00480045">
      <w:pPr>
        <w:pStyle w:val="NormalWeb"/>
        <w:bidi/>
        <w:jc w:val="both"/>
        <w:rPr>
          <w:rFonts w:ascii="Arial" w:eastAsia="Arial" w:hAnsi="Arial" w:cs="B Badr"/>
          <w:color w:val="000000"/>
          <w:sz w:val="28"/>
          <w:szCs w:val="28"/>
          <w:rtl/>
        </w:rPr>
      </w:pPr>
      <w:r w:rsidRPr="0014406D">
        <w:rPr>
          <w:rFonts w:ascii="Noor_Lotus" w:hAnsi="Noor_Lotus" w:cs="B Badr" w:hint="cs"/>
          <w:color w:val="000000"/>
          <w:sz w:val="28"/>
          <w:szCs w:val="28"/>
          <w:highlight w:val="yellow"/>
          <w:rtl/>
        </w:rPr>
        <w:t xml:space="preserve">دلیل دیگری که </w:t>
      </w:r>
      <w:r w:rsidRPr="00E72860">
        <w:rPr>
          <w:rFonts w:ascii="Noor_Lotus" w:hAnsi="Noor_Lotus" w:cs="B Badr" w:hint="cs"/>
          <w:color w:val="000000"/>
          <w:sz w:val="28"/>
          <w:szCs w:val="28"/>
          <w:rtl/>
        </w:rPr>
        <w:t>می توان برای عدم رد یمین به آن استدلال کرد و شاید به وجهی کلام مرحوم خوئی هم به این برگردد این است که در فرض اقامه</w:t>
      </w:r>
      <w:r w:rsidRPr="00E72860">
        <w:rPr>
          <w:rFonts w:ascii="Arial" w:eastAsia="Arial" w:hAnsi="Arial" w:cs="B Badr" w:hint="cs"/>
          <w:color w:val="000000"/>
          <w:sz w:val="28"/>
          <w:szCs w:val="28"/>
          <w:rtl/>
        </w:rPr>
        <w:t xml:space="preserve">‌ی قسامه از جانب مدعی علیه حق </w:t>
      </w:r>
      <w:r>
        <w:rPr>
          <w:rFonts w:ascii="Arial" w:eastAsia="Arial" w:hAnsi="Arial" w:cs="B Badr" w:hint="cs"/>
          <w:color w:val="000000"/>
          <w:sz w:val="28"/>
          <w:szCs w:val="28"/>
          <w:rtl/>
        </w:rPr>
        <w:t>م</w:t>
      </w:r>
      <w:r w:rsidRPr="00E72860">
        <w:rPr>
          <w:rFonts w:ascii="Arial" w:eastAsia="Arial" w:hAnsi="Arial" w:cs="B Badr" w:hint="cs"/>
          <w:color w:val="000000"/>
          <w:sz w:val="28"/>
          <w:szCs w:val="28"/>
          <w:rtl/>
        </w:rPr>
        <w:t xml:space="preserve">دعی ساقط می شود و دعوی پایان می یابد و دیگر جایی برای قسم مدعی باقی نمی ماند و حتی اگر بینه هم بیاورد دیگر مسموع نیست، اما اگر مدعی علیه نکول کرد در باب قتل که ابتداء قسم متوجه مدعی بود متفاهم عرفی از اینکه  قسم متوجه مدعی است این است که او می تواند قسم بخورد و اگر نخواست قسم بخورد رد قسم به مدعی علیه می کند و حال اگر او هم قسم نخورد حق مدعی هنوز ساقط نشده است بله اگر قسم خورد حق او ساقط می شود ولی اگر قسم نخورد حق مدعی سر جایش هست و در واقع اصلا رد یمین هم نیست بلکه قسم حق او بوده و در واقع اصلا قسم حکم است </w:t>
      </w:r>
      <w:r w:rsidR="00480045">
        <w:rPr>
          <w:rFonts w:ascii="Arial" w:eastAsia="Arial" w:hAnsi="Arial" w:cs="B Badr" w:hint="cs"/>
          <w:color w:val="000000"/>
          <w:sz w:val="28"/>
          <w:szCs w:val="28"/>
          <w:rtl/>
        </w:rPr>
        <w:t xml:space="preserve">پس </w:t>
      </w:r>
      <w:r w:rsidRPr="00E72860">
        <w:rPr>
          <w:rFonts w:ascii="Arial" w:eastAsia="Arial" w:hAnsi="Arial" w:cs="B Badr" w:hint="cs"/>
          <w:color w:val="000000"/>
          <w:sz w:val="28"/>
          <w:szCs w:val="28"/>
          <w:rtl/>
        </w:rPr>
        <w:t>قابل اسق</w:t>
      </w:r>
      <w:r w:rsidR="0014406D">
        <w:rPr>
          <w:rFonts w:ascii="Arial" w:eastAsia="Arial" w:hAnsi="Arial" w:cs="B Badr" w:hint="cs"/>
          <w:color w:val="000000"/>
          <w:sz w:val="28"/>
          <w:szCs w:val="28"/>
          <w:rtl/>
        </w:rPr>
        <w:t>ا</w:t>
      </w:r>
      <w:r w:rsidRPr="00E72860">
        <w:rPr>
          <w:rFonts w:ascii="Arial" w:eastAsia="Arial" w:hAnsi="Arial" w:cs="B Badr" w:hint="cs"/>
          <w:color w:val="000000"/>
          <w:sz w:val="28"/>
          <w:szCs w:val="28"/>
          <w:rtl/>
        </w:rPr>
        <w:t>ط هم نیست و وقتی اسقاط نشد</w:t>
      </w:r>
      <w:r w:rsidR="007A5205">
        <w:rPr>
          <w:rFonts w:ascii="Arial" w:eastAsia="Arial" w:hAnsi="Arial" w:cs="B Badr" w:hint="cs"/>
          <w:color w:val="000000"/>
          <w:sz w:val="28"/>
          <w:szCs w:val="28"/>
          <w:rtl/>
        </w:rPr>
        <w:t xml:space="preserve"> و مدعی علیه هم نکول کرد هنوز حکم</w:t>
      </w:r>
      <w:r w:rsidRPr="00E72860">
        <w:rPr>
          <w:rFonts w:ascii="Arial" w:eastAsia="Arial" w:hAnsi="Arial" w:cs="B Badr" w:hint="cs"/>
          <w:color w:val="000000"/>
          <w:sz w:val="28"/>
          <w:szCs w:val="28"/>
          <w:rtl/>
        </w:rPr>
        <w:t xml:space="preserve"> باقی است و او می تواند قسم بخورد. بله در سائر حقوق که حق ابتداء متوجه مدعی نبود نیاز به رد یمین داریم تا با رد قسم برای مدعی قسم خوردن مشروع شود ولی در بحث دماء قسم خوردن یعنی اقامه‌ی قسامه ابتداء متوجه مدعی است و برای مشروعیت دادن نیاز به رد یمین نداریم. اینکه این کلام تمام است یا نه یأتی الکلام فیه ان</w:t>
      </w:r>
      <w:r w:rsidR="00480045">
        <w:rPr>
          <w:rFonts w:ascii="Arial" w:eastAsia="Arial" w:hAnsi="Arial" w:cs="B Badr" w:hint="cs"/>
          <w:color w:val="000000"/>
          <w:sz w:val="28"/>
          <w:szCs w:val="28"/>
          <w:rtl/>
        </w:rPr>
        <w:t xml:space="preserve"> شاءالله.</w:t>
      </w:r>
    </w:p>
    <w:sectPr w:rsidR="001A1EA5" w:rsidRPr="00480045" w:rsidSect="00F91B85">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DD7" w:rsidRDefault="00FE2DD7" w:rsidP="008B750B">
      <w:pPr>
        <w:spacing w:line="240" w:lineRule="auto"/>
      </w:pPr>
      <w:r>
        <w:separator/>
      </w:r>
    </w:p>
  </w:endnote>
  <w:endnote w:type="continuationSeparator" w:id="0">
    <w:p w:rsidR="00FE2DD7" w:rsidRDefault="00FE2DD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IE Nassim">
    <w:altName w:val="Times New Roman"/>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74780" w:rsidRPr="00B74780">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77839" w:rsidP="001B6799">
          <w:pPr>
            <w:pStyle w:val="Footer"/>
            <w:bidi w:val="0"/>
            <w:rPr>
              <w:color w:val="808080" w:themeColor="background1" w:themeShade="80"/>
              <w:rtl/>
            </w:rPr>
          </w:pPr>
          <w:bookmarkStart w:id="15" w:name="BokAdres"/>
          <w:bookmarkEnd w:id="15"/>
          <w:r>
            <w:rPr>
              <w:color w:val="808080" w:themeColor="background1" w:themeShade="80"/>
            </w:rPr>
            <w:t>F1mq1_13971208-087_mk4_mfeb.ir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DD7" w:rsidRDefault="00FE2DD7" w:rsidP="008B750B">
      <w:pPr>
        <w:spacing w:line="240" w:lineRule="auto"/>
      </w:pPr>
      <w:r>
        <w:separator/>
      </w:r>
    </w:p>
  </w:footnote>
  <w:footnote w:type="continuationSeparator" w:id="0">
    <w:p w:rsidR="00FE2DD7" w:rsidRDefault="00FE2DD7" w:rsidP="008B750B">
      <w:pPr>
        <w:spacing w:line="240" w:lineRule="auto"/>
      </w:pPr>
      <w:r>
        <w:continuationSeparator/>
      </w:r>
    </w:p>
  </w:footnote>
  <w:footnote w:id="1">
    <w:p w:rsidR="002858F0" w:rsidRPr="002858F0" w:rsidRDefault="00F9100F" w:rsidP="002858F0">
      <w:pPr>
        <w:pStyle w:val="NormalWeb"/>
        <w:shd w:val="clear" w:color="auto" w:fill="FFFFFF"/>
        <w:bidi/>
        <w:spacing w:before="300" w:beforeAutospacing="0" w:after="300" w:afterAutospacing="0"/>
        <w:jc w:val="both"/>
        <w:rPr>
          <w:rFonts w:ascii="Tahoma" w:hAnsi="Tahoma" w:cs="B Badr"/>
          <w:color w:val="444444"/>
          <w:sz w:val="20"/>
          <w:szCs w:val="20"/>
        </w:rPr>
      </w:pPr>
      <w:r>
        <w:rPr>
          <w:rFonts w:cs="B Badr"/>
          <w:sz w:val="20"/>
          <w:szCs w:val="20"/>
        </w:rPr>
        <w:t>-</w:t>
      </w:r>
      <w:r w:rsidR="002858F0" w:rsidRPr="00F9100F">
        <w:rPr>
          <w:rStyle w:val="FootnoteReference"/>
          <w:rFonts w:cs="B Badr"/>
          <w:b/>
          <w:bCs/>
        </w:rPr>
        <w:footnoteRef/>
      </w:r>
      <w:r w:rsidR="002858F0" w:rsidRPr="002858F0">
        <w:rPr>
          <w:rFonts w:cs="B Badr"/>
          <w:sz w:val="20"/>
          <w:szCs w:val="20"/>
          <w:rtl/>
        </w:rPr>
        <w:t xml:space="preserve"> </w:t>
      </w:r>
      <w:r w:rsidR="002858F0" w:rsidRPr="002858F0">
        <w:rPr>
          <w:rFonts w:ascii="Tahoma" w:hAnsi="Tahoma" w:cs="B Badr"/>
          <w:color w:val="444444"/>
          <w:sz w:val="20"/>
          <w:szCs w:val="20"/>
          <w:shd w:val="clear" w:color="auto" w:fill="FFFFFF"/>
          <w:rtl/>
        </w:rPr>
        <w:t>القضاء فی الفقه الاسلامی، صفحه ۵۷۶</w:t>
      </w:r>
      <w:r w:rsidR="002858F0" w:rsidRPr="002858F0">
        <w:rPr>
          <w:rFonts w:ascii="Tahoma" w:hAnsi="Tahoma" w:cs="B Badr"/>
          <w:color w:val="444444"/>
          <w:sz w:val="20"/>
          <w:szCs w:val="20"/>
          <w:rtl/>
        </w:rPr>
        <w:t xml:space="preserve"> </w:t>
      </w:r>
      <w:r w:rsidR="002858F0" w:rsidRPr="002858F0">
        <w:rPr>
          <w:rFonts w:ascii="Tahoma" w:hAnsi="Tahoma" w:cs="B Badr" w:hint="cs"/>
          <w:color w:val="444444"/>
          <w:sz w:val="20"/>
          <w:szCs w:val="20"/>
          <w:rtl/>
        </w:rPr>
        <w:t>(</w:t>
      </w:r>
      <w:r w:rsidR="002858F0" w:rsidRPr="002858F0">
        <w:rPr>
          <w:rFonts w:ascii="Tahoma" w:hAnsi="Tahoma" w:cs="B Badr"/>
          <w:color w:val="444444"/>
          <w:sz w:val="20"/>
          <w:szCs w:val="20"/>
          <w:rtl/>
        </w:rPr>
        <w:t>أمّا النقطة الثالثة- و هي أنّ المنكر لو لم يمتلك البيّنة و لم يحلف قسامة خمسين، ثبت عليه الدم، فجهة الغموض فيها أنّه هل يثبت عليه الدم بذلك بمستوى الدية فحسب، أو يثبت عليه القصاص أيضا؟لعلّ المفهوم من الأصحاب القائلين بثبوت الدعوى عليه ثبوت القصاص أيضا في موارد القصاص، و لكنّه روائيّا مشكل؛ لأنّ جميع روايات الباب إنّما أثبتت الدية بذلك لا القصاص. نعم، موردها مورد عدم تعيّن القاتل في شخص معيّن، و من الطبيعي في مثل ذلك الانتقال إلى الدّية حتى لو آمنّا بأنّ النكول عن اليمين يثبت حقّ القصاص، و لكنّي أقول: إنّه لم يرد في الروايات ما يثبت القصاص عند نكول المنكر عن اليمين؛ لأنّهما جميعا إنّما تعرضت للدّية لا للقصاص</w:t>
      </w:r>
      <w:r w:rsidR="002858F0" w:rsidRPr="002858F0">
        <w:rPr>
          <w:rFonts w:ascii="Tahoma" w:hAnsi="Tahoma" w:cs="B Badr" w:hint="cs"/>
          <w:color w:val="444444"/>
          <w:sz w:val="20"/>
          <w:szCs w:val="20"/>
          <w:rtl/>
        </w:rPr>
        <w:t>)</w:t>
      </w:r>
    </w:p>
    <w:p w:rsidR="002858F0" w:rsidRDefault="002858F0">
      <w:pPr>
        <w:pStyle w:val="FootnoteText"/>
      </w:pPr>
    </w:p>
  </w:footnote>
  <w:footnote w:id="2">
    <w:p w:rsidR="00F9100F" w:rsidRPr="00F9100F" w:rsidRDefault="00F9100F" w:rsidP="00F9100F">
      <w:pPr>
        <w:pStyle w:val="FootnoteText"/>
        <w:rPr>
          <w:rtl/>
        </w:rPr>
      </w:pPr>
      <w:r w:rsidRPr="00F9100F">
        <w:footnoteRef/>
      </w:r>
      <w:r w:rsidRPr="00F9100F">
        <w:rPr>
          <w:rtl/>
        </w:rPr>
        <w:t xml:space="preserve"> </w:t>
      </w:r>
      <w:hyperlink r:id="rId1" w:history="1">
        <w:r w:rsidRPr="00F9100F">
          <w:rPr>
            <w:rStyle w:val="Hyperlink"/>
            <w:rFonts w:hint="cs"/>
            <w:rtl/>
          </w:rPr>
          <w:t>تحرير</w:t>
        </w:r>
        <w:r w:rsidRPr="00F9100F">
          <w:rPr>
            <w:rStyle w:val="Hyperlink"/>
            <w:rtl/>
          </w:rPr>
          <w:t xml:space="preserve"> </w:t>
        </w:r>
        <w:r w:rsidRPr="00F9100F">
          <w:rPr>
            <w:rStyle w:val="Hyperlink"/>
            <w:rFonts w:hint="cs"/>
            <w:rtl/>
          </w:rPr>
          <w:t>الأحكام</w:t>
        </w:r>
        <w:r w:rsidRPr="00F9100F">
          <w:rPr>
            <w:rStyle w:val="Hyperlink"/>
            <w:rtl/>
          </w:rPr>
          <w:t xml:space="preserve"> </w:t>
        </w:r>
        <w:r w:rsidRPr="00F9100F">
          <w:rPr>
            <w:rStyle w:val="Hyperlink"/>
            <w:rFonts w:hint="cs"/>
            <w:rtl/>
          </w:rPr>
          <w:t>الشرعية</w:t>
        </w:r>
        <w:r w:rsidRPr="00F9100F">
          <w:rPr>
            <w:rStyle w:val="Hyperlink"/>
            <w:rtl/>
          </w:rPr>
          <w:t xml:space="preserve"> </w:t>
        </w:r>
        <w:r w:rsidRPr="00F9100F">
          <w:rPr>
            <w:rStyle w:val="Hyperlink"/>
            <w:rFonts w:hint="cs"/>
            <w:rtl/>
          </w:rPr>
          <w:t>على</w:t>
        </w:r>
        <w:r w:rsidRPr="00F9100F">
          <w:rPr>
            <w:rStyle w:val="Hyperlink"/>
            <w:rtl/>
          </w:rPr>
          <w:t xml:space="preserve"> </w:t>
        </w:r>
        <w:r w:rsidRPr="00F9100F">
          <w:rPr>
            <w:rStyle w:val="Hyperlink"/>
            <w:rFonts w:hint="cs"/>
            <w:rtl/>
          </w:rPr>
          <w:t>مذهب</w:t>
        </w:r>
        <w:r w:rsidRPr="00F9100F">
          <w:rPr>
            <w:rStyle w:val="Hyperlink"/>
            <w:rtl/>
          </w:rPr>
          <w:t xml:space="preserve"> </w:t>
        </w:r>
        <w:r w:rsidRPr="00F9100F">
          <w:rPr>
            <w:rStyle w:val="Hyperlink"/>
            <w:rFonts w:hint="cs"/>
            <w:rtl/>
          </w:rPr>
          <w:t>الإمامية،</w:t>
        </w:r>
        <w:r w:rsidRPr="00F9100F">
          <w:rPr>
            <w:rStyle w:val="Hyperlink"/>
            <w:rtl/>
          </w:rPr>
          <w:t xml:space="preserve"> </w:t>
        </w:r>
        <w:r w:rsidRPr="00F9100F">
          <w:rPr>
            <w:rStyle w:val="Hyperlink"/>
            <w:rFonts w:hint="cs"/>
            <w:rtl/>
          </w:rPr>
          <w:t>العلامة</w:t>
        </w:r>
        <w:r w:rsidRPr="00F9100F">
          <w:rPr>
            <w:rStyle w:val="Hyperlink"/>
            <w:rtl/>
          </w:rPr>
          <w:t xml:space="preserve"> </w:t>
        </w:r>
        <w:r w:rsidRPr="00F9100F">
          <w:rPr>
            <w:rStyle w:val="Hyperlink"/>
            <w:rFonts w:hint="cs"/>
            <w:rtl/>
          </w:rPr>
          <w:t>الحلي،</w:t>
        </w:r>
        <w:r w:rsidRPr="00F9100F">
          <w:rPr>
            <w:rStyle w:val="Hyperlink"/>
            <w:rtl/>
          </w:rPr>
          <w:t xml:space="preserve"> </w:t>
        </w:r>
        <w:r w:rsidRPr="00F9100F">
          <w:rPr>
            <w:rStyle w:val="Hyperlink"/>
            <w:rFonts w:hint="cs"/>
            <w:rtl/>
          </w:rPr>
          <w:t>ج</w:t>
        </w:r>
        <w:r w:rsidRPr="00F9100F">
          <w:rPr>
            <w:rStyle w:val="Hyperlink"/>
            <w:rtl/>
          </w:rPr>
          <w:t>5</w:t>
        </w:r>
        <w:r w:rsidRPr="00F9100F">
          <w:rPr>
            <w:rStyle w:val="Hyperlink"/>
            <w:rFonts w:hint="cs"/>
            <w:rtl/>
          </w:rPr>
          <w:t>،</w:t>
        </w:r>
        <w:r w:rsidRPr="00F9100F">
          <w:rPr>
            <w:rStyle w:val="Hyperlink"/>
            <w:rtl/>
          </w:rPr>
          <w:t xml:space="preserve"> </w:t>
        </w:r>
        <w:r w:rsidRPr="00F9100F">
          <w:rPr>
            <w:rStyle w:val="Hyperlink"/>
            <w:rFonts w:hint="cs"/>
            <w:rtl/>
          </w:rPr>
          <w:t>ص</w:t>
        </w:r>
        <w:r w:rsidRPr="00F9100F">
          <w:rPr>
            <w:rStyle w:val="Hyperlink"/>
            <w:rtl/>
          </w:rPr>
          <w:t>482.</w:t>
        </w:r>
      </w:hyperlink>
    </w:p>
  </w:footnote>
  <w:footnote w:id="3">
    <w:p w:rsidR="00662BBF" w:rsidRPr="00662BBF" w:rsidRDefault="00662BBF" w:rsidP="00662BBF">
      <w:pPr>
        <w:pStyle w:val="FootnoteText"/>
        <w:rPr>
          <w:rtl/>
        </w:rPr>
      </w:pPr>
      <w:r w:rsidRPr="00662BBF">
        <w:footnoteRef/>
      </w:r>
      <w:r w:rsidRPr="00662BBF">
        <w:rPr>
          <w:rtl/>
        </w:rPr>
        <w:t xml:space="preserve"> </w:t>
      </w:r>
      <w:hyperlink r:id="rId2" w:history="1">
        <w:r w:rsidRPr="00E30A75">
          <w:rPr>
            <w:rStyle w:val="Hyperlink"/>
            <w:rFonts w:hint="cs"/>
            <w:color w:val="0070C0"/>
            <w:rtl/>
          </w:rPr>
          <w:t>الدر</w:t>
        </w:r>
      </w:hyperlink>
      <w:r w:rsidRPr="00E30A75">
        <w:rPr>
          <w:rFonts w:hint="cs"/>
          <w:color w:val="0070C0"/>
          <w:u w:val="single"/>
          <w:rtl/>
        </w:rPr>
        <w:t xml:space="preserve"> المنضود </w:t>
      </w:r>
      <w:r w:rsidR="00E30A75" w:rsidRPr="00E30A75">
        <w:rPr>
          <w:rFonts w:hint="cs"/>
          <w:color w:val="0070C0"/>
          <w:u w:val="single"/>
          <w:rtl/>
        </w:rPr>
        <w:t>ابن طی الفقعانی ج1ص313</w:t>
      </w:r>
    </w:p>
  </w:footnote>
  <w:footnote w:id="4">
    <w:p w:rsidR="00E30A75" w:rsidRPr="00E30A75" w:rsidRDefault="00E30A75" w:rsidP="00E30A75">
      <w:pPr>
        <w:pStyle w:val="FootnoteText"/>
      </w:pPr>
      <w:r w:rsidRPr="00E30A75">
        <w:footnoteRef/>
      </w:r>
      <w:r w:rsidRPr="00E30A75">
        <w:rPr>
          <w:rtl/>
        </w:rPr>
        <w:t xml:space="preserve"> </w:t>
      </w:r>
      <w:hyperlink r:id="rId3" w:history="1">
        <w:r w:rsidRPr="00E30A75">
          <w:rPr>
            <w:rStyle w:val="Hyperlink"/>
            <w:rFonts w:hint="cs"/>
            <w:rtl/>
          </w:rPr>
          <w:t>المبسوط</w:t>
        </w:r>
        <w:r w:rsidRPr="00E30A75">
          <w:rPr>
            <w:rStyle w:val="Hyperlink"/>
            <w:rtl/>
          </w:rPr>
          <w:t xml:space="preserve"> </w:t>
        </w:r>
        <w:r w:rsidRPr="00E30A75">
          <w:rPr>
            <w:rStyle w:val="Hyperlink"/>
            <w:rFonts w:hint="cs"/>
            <w:rtl/>
          </w:rPr>
          <w:t>فی</w:t>
        </w:r>
        <w:r w:rsidRPr="00E30A75">
          <w:rPr>
            <w:rStyle w:val="Hyperlink"/>
            <w:rtl/>
          </w:rPr>
          <w:t xml:space="preserve"> </w:t>
        </w:r>
        <w:r w:rsidRPr="00E30A75">
          <w:rPr>
            <w:rStyle w:val="Hyperlink"/>
            <w:rFonts w:hint="cs"/>
            <w:rtl/>
          </w:rPr>
          <w:t>فقه</w:t>
        </w:r>
        <w:r w:rsidRPr="00E30A75">
          <w:rPr>
            <w:rStyle w:val="Hyperlink"/>
            <w:rtl/>
          </w:rPr>
          <w:t xml:space="preserve"> </w:t>
        </w:r>
        <w:r w:rsidRPr="00E30A75">
          <w:rPr>
            <w:rStyle w:val="Hyperlink"/>
            <w:rFonts w:hint="cs"/>
            <w:rtl/>
          </w:rPr>
          <w:t>الإمامیة،</w:t>
        </w:r>
        <w:r w:rsidRPr="00E30A75">
          <w:rPr>
            <w:rStyle w:val="Hyperlink"/>
            <w:rtl/>
          </w:rPr>
          <w:t xml:space="preserve"> </w:t>
        </w:r>
        <w:r w:rsidRPr="00E30A75">
          <w:rPr>
            <w:rStyle w:val="Hyperlink"/>
            <w:rFonts w:hint="cs"/>
            <w:rtl/>
          </w:rPr>
          <w:t>شیخ</w:t>
        </w:r>
        <w:r w:rsidRPr="00E30A75">
          <w:rPr>
            <w:rStyle w:val="Hyperlink"/>
            <w:rtl/>
          </w:rPr>
          <w:t xml:space="preserve"> </w:t>
        </w:r>
        <w:r w:rsidRPr="00E30A75">
          <w:rPr>
            <w:rStyle w:val="Hyperlink"/>
            <w:rFonts w:hint="cs"/>
            <w:rtl/>
          </w:rPr>
          <w:t>طوسی،</w:t>
        </w:r>
        <w:r w:rsidRPr="00E30A75">
          <w:rPr>
            <w:rStyle w:val="Hyperlink"/>
            <w:rtl/>
          </w:rPr>
          <w:t xml:space="preserve"> </w:t>
        </w:r>
        <w:r w:rsidRPr="00E30A75">
          <w:rPr>
            <w:rStyle w:val="Hyperlink"/>
            <w:rFonts w:hint="cs"/>
            <w:rtl/>
          </w:rPr>
          <w:t>ج</w:t>
        </w:r>
        <w:r w:rsidRPr="00E30A75">
          <w:rPr>
            <w:rStyle w:val="Hyperlink"/>
            <w:rtl/>
          </w:rPr>
          <w:t>7</w:t>
        </w:r>
        <w:r w:rsidRPr="00E30A75">
          <w:rPr>
            <w:rStyle w:val="Hyperlink"/>
            <w:rFonts w:hint="cs"/>
            <w:rtl/>
          </w:rPr>
          <w:t>،</w:t>
        </w:r>
        <w:r w:rsidRPr="00E30A75">
          <w:rPr>
            <w:rStyle w:val="Hyperlink"/>
            <w:rtl/>
          </w:rPr>
          <w:t xml:space="preserve"> </w:t>
        </w:r>
        <w:r w:rsidRPr="00E30A75">
          <w:rPr>
            <w:rStyle w:val="Hyperlink"/>
            <w:rFonts w:hint="cs"/>
            <w:rtl/>
          </w:rPr>
          <w:t>ص</w:t>
        </w:r>
        <w:r w:rsidRPr="00E30A75">
          <w:rPr>
            <w:rStyle w:val="Hyperlink"/>
            <w:rtl/>
          </w:rPr>
          <w:t>210.</w:t>
        </w:r>
      </w:hyperlink>
    </w:p>
  </w:footnote>
  <w:footnote w:id="5">
    <w:p w:rsidR="0014406D" w:rsidRPr="0014406D" w:rsidRDefault="0014406D" w:rsidP="0014406D">
      <w:pPr>
        <w:pStyle w:val="FootnoteText"/>
      </w:pPr>
      <w:r w:rsidRPr="0014406D">
        <w:footnoteRef/>
      </w:r>
      <w:r w:rsidRPr="0014406D">
        <w:rPr>
          <w:rtl/>
        </w:rPr>
        <w:t xml:space="preserve"> </w:t>
      </w:r>
      <w:hyperlink r:id="rId4" w:history="1">
        <w:r w:rsidRPr="0014406D">
          <w:rPr>
            <w:rStyle w:val="Hyperlink"/>
            <w:rFonts w:hint="cs"/>
            <w:rtl/>
          </w:rPr>
          <w:t>كشف</w:t>
        </w:r>
        <w:r w:rsidRPr="0014406D">
          <w:rPr>
            <w:rStyle w:val="Hyperlink"/>
            <w:rtl/>
          </w:rPr>
          <w:t xml:space="preserve"> </w:t>
        </w:r>
        <w:r w:rsidRPr="0014406D">
          <w:rPr>
            <w:rStyle w:val="Hyperlink"/>
            <w:rFonts w:hint="cs"/>
            <w:rtl/>
          </w:rPr>
          <w:t>اللثام</w:t>
        </w:r>
        <w:r w:rsidRPr="0014406D">
          <w:rPr>
            <w:rStyle w:val="Hyperlink"/>
            <w:rtl/>
          </w:rPr>
          <w:t xml:space="preserve"> </w:t>
        </w:r>
        <w:r w:rsidRPr="0014406D">
          <w:rPr>
            <w:rStyle w:val="Hyperlink"/>
            <w:rFonts w:hint="cs"/>
            <w:rtl/>
          </w:rPr>
          <w:t>و</w:t>
        </w:r>
        <w:r w:rsidRPr="0014406D">
          <w:rPr>
            <w:rStyle w:val="Hyperlink"/>
            <w:rtl/>
          </w:rPr>
          <w:t xml:space="preserve"> </w:t>
        </w:r>
        <w:r w:rsidRPr="0014406D">
          <w:rPr>
            <w:rStyle w:val="Hyperlink"/>
            <w:rFonts w:hint="cs"/>
            <w:rtl/>
          </w:rPr>
          <w:t>الإبه</w:t>
        </w:r>
        <w:bookmarkStart w:id="6" w:name="_GoBack"/>
        <w:bookmarkEnd w:id="6"/>
        <w:r w:rsidRPr="0014406D">
          <w:rPr>
            <w:rStyle w:val="Hyperlink"/>
            <w:rFonts w:hint="cs"/>
            <w:rtl/>
          </w:rPr>
          <w:t>ام</w:t>
        </w:r>
        <w:r w:rsidRPr="0014406D">
          <w:rPr>
            <w:rStyle w:val="Hyperlink"/>
            <w:rtl/>
          </w:rPr>
          <w:t xml:space="preserve"> </w:t>
        </w:r>
        <w:r w:rsidRPr="0014406D">
          <w:rPr>
            <w:rStyle w:val="Hyperlink"/>
            <w:rFonts w:hint="cs"/>
            <w:rtl/>
          </w:rPr>
          <w:t>عن</w:t>
        </w:r>
        <w:r w:rsidRPr="0014406D">
          <w:rPr>
            <w:rStyle w:val="Hyperlink"/>
            <w:rtl/>
          </w:rPr>
          <w:t xml:space="preserve"> </w:t>
        </w:r>
        <w:r w:rsidRPr="0014406D">
          <w:rPr>
            <w:rStyle w:val="Hyperlink"/>
            <w:rFonts w:hint="cs"/>
            <w:rtl/>
          </w:rPr>
          <w:t>قواعد</w:t>
        </w:r>
        <w:r w:rsidRPr="0014406D">
          <w:rPr>
            <w:rStyle w:val="Hyperlink"/>
            <w:rtl/>
          </w:rPr>
          <w:t xml:space="preserve"> </w:t>
        </w:r>
        <w:r w:rsidRPr="0014406D">
          <w:rPr>
            <w:rStyle w:val="Hyperlink"/>
            <w:rFonts w:hint="cs"/>
            <w:rtl/>
          </w:rPr>
          <w:t>الأحكام،</w:t>
        </w:r>
        <w:r w:rsidRPr="0014406D">
          <w:rPr>
            <w:rStyle w:val="Hyperlink"/>
            <w:rtl/>
          </w:rPr>
          <w:t xml:space="preserve"> </w:t>
        </w:r>
        <w:r w:rsidRPr="0014406D">
          <w:rPr>
            <w:rStyle w:val="Hyperlink"/>
            <w:rFonts w:hint="cs"/>
            <w:rtl/>
          </w:rPr>
          <w:t>الفاضل</w:t>
        </w:r>
        <w:r w:rsidRPr="0014406D">
          <w:rPr>
            <w:rStyle w:val="Hyperlink"/>
            <w:rtl/>
          </w:rPr>
          <w:t xml:space="preserve"> </w:t>
        </w:r>
        <w:r w:rsidRPr="0014406D">
          <w:rPr>
            <w:rStyle w:val="Hyperlink"/>
            <w:rFonts w:hint="cs"/>
            <w:rtl/>
          </w:rPr>
          <w:t>الهندي،</w:t>
        </w:r>
        <w:r w:rsidRPr="0014406D">
          <w:rPr>
            <w:rStyle w:val="Hyperlink"/>
            <w:rtl/>
          </w:rPr>
          <w:t xml:space="preserve"> </w:t>
        </w:r>
        <w:r w:rsidRPr="0014406D">
          <w:rPr>
            <w:rStyle w:val="Hyperlink"/>
            <w:rFonts w:hint="cs"/>
            <w:rtl/>
          </w:rPr>
          <w:t>ج</w:t>
        </w:r>
        <w:r w:rsidRPr="0014406D">
          <w:rPr>
            <w:rStyle w:val="Hyperlink"/>
            <w:rtl/>
          </w:rPr>
          <w:t>11</w:t>
        </w:r>
        <w:r w:rsidRPr="0014406D">
          <w:rPr>
            <w:rStyle w:val="Hyperlink"/>
            <w:rFonts w:hint="cs"/>
            <w:rtl/>
          </w:rPr>
          <w:t>،</w:t>
        </w:r>
        <w:r w:rsidRPr="0014406D">
          <w:rPr>
            <w:rStyle w:val="Hyperlink"/>
            <w:rtl/>
          </w:rPr>
          <w:t xml:space="preserve"> </w:t>
        </w:r>
        <w:r w:rsidRPr="0014406D">
          <w:rPr>
            <w:rStyle w:val="Hyperlink"/>
            <w:rFonts w:hint="cs"/>
            <w:rtl/>
          </w:rPr>
          <w:t>ص</w:t>
        </w:r>
        <w:r w:rsidRPr="0014406D">
          <w:rPr>
            <w:rStyle w:val="Hyperlink"/>
            <w:rtl/>
          </w:rPr>
          <w:t>131.</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C77839">
      <w:rPr>
        <w:b/>
        <w:bCs/>
        <w:sz w:val="20"/>
        <w:szCs w:val="24"/>
        <w:rtl/>
      </w:rPr>
      <w:t>087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C7783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C77839">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C77839">
      <w:rPr>
        <w:sz w:val="24"/>
        <w:szCs w:val="24"/>
        <w:rtl/>
      </w:rPr>
      <w:t>8 /12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C77839">
      <w:rPr>
        <w:rFonts w:hint="cs"/>
        <w:color w:val="000000" w:themeColor="text1"/>
        <w:sz w:val="24"/>
        <w:szCs w:val="24"/>
        <w:rtl/>
      </w:rPr>
      <w:t>طرق</w:t>
    </w:r>
    <w:r w:rsidR="00C77839">
      <w:rPr>
        <w:color w:val="000000" w:themeColor="text1"/>
        <w:sz w:val="24"/>
        <w:szCs w:val="24"/>
        <w:rtl/>
      </w:rPr>
      <w:t xml:space="preserve"> </w:t>
    </w:r>
    <w:r w:rsidR="00C77839">
      <w:rPr>
        <w:rFonts w:hint="cs"/>
        <w:color w:val="000000" w:themeColor="text1"/>
        <w:sz w:val="24"/>
        <w:szCs w:val="24"/>
        <w:rtl/>
      </w:rPr>
      <w:t>اثبات</w:t>
    </w:r>
    <w:r w:rsidR="00C77839">
      <w:rPr>
        <w:color w:val="000000" w:themeColor="text1"/>
        <w:sz w:val="24"/>
        <w:szCs w:val="24"/>
        <w:rtl/>
      </w:rPr>
      <w:t xml:space="preserve"> </w:t>
    </w:r>
    <w:r w:rsidR="00C77839">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C77839">
      <w:rPr>
        <w:rFonts w:hint="cs"/>
        <w:sz w:val="24"/>
        <w:szCs w:val="24"/>
        <w:rtl/>
      </w:rPr>
      <w:t>مهدی</w:t>
    </w:r>
    <w:r w:rsidR="00C77839">
      <w:rPr>
        <w:sz w:val="24"/>
        <w:szCs w:val="24"/>
        <w:rtl/>
      </w:rPr>
      <w:t xml:space="preserve"> </w:t>
    </w:r>
    <w:r w:rsidR="00C77839">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C77839">
      <w:rPr>
        <w:rFonts w:hint="cs"/>
        <w:sz w:val="24"/>
        <w:szCs w:val="24"/>
        <w:rtl/>
      </w:rPr>
      <w:t>قسامه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762E1"/>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4406D"/>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58F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3B8C"/>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0045"/>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62BBF"/>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5205"/>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5492"/>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0CE5"/>
    <w:rsid w:val="00AF3925"/>
    <w:rsid w:val="00B1296B"/>
    <w:rsid w:val="00B2292F"/>
    <w:rsid w:val="00B43169"/>
    <w:rsid w:val="00B501A8"/>
    <w:rsid w:val="00B55AE4"/>
    <w:rsid w:val="00B70B46"/>
    <w:rsid w:val="00B739B0"/>
    <w:rsid w:val="00B74780"/>
    <w:rsid w:val="00B814A3"/>
    <w:rsid w:val="00B96F38"/>
    <w:rsid w:val="00BC716B"/>
    <w:rsid w:val="00BD0E74"/>
    <w:rsid w:val="00BD5F8C"/>
    <w:rsid w:val="00BE29DD"/>
    <w:rsid w:val="00C066AF"/>
    <w:rsid w:val="00C10E06"/>
    <w:rsid w:val="00C145B8"/>
    <w:rsid w:val="00C1756B"/>
    <w:rsid w:val="00C2438F"/>
    <w:rsid w:val="00C31AF0"/>
    <w:rsid w:val="00C32A7E"/>
    <w:rsid w:val="00C34F28"/>
    <w:rsid w:val="00C368DF"/>
    <w:rsid w:val="00C442C5"/>
    <w:rsid w:val="00C57B5C"/>
    <w:rsid w:val="00C57C7C"/>
    <w:rsid w:val="00C61049"/>
    <w:rsid w:val="00C63FFE"/>
    <w:rsid w:val="00C77839"/>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15D88"/>
    <w:rsid w:val="00D221CB"/>
    <w:rsid w:val="00D23391"/>
    <w:rsid w:val="00D31805"/>
    <w:rsid w:val="00D552B9"/>
    <w:rsid w:val="00D735B2"/>
    <w:rsid w:val="00D74021"/>
    <w:rsid w:val="00D76D01"/>
    <w:rsid w:val="00D922A9"/>
    <w:rsid w:val="00D9394A"/>
    <w:rsid w:val="00DB0CBB"/>
    <w:rsid w:val="00DB67CC"/>
    <w:rsid w:val="00DC3783"/>
    <w:rsid w:val="00DD2840"/>
    <w:rsid w:val="00DE1070"/>
    <w:rsid w:val="00E00219"/>
    <w:rsid w:val="00E0316B"/>
    <w:rsid w:val="00E25E10"/>
    <w:rsid w:val="00E30A75"/>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00F"/>
    <w:rsid w:val="00F914EB"/>
    <w:rsid w:val="00F91B85"/>
    <w:rsid w:val="00F938E7"/>
    <w:rsid w:val="00FA3B17"/>
    <w:rsid w:val="00FA5E8D"/>
    <w:rsid w:val="00FA5F3D"/>
    <w:rsid w:val="00FB399E"/>
    <w:rsid w:val="00FB7F50"/>
    <w:rsid w:val="00FC2A85"/>
    <w:rsid w:val="00FC40AF"/>
    <w:rsid w:val="00FC73B9"/>
    <w:rsid w:val="00FD0A16"/>
    <w:rsid w:val="00FE2DD7"/>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B7478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B7478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08942464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36/7/210/&#1585;&#1583;&#1583;&#1606;&#1575;" TargetMode="External"/><Relationship Id="rId2" Type="http://schemas.openxmlformats.org/officeDocument/2006/relationships/hyperlink" Target="http://lib.eshia.ir/10057/1/313/&#1576;" TargetMode="External"/><Relationship Id="rId1" Type="http://schemas.openxmlformats.org/officeDocument/2006/relationships/hyperlink" Target="http://lib.eshia.ir/86671/5/482/&#1610;&#1581;&#1576;&#1587;&#1608;&#1575;" TargetMode="External"/><Relationship Id="rId4" Type="http://schemas.openxmlformats.org/officeDocument/2006/relationships/hyperlink" Target="http://lib.eshia.ir/10146/11/131/&#1575;&#1604;&#1583;&#1593;&#1575;&#1608;&#16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B292E-6A02-41BE-B677-5126AAE3F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37</TotalTime>
  <Pages>3</Pages>
  <Words>631</Words>
  <Characters>3599</Characters>
  <Application>Microsoft Office Word</Application>
  <DocSecurity>0</DocSecurity>
  <Lines>29</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4222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12</cp:revision>
  <cp:lastPrinted>2019-02-28T02:20:00Z</cp:lastPrinted>
  <dcterms:created xsi:type="dcterms:W3CDTF">2019-02-28T11:58:00Z</dcterms:created>
  <dcterms:modified xsi:type="dcterms:W3CDTF">2019-02-28T02:25:00Z</dcterms:modified>
  <cp:contentStatus>ویرایش 2.5</cp:contentStatus>
  <cp:version>2.7</cp:version>
</cp:coreProperties>
</file>