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D5496"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4773939" w:history="1">
        <w:r w:rsidR="00AD5496" w:rsidRPr="00E60704">
          <w:rPr>
            <w:rStyle w:val="Hyperlink"/>
            <w:rFonts w:hint="eastAsia"/>
            <w:noProof/>
            <w:rtl/>
          </w:rPr>
          <w:t>کلام</w:t>
        </w:r>
        <w:r w:rsidR="00AD5496" w:rsidRPr="00E60704">
          <w:rPr>
            <w:rStyle w:val="Hyperlink"/>
            <w:noProof/>
            <w:rtl/>
          </w:rPr>
          <w:t xml:space="preserve"> </w:t>
        </w:r>
        <w:r w:rsidR="00AD5496" w:rsidRPr="00E60704">
          <w:rPr>
            <w:rStyle w:val="Hyperlink"/>
            <w:rFonts w:hint="eastAsia"/>
            <w:noProof/>
            <w:rtl/>
          </w:rPr>
          <w:t>شه</w:t>
        </w:r>
        <w:r w:rsidR="00AD5496" w:rsidRPr="00E60704">
          <w:rPr>
            <w:rStyle w:val="Hyperlink"/>
            <w:rFonts w:hint="cs"/>
            <w:noProof/>
            <w:rtl/>
          </w:rPr>
          <w:t>ی</w:t>
        </w:r>
        <w:r w:rsidR="00AD5496" w:rsidRPr="00E60704">
          <w:rPr>
            <w:rStyle w:val="Hyperlink"/>
            <w:rFonts w:hint="eastAsia"/>
            <w:noProof/>
            <w:rtl/>
          </w:rPr>
          <w:t>د</w:t>
        </w:r>
        <w:r w:rsidR="00AD5496" w:rsidRPr="00E60704">
          <w:rPr>
            <w:rStyle w:val="Hyperlink"/>
            <w:noProof/>
            <w:rtl/>
          </w:rPr>
          <w:t xml:space="preserve"> </w:t>
        </w:r>
        <w:r w:rsidR="00AD5496" w:rsidRPr="00E60704">
          <w:rPr>
            <w:rStyle w:val="Hyperlink"/>
            <w:rFonts w:hint="eastAsia"/>
            <w:noProof/>
            <w:rtl/>
          </w:rPr>
          <w:t>ثان</w:t>
        </w:r>
        <w:r w:rsidR="00AD5496" w:rsidRPr="00E60704">
          <w:rPr>
            <w:rStyle w:val="Hyperlink"/>
            <w:rFonts w:hint="cs"/>
            <w:noProof/>
            <w:rtl/>
          </w:rPr>
          <w:t>ی</w:t>
        </w:r>
        <w:r w:rsidR="00AD5496" w:rsidRPr="00E60704">
          <w:rPr>
            <w:rStyle w:val="Hyperlink"/>
            <w:noProof/>
            <w:rtl/>
          </w:rPr>
          <w:t xml:space="preserve"> </w:t>
        </w:r>
        <w:r w:rsidR="00AD5496" w:rsidRPr="00E60704">
          <w:rPr>
            <w:rStyle w:val="Hyperlink"/>
            <w:rFonts w:hint="eastAsia"/>
            <w:noProof/>
            <w:rtl/>
          </w:rPr>
          <w:t>در</w:t>
        </w:r>
        <w:r w:rsidR="00AD5496" w:rsidRPr="00E60704">
          <w:rPr>
            <w:rStyle w:val="Hyperlink"/>
            <w:noProof/>
            <w:rtl/>
          </w:rPr>
          <w:t xml:space="preserve"> </w:t>
        </w:r>
        <w:r w:rsidR="00AD5496" w:rsidRPr="00E60704">
          <w:rPr>
            <w:rStyle w:val="Hyperlink"/>
            <w:rFonts w:hint="eastAsia"/>
            <w:noProof/>
            <w:rtl/>
          </w:rPr>
          <w:t>قصور</w:t>
        </w:r>
        <w:r w:rsidR="00AD5496" w:rsidRPr="00E60704">
          <w:rPr>
            <w:rStyle w:val="Hyperlink"/>
            <w:noProof/>
            <w:rtl/>
          </w:rPr>
          <w:t xml:space="preserve"> </w:t>
        </w:r>
        <w:r w:rsidR="00AD5496" w:rsidRPr="00E60704">
          <w:rPr>
            <w:rStyle w:val="Hyperlink"/>
            <w:rFonts w:hint="eastAsia"/>
            <w:noProof/>
            <w:rtl/>
          </w:rPr>
          <w:t>روا</w:t>
        </w:r>
        <w:r w:rsidR="00AD5496" w:rsidRPr="00E60704">
          <w:rPr>
            <w:rStyle w:val="Hyperlink"/>
            <w:rFonts w:hint="cs"/>
            <w:noProof/>
            <w:rtl/>
          </w:rPr>
          <w:t>ی</w:t>
        </w:r>
        <w:r w:rsidR="00AD5496" w:rsidRPr="00E60704">
          <w:rPr>
            <w:rStyle w:val="Hyperlink"/>
            <w:rFonts w:hint="eastAsia"/>
            <w:noProof/>
            <w:rtl/>
          </w:rPr>
          <w:t>ت</w:t>
        </w:r>
        <w:r w:rsidR="00AD5496" w:rsidRPr="00E60704">
          <w:rPr>
            <w:rStyle w:val="Hyperlink"/>
            <w:noProof/>
            <w:rtl/>
          </w:rPr>
          <w:t xml:space="preserve"> </w:t>
        </w:r>
        <w:r w:rsidR="00AD5496" w:rsidRPr="00E60704">
          <w:rPr>
            <w:rStyle w:val="Hyperlink"/>
            <w:rFonts w:hint="eastAsia"/>
            <w:noProof/>
            <w:rtl/>
          </w:rPr>
          <w:t>حلب</w:t>
        </w:r>
        <w:r w:rsidR="00AD5496" w:rsidRPr="00E60704">
          <w:rPr>
            <w:rStyle w:val="Hyperlink"/>
            <w:rFonts w:hint="cs"/>
            <w:noProof/>
            <w:rtl/>
          </w:rPr>
          <w:t>ی</w:t>
        </w:r>
        <w:r w:rsidR="00AD5496" w:rsidRPr="00E60704">
          <w:rPr>
            <w:rStyle w:val="Hyperlink"/>
            <w:noProof/>
            <w:rtl/>
          </w:rPr>
          <w:t xml:space="preserve"> </w:t>
        </w:r>
        <w:r w:rsidR="00AD5496" w:rsidRPr="00E60704">
          <w:rPr>
            <w:rStyle w:val="Hyperlink"/>
            <w:rFonts w:hint="eastAsia"/>
            <w:noProof/>
            <w:rtl/>
          </w:rPr>
          <w:t>در</w:t>
        </w:r>
        <w:r w:rsidR="00AD5496" w:rsidRPr="00E60704">
          <w:rPr>
            <w:rStyle w:val="Hyperlink"/>
            <w:noProof/>
            <w:rtl/>
          </w:rPr>
          <w:t xml:space="preserve"> </w:t>
        </w:r>
        <w:r w:rsidR="00AD5496" w:rsidRPr="00E60704">
          <w:rPr>
            <w:rStyle w:val="Hyperlink"/>
            <w:rFonts w:hint="eastAsia"/>
            <w:noProof/>
            <w:rtl/>
          </w:rPr>
          <w:t>عدم</w:t>
        </w:r>
        <w:r w:rsidR="00AD5496" w:rsidRPr="00E60704">
          <w:rPr>
            <w:rStyle w:val="Hyperlink"/>
            <w:noProof/>
            <w:rtl/>
          </w:rPr>
          <w:t xml:space="preserve"> </w:t>
        </w:r>
        <w:r w:rsidR="00AD5496" w:rsidRPr="00E60704">
          <w:rPr>
            <w:rStyle w:val="Hyperlink"/>
            <w:rFonts w:hint="eastAsia"/>
            <w:noProof/>
            <w:rtl/>
          </w:rPr>
          <w:t>قصاص</w:t>
        </w:r>
        <w:r w:rsidR="00AD5496" w:rsidRPr="00E60704">
          <w:rPr>
            <w:rStyle w:val="Hyperlink"/>
            <w:noProof/>
            <w:rtl/>
          </w:rPr>
          <w:t xml:space="preserve"> </w:t>
        </w:r>
        <w:r w:rsidR="00AD5496" w:rsidRPr="00E60704">
          <w:rPr>
            <w:rStyle w:val="Hyperlink"/>
            <w:rFonts w:hint="eastAsia"/>
            <w:noProof/>
            <w:rtl/>
          </w:rPr>
          <w:t>اعم</w:t>
        </w:r>
        <w:r w:rsidR="00AD5496" w:rsidRPr="00E60704">
          <w:rPr>
            <w:rStyle w:val="Hyperlink"/>
            <w:rFonts w:hint="cs"/>
            <w:noProof/>
            <w:rtl/>
          </w:rPr>
          <w:t>ی</w:t>
        </w:r>
        <w:r w:rsidR="00AD5496">
          <w:rPr>
            <w:noProof/>
            <w:webHidden/>
            <w:rtl/>
          </w:rPr>
          <w:tab/>
        </w:r>
        <w:r w:rsidR="00AD5496">
          <w:rPr>
            <w:rStyle w:val="Hyperlink"/>
            <w:noProof/>
            <w:rtl/>
          </w:rPr>
          <w:fldChar w:fldCharType="begin"/>
        </w:r>
        <w:r w:rsidR="00AD5496">
          <w:rPr>
            <w:noProof/>
            <w:webHidden/>
            <w:rtl/>
          </w:rPr>
          <w:instrText xml:space="preserve"> </w:instrText>
        </w:r>
        <w:r w:rsidR="00AD5496">
          <w:rPr>
            <w:noProof/>
            <w:webHidden/>
          </w:rPr>
          <w:instrText xml:space="preserve">PAGEREF </w:instrText>
        </w:r>
        <w:r w:rsidR="00AD5496">
          <w:rPr>
            <w:noProof/>
            <w:webHidden/>
            <w:rtl/>
          </w:rPr>
          <w:instrText>_</w:instrText>
        </w:r>
        <w:r w:rsidR="00AD5496">
          <w:rPr>
            <w:noProof/>
            <w:webHidden/>
          </w:rPr>
          <w:instrText>Toc</w:instrText>
        </w:r>
        <w:r w:rsidR="00AD5496">
          <w:rPr>
            <w:noProof/>
            <w:webHidden/>
            <w:rtl/>
          </w:rPr>
          <w:instrText xml:space="preserve">534773939 </w:instrText>
        </w:r>
        <w:r w:rsidR="00AD5496">
          <w:rPr>
            <w:noProof/>
            <w:webHidden/>
          </w:rPr>
          <w:instrText>\h</w:instrText>
        </w:r>
        <w:r w:rsidR="00AD5496">
          <w:rPr>
            <w:noProof/>
            <w:webHidden/>
            <w:rtl/>
          </w:rPr>
          <w:instrText xml:space="preserve"> </w:instrText>
        </w:r>
        <w:r w:rsidR="00AD5496">
          <w:rPr>
            <w:rStyle w:val="Hyperlink"/>
            <w:noProof/>
            <w:rtl/>
          </w:rPr>
        </w:r>
        <w:r w:rsidR="00AD5496">
          <w:rPr>
            <w:rStyle w:val="Hyperlink"/>
            <w:noProof/>
            <w:rtl/>
          </w:rPr>
          <w:fldChar w:fldCharType="separate"/>
        </w:r>
        <w:r w:rsidR="00175668">
          <w:rPr>
            <w:noProof/>
            <w:webHidden/>
            <w:rtl/>
          </w:rPr>
          <w:t>1</w:t>
        </w:r>
        <w:r w:rsidR="00AD5496">
          <w:rPr>
            <w:rStyle w:val="Hyperlink"/>
            <w:noProof/>
            <w:rtl/>
          </w:rPr>
          <w:fldChar w:fldCharType="end"/>
        </w:r>
      </w:hyperlink>
    </w:p>
    <w:p w:rsidR="00AD5496" w:rsidRDefault="00195A98">
      <w:pPr>
        <w:pStyle w:val="TOC2"/>
        <w:tabs>
          <w:tab w:val="right" w:leader="dot" w:pos="10194"/>
        </w:tabs>
        <w:rPr>
          <w:rFonts w:asciiTheme="minorHAnsi" w:eastAsiaTheme="minorEastAsia" w:hAnsiTheme="minorHAnsi" w:cstheme="minorBidi"/>
          <w:bCs w:val="0"/>
          <w:noProof/>
          <w:color w:val="auto"/>
          <w:szCs w:val="22"/>
          <w:rtl/>
        </w:rPr>
      </w:pPr>
      <w:hyperlink w:anchor="_Toc534773940" w:history="1">
        <w:r w:rsidR="00AD5496" w:rsidRPr="00E60704">
          <w:rPr>
            <w:rStyle w:val="Hyperlink"/>
            <w:rFonts w:hint="eastAsia"/>
            <w:noProof/>
            <w:rtl/>
          </w:rPr>
          <w:t>اشکال</w:t>
        </w:r>
        <w:r w:rsidR="00AD5496" w:rsidRPr="00E60704">
          <w:rPr>
            <w:rStyle w:val="Hyperlink"/>
            <w:noProof/>
            <w:rtl/>
          </w:rPr>
          <w:t xml:space="preserve"> </w:t>
        </w:r>
        <w:r w:rsidR="00AD5496" w:rsidRPr="00E60704">
          <w:rPr>
            <w:rStyle w:val="Hyperlink"/>
            <w:rFonts w:hint="eastAsia"/>
            <w:noProof/>
            <w:rtl/>
          </w:rPr>
          <w:t>صاحب</w:t>
        </w:r>
        <w:r w:rsidR="00AD5496" w:rsidRPr="00E60704">
          <w:rPr>
            <w:rStyle w:val="Hyperlink"/>
            <w:noProof/>
            <w:rtl/>
          </w:rPr>
          <w:t xml:space="preserve"> </w:t>
        </w:r>
        <w:r w:rsidR="00AD5496" w:rsidRPr="00E60704">
          <w:rPr>
            <w:rStyle w:val="Hyperlink"/>
            <w:rFonts w:hint="eastAsia"/>
            <w:noProof/>
            <w:rtl/>
          </w:rPr>
          <w:t>جواهر</w:t>
        </w:r>
        <w:r w:rsidR="00AD5496" w:rsidRPr="00E60704">
          <w:rPr>
            <w:rStyle w:val="Hyperlink"/>
            <w:noProof/>
            <w:rtl/>
          </w:rPr>
          <w:t xml:space="preserve"> </w:t>
        </w:r>
        <w:r w:rsidR="00AD5496" w:rsidRPr="00E60704">
          <w:rPr>
            <w:rStyle w:val="Hyperlink"/>
            <w:rFonts w:hint="eastAsia"/>
            <w:noProof/>
            <w:rtl/>
          </w:rPr>
          <w:t>به</w:t>
        </w:r>
        <w:r w:rsidR="00AD5496" w:rsidRPr="00E60704">
          <w:rPr>
            <w:rStyle w:val="Hyperlink"/>
            <w:noProof/>
            <w:rtl/>
          </w:rPr>
          <w:t xml:space="preserve"> </w:t>
        </w:r>
        <w:r w:rsidR="00AD5496" w:rsidRPr="00E60704">
          <w:rPr>
            <w:rStyle w:val="Hyperlink"/>
            <w:rFonts w:hint="eastAsia"/>
            <w:noProof/>
            <w:rtl/>
          </w:rPr>
          <w:t>شه</w:t>
        </w:r>
        <w:r w:rsidR="00AD5496" w:rsidRPr="00E60704">
          <w:rPr>
            <w:rStyle w:val="Hyperlink"/>
            <w:rFonts w:hint="cs"/>
            <w:noProof/>
            <w:rtl/>
          </w:rPr>
          <w:t>ی</w:t>
        </w:r>
        <w:r w:rsidR="00AD5496" w:rsidRPr="00E60704">
          <w:rPr>
            <w:rStyle w:val="Hyperlink"/>
            <w:rFonts w:hint="eastAsia"/>
            <w:noProof/>
            <w:rtl/>
          </w:rPr>
          <w:t>د</w:t>
        </w:r>
        <w:r w:rsidR="00AD5496" w:rsidRPr="00E60704">
          <w:rPr>
            <w:rStyle w:val="Hyperlink"/>
            <w:noProof/>
            <w:rtl/>
          </w:rPr>
          <w:t xml:space="preserve"> </w:t>
        </w:r>
        <w:r w:rsidR="00AD5496" w:rsidRPr="00E60704">
          <w:rPr>
            <w:rStyle w:val="Hyperlink"/>
            <w:rFonts w:hint="eastAsia"/>
            <w:noProof/>
            <w:rtl/>
          </w:rPr>
          <w:t>ثان</w:t>
        </w:r>
        <w:r w:rsidR="00AD5496" w:rsidRPr="00E60704">
          <w:rPr>
            <w:rStyle w:val="Hyperlink"/>
            <w:rFonts w:hint="cs"/>
            <w:noProof/>
            <w:rtl/>
          </w:rPr>
          <w:t>ی</w:t>
        </w:r>
        <w:r w:rsidR="00AD5496">
          <w:rPr>
            <w:noProof/>
            <w:webHidden/>
            <w:rtl/>
          </w:rPr>
          <w:tab/>
        </w:r>
        <w:r w:rsidR="00AD5496">
          <w:rPr>
            <w:rStyle w:val="Hyperlink"/>
            <w:noProof/>
            <w:rtl/>
          </w:rPr>
          <w:fldChar w:fldCharType="begin"/>
        </w:r>
        <w:r w:rsidR="00AD5496">
          <w:rPr>
            <w:noProof/>
            <w:webHidden/>
            <w:rtl/>
          </w:rPr>
          <w:instrText xml:space="preserve"> </w:instrText>
        </w:r>
        <w:r w:rsidR="00AD5496">
          <w:rPr>
            <w:noProof/>
            <w:webHidden/>
          </w:rPr>
          <w:instrText xml:space="preserve">PAGEREF </w:instrText>
        </w:r>
        <w:r w:rsidR="00AD5496">
          <w:rPr>
            <w:noProof/>
            <w:webHidden/>
            <w:rtl/>
          </w:rPr>
          <w:instrText>_</w:instrText>
        </w:r>
        <w:r w:rsidR="00AD5496">
          <w:rPr>
            <w:noProof/>
            <w:webHidden/>
          </w:rPr>
          <w:instrText>Toc</w:instrText>
        </w:r>
        <w:r w:rsidR="00AD5496">
          <w:rPr>
            <w:noProof/>
            <w:webHidden/>
            <w:rtl/>
          </w:rPr>
          <w:instrText xml:space="preserve">534773940 </w:instrText>
        </w:r>
        <w:r w:rsidR="00AD5496">
          <w:rPr>
            <w:noProof/>
            <w:webHidden/>
          </w:rPr>
          <w:instrText>\h</w:instrText>
        </w:r>
        <w:r w:rsidR="00AD5496">
          <w:rPr>
            <w:noProof/>
            <w:webHidden/>
            <w:rtl/>
          </w:rPr>
          <w:instrText xml:space="preserve"> </w:instrText>
        </w:r>
        <w:r w:rsidR="00AD5496">
          <w:rPr>
            <w:rStyle w:val="Hyperlink"/>
            <w:noProof/>
            <w:rtl/>
          </w:rPr>
        </w:r>
        <w:r w:rsidR="00AD5496">
          <w:rPr>
            <w:rStyle w:val="Hyperlink"/>
            <w:noProof/>
            <w:rtl/>
          </w:rPr>
          <w:fldChar w:fldCharType="separate"/>
        </w:r>
        <w:r w:rsidR="00175668">
          <w:rPr>
            <w:noProof/>
            <w:webHidden/>
            <w:rtl/>
          </w:rPr>
          <w:t>2</w:t>
        </w:r>
        <w:r w:rsidR="00AD5496">
          <w:rPr>
            <w:rStyle w:val="Hyperlink"/>
            <w:noProof/>
            <w:rtl/>
          </w:rPr>
          <w:fldChar w:fldCharType="end"/>
        </w:r>
      </w:hyperlink>
    </w:p>
    <w:p w:rsidR="00AD5496" w:rsidRDefault="00195A98">
      <w:pPr>
        <w:pStyle w:val="TOC1"/>
        <w:rPr>
          <w:rFonts w:asciiTheme="minorHAnsi" w:eastAsiaTheme="minorEastAsia" w:hAnsiTheme="minorHAnsi" w:cstheme="minorBidi"/>
          <w:noProof/>
          <w:color w:val="auto"/>
          <w:szCs w:val="22"/>
          <w:rtl/>
        </w:rPr>
      </w:pPr>
      <w:hyperlink w:anchor="_Toc534773941" w:history="1">
        <w:r w:rsidR="00AD5496" w:rsidRPr="00E60704">
          <w:rPr>
            <w:rStyle w:val="Hyperlink"/>
            <w:rFonts w:hint="eastAsia"/>
            <w:noProof/>
            <w:rtl/>
          </w:rPr>
          <w:t>تشک</w:t>
        </w:r>
        <w:r w:rsidR="00AD5496" w:rsidRPr="00E60704">
          <w:rPr>
            <w:rStyle w:val="Hyperlink"/>
            <w:rFonts w:hint="cs"/>
            <w:noProof/>
            <w:rtl/>
          </w:rPr>
          <w:t>ی</w:t>
        </w:r>
        <w:r w:rsidR="00AD5496" w:rsidRPr="00E60704">
          <w:rPr>
            <w:rStyle w:val="Hyperlink"/>
            <w:rFonts w:hint="eastAsia"/>
            <w:noProof/>
            <w:rtl/>
          </w:rPr>
          <w:t>ک</w:t>
        </w:r>
        <w:r w:rsidR="00AD5496" w:rsidRPr="00E60704">
          <w:rPr>
            <w:rStyle w:val="Hyperlink"/>
            <w:noProof/>
            <w:rtl/>
          </w:rPr>
          <w:t xml:space="preserve"> </w:t>
        </w:r>
        <w:r w:rsidR="00AD5496" w:rsidRPr="00E60704">
          <w:rPr>
            <w:rStyle w:val="Hyperlink"/>
            <w:rFonts w:hint="eastAsia"/>
            <w:noProof/>
            <w:rtl/>
          </w:rPr>
          <w:t>علامه</w:t>
        </w:r>
        <w:r w:rsidR="00AD5496" w:rsidRPr="00E60704">
          <w:rPr>
            <w:rStyle w:val="Hyperlink"/>
            <w:noProof/>
            <w:rtl/>
          </w:rPr>
          <w:t xml:space="preserve"> </w:t>
        </w:r>
        <w:r w:rsidR="00AD5496" w:rsidRPr="00E60704">
          <w:rPr>
            <w:rStyle w:val="Hyperlink"/>
            <w:rFonts w:hint="eastAsia"/>
            <w:noProof/>
            <w:rtl/>
          </w:rPr>
          <w:t>در</w:t>
        </w:r>
        <w:r w:rsidR="00AD5496" w:rsidRPr="00E60704">
          <w:rPr>
            <w:rStyle w:val="Hyperlink"/>
            <w:noProof/>
            <w:rtl/>
          </w:rPr>
          <w:t xml:space="preserve"> </w:t>
        </w:r>
        <w:r w:rsidR="00AD5496" w:rsidRPr="00E60704">
          <w:rPr>
            <w:rStyle w:val="Hyperlink"/>
            <w:rFonts w:hint="eastAsia"/>
            <w:noProof/>
            <w:rtl/>
          </w:rPr>
          <w:t>دلالت</w:t>
        </w:r>
        <w:r w:rsidR="00AD5496" w:rsidRPr="00E60704">
          <w:rPr>
            <w:rStyle w:val="Hyperlink"/>
            <w:noProof/>
            <w:rtl/>
          </w:rPr>
          <w:t xml:space="preserve"> </w:t>
        </w:r>
        <w:r w:rsidR="00AD5496" w:rsidRPr="00E60704">
          <w:rPr>
            <w:rStyle w:val="Hyperlink"/>
            <w:rFonts w:hint="eastAsia"/>
            <w:noProof/>
            <w:rtl/>
          </w:rPr>
          <w:t>روا</w:t>
        </w:r>
        <w:r w:rsidR="00AD5496" w:rsidRPr="00E60704">
          <w:rPr>
            <w:rStyle w:val="Hyperlink"/>
            <w:rFonts w:hint="cs"/>
            <w:noProof/>
            <w:rtl/>
          </w:rPr>
          <w:t>ی</w:t>
        </w:r>
        <w:r w:rsidR="00AD5496" w:rsidRPr="00E60704">
          <w:rPr>
            <w:rStyle w:val="Hyperlink"/>
            <w:rFonts w:hint="eastAsia"/>
            <w:noProof/>
            <w:rtl/>
          </w:rPr>
          <w:t>ات</w:t>
        </w:r>
        <w:r w:rsidR="00AD5496" w:rsidRPr="00E60704">
          <w:rPr>
            <w:rStyle w:val="Hyperlink"/>
            <w:noProof/>
            <w:rtl/>
          </w:rPr>
          <w:t xml:space="preserve"> </w:t>
        </w:r>
        <w:r w:rsidR="00AD5496" w:rsidRPr="00E60704">
          <w:rPr>
            <w:rStyle w:val="Hyperlink"/>
            <w:rFonts w:hint="eastAsia"/>
            <w:noProof/>
            <w:rtl/>
          </w:rPr>
          <w:t>خاصه</w:t>
        </w:r>
        <w:r w:rsidR="00AD5496">
          <w:rPr>
            <w:noProof/>
            <w:webHidden/>
            <w:rtl/>
          </w:rPr>
          <w:tab/>
        </w:r>
        <w:r w:rsidR="00AD5496">
          <w:rPr>
            <w:rStyle w:val="Hyperlink"/>
            <w:noProof/>
            <w:rtl/>
          </w:rPr>
          <w:fldChar w:fldCharType="begin"/>
        </w:r>
        <w:r w:rsidR="00AD5496">
          <w:rPr>
            <w:noProof/>
            <w:webHidden/>
            <w:rtl/>
          </w:rPr>
          <w:instrText xml:space="preserve"> </w:instrText>
        </w:r>
        <w:r w:rsidR="00AD5496">
          <w:rPr>
            <w:noProof/>
            <w:webHidden/>
          </w:rPr>
          <w:instrText xml:space="preserve">PAGEREF </w:instrText>
        </w:r>
        <w:r w:rsidR="00AD5496">
          <w:rPr>
            <w:noProof/>
            <w:webHidden/>
            <w:rtl/>
          </w:rPr>
          <w:instrText>_</w:instrText>
        </w:r>
        <w:r w:rsidR="00AD5496">
          <w:rPr>
            <w:noProof/>
            <w:webHidden/>
          </w:rPr>
          <w:instrText>Toc</w:instrText>
        </w:r>
        <w:r w:rsidR="00AD5496">
          <w:rPr>
            <w:noProof/>
            <w:webHidden/>
            <w:rtl/>
          </w:rPr>
          <w:instrText xml:space="preserve">534773941 </w:instrText>
        </w:r>
        <w:r w:rsidR="00AD5496">
          <w:rPr>
            <w:noProof/>
            <w:webHidden/>
          </w:rPr>
          <w:instrText>\h</w:instrText>
        </w:r>
        <w:r w:rsidR="00AD5496">
          <w:rPr>
            <w:noProof/>
            <w:webHidden/>
            <w:rtl/>
          </w:rPr>
          <w:instrText xml:space="preserve"> </w:instrText>
        </w:r>
        <w:r w:rsidR="00AD5496">
          <w:rPr>
            <w:rStyle w:val="Hyperlink"/>
            <w:noProof/>
            <w:rtl/>
          </w:rPr>
        </w:r>
        <w:r w:rsidR="00AD5496">
          <w:rPr>
            <w:rStyle w:val="Hyperlink"/>
            <w:noProof/>
            <w:rtl/>
          </w:rPr>
          <w:fldChar w:fldCharType="separate"/>
        </w:r>
        <w:r w:rsidR="00175668">
          <w:rPr>
            <w:noProof/>
            <w:webHidden/>
            <w:rtl/>
          </w:rPr>
          <w:t>2</w:t>
        </w:r>
        <w:r w:rsidR="00AD5496">
          <w:rPr>
            <w:rStyle w:val="Hyperlink"/>
            <w:noProof/>
            <w:rtl/>
          </w:rPr>
          <w:fldChar w:fldCharType="end"/>
        </w:r>
      </w:hyperlink>
    </w:p>
    <w:p w:rsidR="00AD5496" w:rsidRDefault="00195A98">
      <w:pPr>
        <w:pStyle w:val="TOC2"/>
        <w:tabs>
          <w:tab w:val="right" w:leader="dot" w:pos="10194"/>
        </w:tabs>
        <w:rPr>
          <w:rFonts w:asciiTheme="minorHAnsi" w:eastAsiaTheme="minorEastAsia" w:hAnsiTheme="minorHAnsi" w:cstheme="minorBidi"/>
          <w:bCs w:val="0"/>
          <w:noProof/>
          <w:color w:val="auto"/>
          <w:szCs w:val="22"/>
          <w:rtl/>
        </w:rPr>
      </w:pPr>
      <w:hyperlink w:anchor="_Toc534773942" w:history="1">
        <w:r w:rsidR="00AD5496" w:rsidRPr="00E60704">
          <w:rPr>
            <w:rStyle w:val="Hyperlink"/>
            <w:rFonts w:hint="eastAsia"/>
            <w:noProof/>
            <w:rtl/>
          </w:rPr>
          <w:t>اشکال</w:t>
        </w:r>
        <w:r w:rsidR="00AD5496" w:rsidRPr="00E60704">
          <w:rPr>
            <w:rStyle w:val="Hyperlink"/>
            <w:noProof/>
            <w:rtl/>
          </w:rPr>
          <w:t xml:space="preserve"> </w:t>
        </w:r>
        <w:r w:rsidR="00AD5496" w:rsidRPr="00E60704">
          <w:rPr>
            <w:rStyle w:val="Hyperlink"/>
            <w:rFonts w:hint="eastAsia"/>
            <w:noProof/>
            <w:rtl/>
          </w:rPr>
          <w:t>صاحب</w:t>
        </w:r>
        <w:r w:rsidR="00AD5496" w:rsidRPr="00E60704">
          <w:rPr>
            <w:rStyle w:val="Hyperlink"/>
            <w:noProof/>
            <w:rtl/>
          </w:rPr>
          <w:t xml:space="preserve"> </w:t>
        </w:r>
        <w:r w:rsidR="00AD5496" w:rsidRPr="00E60704">
          <w:rPr>
            <w:rStyle w:val="Hyperlink"/>
            <w:rFonts w:hint="eastAsia"/>
            <w:noProof/>
            <w:rtl/>
          </w:rPr>
          <w:t>جواهر</w:t>
        </w:r>
        <w:r w:rsidR="00AD5496" w:rsidRPr="00E60704">
          <w:rPr>
            <w:rStyle w:val="Hyperlink"/>
            <w:noProof/>
            <w:rtl/>
          </w:rPr>
          <w:t xml:space="preserve"> </w:t>
        </w:r>
        <w:r w:rsidR="00AD5496" w:rsidRPr="00E60704">
          <w:rPr>
            <w:rStyle w:val="Hyperlink"/>
            <w:rFonts w:hint="eastAsia"/>
            <w:noProof/>
            <w:rtl/>
          </w:rPr>
          <w:t>به</w:t>
        </w:r>
        <w:r w:rsidR="00AD5496" w:rsidRPr="00E60704">
          <w:rPr>
            <w:rStyle w:val="Hyperlink"/>
            <w:noProof/>
            <w:rtl/>
          </w:rPr>
          <w:t xml:space="preserve"> </w:t>
        </w:r>
        <w:r w:rsidR="00AD5496" w:rsidRPr="00E60704">
          <w:rPr>
            <w:rStyle w:val="Hyperlink"/>
            <w:rFonts w:hint="eastAsia"/>
            <w:noProof/>
            <w:rtl/>
          </w:rPr>
          <w:t>علامه</w:t>
        </w:r>
        <w:r w:rsidR="00AD5496">
          <w:rPr>
            <w:noProof/>
            <w:webHidden/>
            <w:rtl/>
          </w:rPr>
          <w:tab/>
        </w:r>
        <w:r w:rsidR="00AD5496">
          <w:rPr>
            <w:rStyle w:val="Hyperlink"/>
            <w:noProof/>
            <w:rtl/>
          </w:rPr>
          <w:fldChar w:fldCharType="begin"/>
        </w:r>
        <w:r w:rsidR="00AD5496">
          <w:rPr>
            <w:noProof/>
            <w:webHidden/>
            <w:rtl/>
          </w:rPr>
          <w:instrText xml:space="preserve"> </w:instrText>
        </w:r>
        <w:r w:rsidR="00AD5496">
          <w:rPr>
            <w:noProof/>
            <w:webHidden/>
          </w:rPr>
          <w:instrText xml:space="preserve">PAGEREF </w:instrText>
        </w:r>
        <w:r w:rsidR="00AD5496">
          <w:rPr>
            <w:noProof/>
            <w:webHidden/>
            <w:rtl/>
          </w:rPr>
          <w:instrText>_</w:instrText>
        </w:r>
        <w:r w:rsidR="00AD5496">
          <w:rPr>
            <w:noProof/>
            <w:webHidden/>
          </w:rPr>
          <w:instrText>Toc</w:instrText>
        </w:r>
        <w:r w:rsidR="00AD5496">
          <w:rPr>
            <w:noProof/>
            <w:webHidden/>
            <w:rtl/>
          </w:rPr>
          <w:instrText xml:space="preserve">534773942 </w:instrText>
        </w:r>
        <w:r w:rsidR="00AD5496">
          <w:rPr>
            <w:noProof/>
            <w:webHidden/>
          </w:rPr>
          <w:instrText>\h</w:instrText>
        </w:r>
        <w:r w:rsidR="00AD5496">
          <w:rPr>
            <w:noProof/>
            <w:webHidden/>
            <w:rtl/>
          </w:rPr>
          <w:instrText xml:space="preserve"> </w:instrText>
        </w:r>
        <w:r w:rsidR="00AD5496">
          <w:rPr>
            <w:rStyle w:val="Hyperlink"/>
            <w:noProof/>
            <w:rtl/>
          </w:rPr>
        </w:r>
        <w:r w:rsidR="00AD5496">
          <w:rPr>
            <w:rStyle w:val="Hyperlink"/>
            <w:noProof/>
            <w:rtl/>
          </w:rPr>
          <w:fldChar w:fldCharType="separate"/>
        </w:r>
        <w:r w:rsidR="00175668">
          <w:rPr>
            <w:noProof/>
            <w:webHidden/>
            <w:rtl/>
          </w:rPr>
          <w:t>2</w:t>
        </w:r>
        <w:r w:rsidR="00AD5496">
          <w:rPr>
            <w:rStyle w:val="Hyperlink"/>
            <w:noProof/>
            <w:rtl/>
          </w:rPr>
          <w:fldChar w:fldCharType="end"/>
        </w:r>
      </w:hyperlink>
    </w:p>
    <w:p w:rsidR="00AD5496" w:rsidRDefault="00195A98">
      <w:pPr>
        <w:pStyle w:val="TOC1"/>
        <w:rPr>
          <w:rFonts w:asciiTheme="minorHAnsi" w:eastAsiaTheme="minorEastAsia" w:hAnsiTheme="minorHAnsi" w:cstheme="minorBidi"/>
          <w:noProof/>
          <w:color w:val="auto"/>
          <w:szCs w:val="22"/>
          <w:rtl/>
        </w:rPr>
      </w:pPr>
      <w:hyperlink w:anchor="_Toc534773943" w:history="1">
        <w:r w:rsidR="00AD5496" w:rsidRPr="00E60704">
          <w:rPr>
            <w:rStyle w:val="Hyperlink"/>
            <w:rFonts w:hint="eastAsia"/>
            <w:noProof/>
            <w:rtl/>
          </w:rPr>
          <w:t>نت</w:t>
        </w:r>
        <w:r w:rsidR="00AD5496" w:rsidRPr="00E60704">
          <w:rPr>
            <w:rStyle w:val="Hyperlink"/>
            <w:rFonts w:hint="cs"/>
            <w:noProof/>
            <w:rtl/>
          </w:rPr>
          <w:t>ی</w:t>
        </w:r>
        <w:r w:rsidR="00AD5496" w:rsidRPr="00E60704">
          <w:rPr>
            <w:rStyle w:val="Hyperlink"/>
            <w:rFonts w:hint="eastAsia"/>
            <w:noProof/>
            <w:rtl/>
          </w:rPr>
          <w:t>جه‌</w:t>
        </w:r>
        <w:r w:rsidR="00AD5496" w:rsidRPr="00E60704">
          <w:rPr>
            <w:rStyle w:val="Hyperlink"/>
            <w:rFonts w:hint="cs"/>
            <w:noProof/>
            <w:rtl/>
          </w:rPr>
          <w:t>ی</w:t>
        </w:r>
        <w:r w:rsidR="00AD5496" w:rsidRPr="00E60704">
          <w:rPr>
            <w:rStyle w:val="Hyperlink"/>
            <w:noProof/>
            <w:rtl/>
          </w:rPr>
          <w:t xml:space="preserve"> </w:t>
        </w:r>
        <w:r w:rsidR="00AD5496" w:rsidRPr="00E60704">
          <w:rPr>
            <w:rStyle w:val="Hyperlink"/>
            <w:rFonts w:hint="eastAsia"/>
            <w:noProof/>
            <w:rtl/>
          </w:rPr>
          <w:t>صاحب</w:t>
        </w:r>
        <w:r w:rsidR="00AD5496" w:rsidRPr="00E60704">
          <w:rPr>
            <w:rStyle w:val="Hyperlink"/>
            <w:noProof/>
            <w:rtl/>
          </w:rPr>
          <w:t xml:space="preserve"> </w:t>
        </w:r>
        <w:r w:rsidR="00AD5496" w:rsidRPr="00E60704">
          <w:rPr>
            <w:rStyle w:val="Hyperlink"/>
            <w:rFonts w:hint="eastAsia"/>
            <w:noProof/>
            <w:rtl/>
          </w:rPr>
          <w:t>جواهر</w:t>
        </w:r>
        <w:r w:rsidR="00AD5496" w:rsidRPr="00E60704">
          <w:rPr>
            <w:rStyle w:val="Hyperlink"/>
            <w:noProof/>
            <w:rtl/>
          </w:rPr>
          <w:t xml:space="preserve"> </w:t>
        </w:r>
        <w:r w:rsidR="00AD5496" w:rsidRPr="00E60704">
          <w:rPr>
            <w:rStyle w:val="Hyperlink"/>
            <w:rFonts w:hint="eastAsia"/>
            <w:noProof/>
            <w:rtl/>
          </w:rPr>
          <w:t>در</w:t>
        </w:r>
        <w:r w:rsidR="00AD5496" w:rsidRPr="00E60704">
          <w:rPr>
            <w:rStyle w:val="Hyperlink"/>
            <w:noProof/>
            <w:rtl/>
          </w:rPr>
          <w:t xml:space="preserve"> </w:t>
        </w:r>
        <w:r w:rsidR="00AD5496" w:rsidRPr="00E60704">
          <w:rPr>
            <w:rStyle w:val="Hyperlink"/>
            <w:rFonts w:hint="eastAsia"/>
            <w:noProof/>
            <w:rtl/>
          </w:rPr>
          <w:t>قصاص</w:t>
        </w:r>
        <w:r w:rsidR="00AD5496" w:rsidRPr="00E60704">
          <w:rPr>
            <w:rStyle w:val="Hyperlink"/>
            <w:noProof/>
            <w:rtl/>
          </w:rPr>
          <w:t xml:space="preserve"> </w:t>
        </w:r>
        <w:r w:rsidR="00AD5496" w:rsidRPr="00E60704">
          <w:rPr>
            <w:rStyle w:val="Hyperlink"/>
            <w:rFonts w:hint="eastAsia"/>
            <w:noProof/>
            <w:rtl/>
          </w:rPr>
          <w:t>اعم</w:t>
        </w:r>
        <w:r w:rsidR="00AD5496" w:rsidRPr="00E60704">
          <w:rPr>
            <w:rStyle w:val="Hyperlink"/>
            <w:rFonts w:hint="cs"/>
            <w:noProof/>
            <w:rtl/>
          </w:rPr>
          <w:t>ی</w:t>
        </w:r>
        <w:r w:rsidR="00AD5496">
          <w:rPr>
            <w:noProof/>
            <w:webHidden/>
            <w:rtl/>
          </w:rPr>
          <w:tab/>
        </w:r>
        <w:r w:rsidR="00AD5496">
          <w:rPr>
            <w:rStyle w:val="Hyperlink"/>
            <w:noProof/>
            <w:rtl/>
          </w:rPr>
          <w:fldChar w:fldCharType="begin"/>
        </w:r>
        <w:r w:rsidR="00AD5496">
          <w:rPr>
            <w:noProof/>
            <w:webHidden/>
            <w:rtl/>
          </w:rPr>
          <w:instrText xml:space="preserve"> </w:instrText>
        </w:r>
        <w:r w:rsidR="00AD5496">
          <w:rPr>
            <w:noProof/>
            <w:webHidden/>
          </w:rPr>
          <w:instrText xml:space="preserve">PAGEREF </w:instrText>
        </w:r>
        <w:r w:rsidR="00AD5496">
          <w:rPr>
            <w:noProof/>
            <w:webHidden/>
            <w:rtl/>
          </w:rPr>
          <w:instrText>_</w:instrText>
        </w:r>
        <w:r w:rsidR="00AD5496">
          <w:rPr>
            <w:noProof/>
            <w:webHidden/>
          </w:rPr>
          <w:instrText>Toc</w:instrText>
        </w:r>
        <w:r w:rsidR="00AD5496">
          <w:rPr>
            <w:noProof/>
            <w:webHidden/>
            <w:rtl/>
          </w:rPr>
          <w:instrText xml:space="preserve">534773943 </w:instrText>
        </w:r>
        <w:r w:rsidR="00AD5496">
          <w:rPr>
            <w:noProof/>
            <w:webHidden/>
          </w:rPr>
          <w:instrText>\h</w:instrText>
        </w:r>
        <w:r w:rsidR="00AD5496">
          <w:rPr>
            <w:noProof/>
            <w:webHidden/>
            <w:rtl/>
          </w:rPr>
          <w:instrText xml:space="preserve"> </w:instrText>
        </w:r>
        <w:r w:rsidR="00AD5496">
          <w:rPr>
            <w:rStyle w:val="Hyperlink"/>
            <w:noProof/>
            <w:rtl/>
          </w:rPr>
        </w:r>
        <w:r w:rsidR="00AD5496">
          <w:rPr>
            <w:rStyle w:val="Hyperlink"/>
            <w:noProof/>
            <w:rtl/>
          </w:rPr>
          <w:fldChar w:fldCharType="separate"/>
        </w:r>
        <w:r w:rsidR="00175668">
          <w:rPr>
            <w:noProof/>
            <w:webHidden/>
            <w:rtl/>
          </w:rPr>
          <w:t>2</w:t>
        </w:r>
        <w:r w:rsidR="00AD5496">
          <w:rPr>
            <w:rStyle w:val="Hyperlink"/>
            <w:noProof/>
            <w:rtl/>
          </w:rPr>
          <w:fldChar w:fldCharType="end"/>
        </w:r>
      </w:hyperlink>
    </w:p>
    <w:p w:rsidR="00AD5496" w:rsidRDefault="00195A98">
      <w:pPr>
        <w:pStyle w:val="TOC1"/>
        <w:rPr>
          <w:rFonts w:asciiTheme="minorHAnsi" w:eastAsiaTheme="minorEastAsia" w:hAnsiTheme="minorHAnsi" w:cstheme="minorBidi"/>
          <w:noProof/>
          <w:color w:val="auto"/>
          <w:szCs w:val="22"/>
          <w:rtl/>
        </w:rPr>
      </w:pPr>
      <w:hyperlink w:anchor="_Toc534773944" w:history="1">
        <w:r w:rsidR="00AD5496" w:rsidRPr="00E60704">
          <w:rPr>
            <w:rStyle w:val="Hyperlink"/>
            <w:rFonts w:hint="eastAsia"/>
            <w:noProof/>
            <w:rtl/>
          </w:rPr>
          <w:t>کلام</w:t>
        </w:r>
        <w:r w:rsidR="00AD5496" w:rsidRPr="00E60704">
          <w:rPr>
            <w:rStyle w:val="Hyperlink"/>
            <w:noProof/>
            <w:rtl/>
          </w:rPr>
          <w:t xml:space="preserve"> </w:t>
        </w:r>
        <w:r w:rsidR="00AD5496" w:rsidRPr="00E60704">
          <w:rPr>
            <w:rStyle w:val="Hyperlink"/>
            <w:rFonts w:hint="eastAsia"/>
            <w:noProof/>
            <w:rtl/>
          </w:rPr>
          <w:t>مرحوم</w:t>
        </w:r>
        <w:r w:rsidR="00AD5496" w:rsidRPr="00E60704">
          <w:rPr>
            <w:rStyle w:val="Hyperlink"/>
            <w:noProof/>
            <w:rtl/>
          </w:rPr>
          <w:t xml:space="preserve"> </w:t>
        </w:r>
        <w:r w:rsidR="00AD5496" w:rsidRPr="00E60704">
          <w:rPr>
            <w:rStyle w:val="Hyperlink"/>
            <w:rFonts w:hint="eastAsia"/>
            <w:noProof/>
            <w:rtl/>
          </w:rPr>
          <w:t>خوانسار</w:t>
        </w:r>
        <w:r w:rsidR="00AD5496" w:rsidRPr="00E60704">
          <w:rPr>
            <w:rStyle w:val="Hyperlink"/>
            <w:rFonts w:hint="cs"/>
            <w:noProof/>
            <w:rtl/>
          </w:rPr>
          <w:t>ی</w:t>
        </w:r>
        <w:r w:rsidR="00AD5496" w:rsidRPr="00E60704">
          <w:rPr>
            <w:rStyle w:val="Hyperlink"/>
            <w:noProof/>
            <w:rtl/>
          </w:rPr>
          <w:t xml:space="preserve"> </w:t>
        </w:r>
        <w:r w:rsidR="00AD5496" w:rsidRPr="00E60704">
          <w:rPr>
            <w:rStyle w:val="Hyperlink"/>
            <w:rFonts w:hint="eastAsia"/>
            <w:noProof/>
            <w:rtl/>
          </w:rPr>
          <w:t>در</w:t>
        </w:r>
        <w:r w:rsidR="00AD5496" w:rsidRPr="00E60704">
          <w:rPr>
            <w:rStyle w:val="Hyperlink"/>
            <w:noProof/>
            <w:rtl/>
          </w:rPr>
          <w:t xml:space="preserve"> </w:t>
        </w:r>
        <w:r w:rsidR="00AD5496" w:rsidRPr="00E60704">
          <w:rPr>
            <w:rStyle w:val="Hyperlink"/>
            <w:rFonts w:hint="eastAsia"/>
            <w:noProof/>
            <w:rtl/>
          </w:rPr>
          <w:t>بحث</w:t>
        </w:r>
        <w:r w:rsidR="00AD5496" w:rsidRPr="00E60704">
          <w:rPr>
            <w:rStyle w:val="Hyperlink"/>
            <w:noProof/>
            <w:rtl/>
          </w:rPr>
          <w:t xml:space="preserve"> </w:t>
        </w:r>
        <w:r w:rsidR="00AD5496" w:rsidRPr="00E60704">
          <w:rPr>
            <w:rStyle w:val="Hyperlink"/>
            <w:rFonts w:hint="eastAsia"/>
            <w:noProof/>
            <w:rtl/>
          </w:rPr>
          <w:t>قصاص</w:t>
        </w:r>
        <w:r w:rsidR="00AD5496" w:rsidRPr="00E60704">
          <w:rPr>
            <w:rStyle w:val="Hyperlink"/>
            <w:noProof/>
            <w:rtl/>
          </w:rPr>
          <w:t xml:space="preserve"> </w:t>
        </w:r>
        <w:r w:rsidR="00AD5496" w:rsidRPr="00E60704">
          <w:rPr>
            <w:rStyle w:val="Hyperlink"/>
            <w:rFonts w:hint="eastAsia"/>
            <w:noProof/>
            <w:rtl/>
          </w:rPr>
          <w:t>اعم</w:t>
        </w:r>
        <w:r w:rsidR="00AD5496" w:rsidRPr="00E60704">
          <w:rPr>
            <w:rStyle w:val="Hyperlink"/>
            <w:rFonts w:hint="cs"/>
            <w:noProof/>
            <w:rtl/>
          </w:rPr>
          <w:t>ی</w:t>
        </w:r>
        <w:r w:rsidR="00AD5496">
          <w:rPr>
            <w:noProof/>
            <w:webHidden/>
            <w:rtl/>
          </w:rPr>
          <w:tab/>
        </w:r>
        <w:r w:rsidR="00AD5496">
          <w:rPr>
            <w:rStyle w:val="Hyperlink"/>
            <w:noProof/>
            <w:rtl/>
          </w:rPr>
          <w:fldChar w:fldCharType="begin"/>
        </w:r>
        <w:r w:rsidR="00AD5496">
          <w:rPr>
            <w:noProof/>
            <w:webHidden/>
            <w:rtl/>
          </w:rPr>
          <w:instrText xml:space="preserve"> </w:instrText>
        </w:r>
        <w:r w:rsidR="00AD5496">
          <w:rPr>
            <w:noProof/>
            <w:webHidden/>
          </w:rPr>
          <w:instrText xml:space="preserve">PAGEREF </w:instrText>
        </w:r>
        <w:r w:rsidR="00AD5496">
          <w:rPr>
            <w:noProof/>
            <w:webHidden/>
            <w:rtl/>
          </w:rPr>
          <w:instrText>_</w:instrText>
        </w:r>
        <w:r w:rsidR="00AD5496">
          <w:rPr>
            <w:noProof/>
            <w:webHidden/>
          </w:rPr>
          <w:instrText>Toc</w:instrText>
        </w:r>
        <w:r w:rsidR="00AD5496">
          <w:rPr>
            <w:noProof/>
            <w:webHidden/>
            <w:rtl/>
          </w:rPr>
          <w:instrText xml:space="preserve">534773944 </w:instrText>
        </w:r>
        <w:r w:rsidR="00AD5496">
          <w:rPr>
            <w:noProof/>
            <w:webHidden/>
          </w:rPr>
          <w:instrText>\h</w:instrText>
        </w:r>
        <w:r w:rsidR="00AD5496">
          <w:rPr>
            <w:noProof/>
            <w:webHidden/>
            <w:rtl/>
          </w:rPr>
          <w:instrText xml:space="preserve"> </w:instrText>
        </w:r>
        <w:r w:rsidR="00AD5496">
          <w:rPr>
            <w:rStyle w:val="Hyperlink"/>
            <w:noProof/>
            <w:rtl/>
          </w:rPr>
        </w:r>
        <w:r w:rsidR="00AD5496">
          <w:rPr>
            <w:rStyle w:val="Hyperlink"/>
            <w:noProof/>
            <w:rtl/>
          </w:rPr>
          <w:fldChar w:fldCharType="separate"/>
        </w:r>
        <w:r w:rsidR="00175668">
          <w:rPr>
            <w:noProof/>
            <w:webHidden/>
            <w:rtl/>
          </w:rPr>
          <w:t>3</w:t>
        </w:r>
        <w:r w:rsidR="00AD5496">
          <w:rPr>
            <w:rStyle w:val="Hyperlink"/>
            <w:noProof/>
            <w:rtl/>
          </w:rPr>
          <w:fldChar w:fldCharType="end"/>
        </w:r>
      </w:hyperlink>
    </w:p>
    <w:p w:rsidR="00AD5496" w:rsidRDefault="00195A98">
      <w:pPr>
        <w:pStyle w:val="TOC2"/>
        <w:tabs>
          <w:tab w:val="right" w:leader="dot" w:pos="10194"/>
        </w:tabs>
        <w:rPr>
          <w:rFonts w:asciiTheme="minorHAnsi" w:eastAsiaTheme="minorEastAsia" w:hAnsiTheme="minorHAnsi" w:cstheme="minorBidi"/>
          <w:bCs w:val="0"/>
          <w:noProof/>
          <w:color w:val="auto"/>
          <w:szCs w:val="22"/>
          <w:rtl/>
        </w:rPr>
      </w:pPr>
      <w:hyperlink w:anchor="_Toc534773945" w:history="1">
        <w:r w:rsidR="00AD5496" w:rsidRPr="00E60704">
          <w:rPr>
            <w:rStyle w:val="Hyperlink"/>
            <w:rFonts w:hint="eastAsia"/>
            <w:noProof/>
            <w:rtl/>
          </w:rPr>
          <w:t>اشکال</w:t>
        </w:r>
        <w:r w:rsidR="00AD5496" w:rsidRPr="00E60704">
          <w:rPr>
            <w:rStyle w:val="Hyperlink"/>
            <w:noProof/>
            <w:rtl/>
          </w:rPr>
          <w:t xml:space="preserve"> </w:t>
        </w:r>
        <w:r w:rsidR="00AD5496" w:rsidRPr="00E60704">
          <w:rPr>
            <w:rStyle w:val="Hyperlink"/>
            <w:rFonts w:hint="eastAsia"/>
            <w:noProof/>
            <w:rtl/>
          </w:rPr>
          <w:t>استاد</w:t>
        </w:r>
        <w:r w:rsidR="00AD5496" w:rsidRPr="00E60704">
          <w:rPr>
            <w:rStyle w:val="Hyperlink"/>
            <w:noProof/>
            <w:rtl/>
          </w:rPr>
          <w:t xml:space="preserve"> </w:t>
        </w:r>
        <w:r w:rsidR="00AD5496" w:rsidRPr="00E60704">
          <w:rPr>
            <w:rStyle w:val="Hyperlink"/>
            <w:rFonts w:hint="eastAsia"/>
            <w:noProof/>
            <w:rtl/>
          </w:rPr>
          <w:t>به</w:t>
        </w:r>
        <w:r w:rsidR="00AD5496" w:rsidRPr="00E60704">
          <w:rPr>
            <w:rStyle w:val="Hyperlink"/>
            <w:noProof/>
            <w:rtl/>
          </w:rPr>
          <w:t xml:space="preserve"> </w:t>
        </w:r>
        <w:r w:rsidR="00AD5496" w:rsidRPr="00E60704">
          <w:rPr>
            <w:rStyle w:val="Hyperlink"/>
            <w:rFonts w:hint="eastAsia"/>
            <w:noProof/>
            <w:rtl/>
          </w:rPr>
          <w:t>مرحوم</w:t>
        </w:r>
        <w:r w:rsidR="00AD5496" w:rsidRPr="00E60704">
          <w:rPr>
            <w:rStyle w:val="Hyperlink"/>
            <w:noProof/>
            <w:rtl/>
          </w:rPr>
          <w:t xml:space="preserve"> </w:t>
        </w:r>
        <w:r w:rsidR="00AD5496" w:rsidRPr="00E60704">
          <w:rPr>
            <w:rStyle w:val="Hyperlink"/>
            <w:rFonts w:hint="eastAsia"/>
            <w:noProof/>
            <w:rtl/>
          </w:rPr>
          <w:t>خوانسار</w:t>
        </w:r>
        <w:r w:rsidR="00AD5496" w:rsidRPr="00E60704">
          <w:rPr>
            <w:rStyle w:val="Hyperlink"/>
            <w:rFonts w:hint="cs"/>
            <w:noProof/>
            <w:rtl/>
          </w:rPr>
          <w:t>ی</w:t>
        </w:r>
        <w:r w:rsidR="00AD5496">
          <w:rPr>
            <w:noProof/>
            <w:webHidden/>
            <w:rtl/>
          </w:rPr>
          <w:tab/>
        </w:r>
        <w:r w:rsidR="00AD5496">
          <w:rPr>
            <w:rStyle w:val="Hyperlink"/>
            <w:noProof/>
            <w:rtl/>
          </w:rPr>
          <w:fldChar w:fldCharType="begin"/>
        </w:r>
        <w:r w:rsidR="00AD5496">
          <w:rPr>
            <w:noProof/>
            <w:webHidden/>
            <w:rtl/>
          </w:rPr>
          <w:instrText xml:space="preserve"> </w:instrText>
        </w:r>
        <w:r w:rsidR="00AD5496">
          <w:rPr>
            <w:noProof/>
            <w:webHidden/>
          </w:rPr>
          <w:instrText xml:space="preserve">PAGEREF </w:instrText>
        </w:r>
        <w:r w:rsidR="00AD5496">
          <w:rPr>
            <w:noProof/>
            <w:webHidden/>
            <w:rtl/>
          </w:rPr>
          <w:instrText>_</w:instrText>
        </w:r>
        <w:r w:rsidR="00AD5496">
          <w:rPr>
            <w:noProof/>
            <w:webHidden/>
          </w:rPr>
          <w:instrText>Toc</w:instrText>
        </w:r>
        <w:r w:rsidR="00AD5496">
          <w:rPr>
            <w:noProof/>
            <w:webHidden/>
            <w:rtl/>
          </w:rPr>
          <w:instrText xml:space="preserve">534773945 </w:instrText>
        </w:r>
        <w:r w:rsidR="00AD5496">
          <w:rPr>
            <w:noProof/>
            <w:webHidden/>
          </w:rPr>
          <w:instrText>\h</w:instrText>
        </w:r>
        <w:r w:rsidR="00AD5496">
          <w:rPr>
            <w:noProof/>
            <w:webHidden/>
            <w:rtl/>
          </w:rPr>
          <w:instrText xml:space="preserve"> </w:instrText>
        </w:r>
        <w:r w:rsidR="00AD5496">
          <w:rPr>
            <w:rStyle w:val="Hyperlink"/>
            <w:noProof/>
            <w:rtl/>
          </w:rPr>
        </w:r>
        <w:r w:rsidR="00AD5496">
          <w:rPr>
            <w:rStyle w:val="Hyperlink"/>
            <w:noProof/>
            <w:rtl/>
          </w:rPr>
          <w:fldChar w:fldCharType="separate"/>
        </w:r>
        <w:r w:rsidR="00175668">
          <w:rPr>
            <w:noProof/>
            <w:webHidden/>
            <w:rtl/>
          </w:rPr>
          <w:t>4</w:t>
        </w:r>
        <w:r w:rsidR="00AD5496">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30110">
        <w:rPr>
          <w:rFonts w:hint="cs"/>
          <w:rtl/>
        </w:rPr>
        <w:t>شرط</w:t>
      </w:r>
      <w:r w:rsidR="00030110">
        <w:rPr>
          <w:rtl/>
        </w:rPr>
        <w:t xml:space="preserve"> </w:t>
      </w:r>
      <w:r w:rsidR="00030110">
        <w:rPr>
          <w:rFonts w:hint="cs"/>
          <w:rtl/>
        </w:rPr>
        <w:t>چهارم</w:t>
      </w:r>
      <w:r w:rsidR="00030110">
        <w:rPr>
          <w:rtl/>
        </w:rPr>
        <w:t xml:space="preserve">: </w:t>
      </w:r>
      <w:r w:rsidR="00030110">
        <w:rPr>
          <w:rFonts w:hint="cs"/>
          <w:rtl/>
        </w:rPr>
        <w:t>کمال</w:t>
      </w:r>
      <w:r w:rsidR="00030110">
        <w:rPr>
          <w:rtl/>
        </w:rPr>
        <w:t xml:space="preserve"> </w:t>
      </w:r>
      <w:r w:rsidR="00030110">
        <w:rPr>
          <w:rFonts w:hint="cs"/>
          <w:rtl/>
        </w:rPr>
        <w:t>عقل</w:t>
      </w:r>
      <w:r w:rsidR="00025B70">
        <w:rPr>
          <w:rFonts w:hint="cs"/>
          <w:rtl/>
        </w:rPr>
        <w:t xml:space="preserve"> </w:t>
      </w:r>
      <w:r w:rsidR="00386C11" w:rsidRPr="00A6366F">
        <w:rPr>
          <w:rFonts w:hint="cs"/>
          <w:rtl/>
        </w:rPr>
        <w:t>/</w:t>
      </w:r>
      <w:bookmarkStart w:id="2" w:name="BokSabj_d"/>
      <w:bookmarkEnd w:id="2"/>
      <w:r w:rsidR="00030110">
        <w:rPr>
          <w:rFonts w:hint="cs"/>
          <w:rtl/>
        </w:rPr>
        <w:t>شروط</w:t>
      </w:r>
      <w:r w:rsidR="00030110">
        <w:rPr>
          <w:rtl/>
        </w:rPr>
        <w:t xml:space="preserve"> </w:t>
      </w:r>
      <w:r w:rsidR="00030110">
        <w:rPr>
          <w:rFonts w:hint="cs"/>
          <w:rtl/>
        </w:rPr>
        <w:t>قصاص</w:t>
      </w:r>
      <w:r w:rsidR="00386C11" w:rsidRPr="00A6366F">
        <w:rPr>
          <w:rFonts w:hint="cs"/>
          <w:rtl/>
        </w:rPr>
        <w:t xml:space="preserve"> /</w:t>
      </w:r>
      <w:bookmarkStart w:id="3" w:name="Bokkolli"/>
      <w:bookmarkEnd w:id="3"/>
      <w:r w:rsidR="00030110">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C4647" w:rsidRPr="00041B13" w:rsidRDefault="00BC4647" w:rsidP="004021A1">
      <w:pPr>
        <w:jc w:val="both"/>
        <w:rPr>
          <w:sz w:val="28"/>
          <w:rtl/>
        </w:rPr>
      </w:pPr>
      <w:r w:rsidRPr="00041B13">
        <w:rPr>
          <w:rFonts w:hint="cs"/>
          <w:sz w:val="28"/>
          <w:rtl/>
        </w:rPr>
        <w:t>بحث در جنایت اعمی بود که گفتیم مرحوم صاحب جواهر بعد از اینکه روایت حلبی</w:t>
      </w:r>
      <w:r w:rsidR="00F0776A">
        <w:rPr>
          <w:rFonts w:hint="cs"/>
          <w:sz w:val="28"/>
          <w:rtl/>
        </w:rPr>
        <w:t>،</w:t>
      </w:r>
      <w:r w:rsidRPr="00041B13">
        <w:rPr>
          <w:rFonts w:hint="cs"/>
          <w:sz w:val="28"/>
          <w:rtl/>
        </w:rPr>
        <w:t xml:space="preserve"> که دال بر عدم ثبوت قصاص بود را مطرح کرد و موافقت مشهور را هم با این قول مطرح کرد و این روایت را مؤید به روایت ابی عبیده قرار داد متعرض کلام شهید ثانی شد و ا</w:t>
      </w:r>
      <w:r w:rsidR="004021A1">
        <w:rPr>
          <w:rFonts w:hint="cs"/>
          <w:sz w:val="28"/>
          <w:rtl/>
        </w:rPr>
        <w:t>شکالاتی که ایشان به روایات داشت، مطرح کرد.</w:t>
      </w:r>
      <w:r w:rsidRPr="00041B13">
        <w:rPr>
          <w:rFonts w:hint="cs"/>
          <w:sz w:val="28"/>
          <w:rtl/>
        </w:rPr>
        <w:t xml:space="preserve"> گفتیم شهید ثانی در مسالک </w:t>
      </w:r>
      <w:r w:rsidR="004021A1">
        <w:rPr>
          <w:rFonts w:hint="cs"/>
          <w:sz w:val="28"/>
          <w:rtl/>
        </w:rPr>
        <w:t>چهار</w:t>
      </w:r>
      <w:r w:rsidRPr="00041B13">
        <w:rPr>
          <w:rFonts w:hint="cs"/>
          <w:sz w:val="28"/>
          <w:rtl/>
        </w:rPr>
        <w:t xml:space="preserve"> اشکال به این دو روایت مطرح کرده است که سه مورد از اشکالات بیان شد که ضعف سندی و اضطراب در متن و مشکل اینکه آیا می توان با این دو روایت دست از عمومات کشید. بحث به اشکال چهارم شهید ثانی منتهی شد.</w:t>
      </w:r>
    </w:p>
    <w:p w:rsidR="00BC4647" w:rsidRPr="00041B13" w:rsidRDefault="00BC4647" w:rsidP="00F0776A">
      <w:pPr>
        <w:pStyle w:val="Heading1"/>
        <w:rPr>
          <w:rtl/>
        </w:rPr>
      </w:pPr>
      <w:bookmarkStart w:id="4" w:name="_Toc534773939"/>
      <w:r w:rsidRPr="00041B13">
        <w:rPr>
          <w:rFonts w:hint="cs"/>
          <w:rtl/>
        </w:rPr>
        <w:t>کلام شهید ثانی در قصور روایت حلبی در عدم قصاص اعمی</w:t>
      </w:r>
      <w:bookmarkEnd w:id="4"/>
    </w:p>
    <w:p w:rsidR="00BC4647" w:rsidRPr="00041B13" w:rsidRDefault="00BC4647" w:rsidP="0056609C">
      <w:pPr>
        <w:jc w:val="both"/>
        <w:rPr>
          <w:sz w:val="28"/>
          <w:rtl/>
        </w:rPr>
      </w:pPr>
      <w:r w:rsidRPr="00041B13">
        <w:rPr>
          <w:rFonts w:hint="cs"/>
          <w:sz w:val="28"/>
          <w:rtl/>
        </w:rPr>
        <w:t>شهید ثانی</w:t>
      </w:r>
      <w:r w:rsidR="00F0776A">
        <w:rPr>
          <w:rStyle w:val="FootnoteReference"/>
          <w:sz w:val="28"/>
          <w:rtl/>
        </w:rPr>
        <w:footnoteReference w:id="1"/>
      </w:r>
      <w:r w:rsidRPr="00041B13">
        <w:rPr>
          <w:rFonts w:hint="cs"/>
          <w:sz w:val="28"/>
          <w:rtl/>
        </w:rPr>
        <w:t xml:space="preserve"> می فرماید روایت حلبی از لحاظ دلالی قاصر است و نمی تواند اثبات مدعی ( عدم قصاص اعمی ) کند. به دلیل اینکه مشهور این روایت را ا</w:t>
      </w:r>
      <w:r w:rsidR="00D36BBB">
        <w:rPr>
          <w:rFonts w:hint="cs"/>
          <w:sz w:val="28"/>
          <w:rtl/>
        </w:rPr>
        <w:t>ینطور فهمیده اند که در جمله‌ی «</w:t>
      </w:r>
      <w:r w:rsidRPr="00F0776A">
        <w:rPr>
          <w:color w:val="008000"/>
          <w:sz w:val="28"/>
          <w:rtl/>
        </w:rPr>
        <w:t>و</w:t>
      </w:r>
      <w:r w:rsidR="006943F2">
        <w:rPr>
          <w:rFonts w:hint="cs"/>
          <w:color w:val="008000"/>
          <w:sz w:val="28"/>
          <w:rtl/>
        </w:rPr>
        <w:t xml:space="preserve"> </w:t>
      </w:r>
      <w:r w:rsidRPr="00F0776A">
        <w:rPr>
          <w:color w:val="008000"/>
          <w:sz w:val="28"/>
          <w:rtl/>
        </w:rPr>
        <w:t>الأعمى جنايته خطأ</w:t>
      </w:r>
      <w:r w:rsidRPr="00F0776A">
        <w:rPr>
          <w:rFonts w:hint="cs"/>
          <w:color w:val="008000"/>
          <w:sz w:val="28"/>
          <w:rtl/>
        </w:rPr>
        <w:t>ٌ</w:t>
      </w:r>
      <w:r w:rsidRPr="00F0776A">
        <w:rPr>
          <w:color w:val="008000"/>
          <w:sz w:val="28"/>
          <w:rtl/>
        </w:rPr>
        <w:t xml:space="preserve"> تلزم عاقلته</w:t>
      </w:r>
      <w:r w:rsidRPr="00041B13">
        <w:rPr>
          <w:rFonts w:hint="cs"/>
          <w:sz w:val="28"/>
          <w:rtl/>
        </w:rPr>
        <w:t>»</w:t>
      </w:r>
      <w:r w:rsidR="00F0776A">
        <w:rPr>
          <w:rStyle w:val="FootnoteReference"/>
          <w:sz w:val="28"/>
          <w:rtl/>
        </w:rPr>
        <w:footnoteReference w:id="2"/>
      </w:r>
      <w:r w:rsidRPr="00041B13">
        <w:rPr>
          <w:rFonts w:hint="cs"/>
          <w:sz w:val="28"/>
          <w:rtl/>
        </w:rPr>
        <w:t xml:space="preserve"> کلمه‌ی خطا مرفوع می باشد و نتیجه اش هم در معن</w:t>
      </w:r>
      <w:r w:rsidR="009E5DA1">
        <w:rPr>
          <w:rFonts w:hint="cs"/>
          <w:sz w:val="28"/>
          <w:rtl/>
        </w:rPr>
        <w:t>ا این می شود که جنایت اعمی خطا</w:t>
      </w:r>
      <w:r w:rsidRPr="00041B13">
        <w:rPr>
          <w:rFonts w:hint="cs"/>
          <w:sz w:val="28"/>
          <w:rtl/>
        </w:rPr>
        <w:t xml:space="preserve"> است و دیه بر عهده‌ی عاقله می باشد. ولی به نظر ما</w:t>
      </w:r>
      <w:r w:rsidR="00665D05">
        <w:rPr>
          <w:rFonts w:hint="cs"/>
          <w:sz w:val="28"/>
          <w:rtl/>
        </w:rPr>
        <w:t xml:space="preserve"> (شهید ثانی)</w:t>
      </w:r>
      <w:r w:rsidRPr="00041B13">
        <w:rPr>
          <w:rFonts w:hint="cs"/>
          <w:sz w:val="28"/>
          <w:rtl/>
        </w:rPr>
        <w:t xml:space="preserve"> این</w:t>
      </w:r>
      <w:r w:rsidR="009E5DA1">
        <w:rPr>
          <w:rFonts w:hint="cs"/>
          <w:sz w:val="28"/>
          <w:rtl/>
        </w:rPr>
        <w:t xml:space="preserve"> </w:t>
      </w:r>
      <w:r w:rsidRPr="00041B13">
        <w:rPr>
          <w:rFonts w:hint="cs"/>
          <w:sz w:val="28"/>
          <w:rtl/>
        </w:rPr>
        <w:t>گونه تلقی از روایت اشتباه است به دلیل اینکه خطا باید به نصب خواند شود</w:t>
      </w:r>
      <w:r w:rsidR="009E5DA1">
        <w:rPr>
          <w:rFonts w:hint="cs"/>
          <w:sz w:val="28"/>
          <w:rtl/>
        </w:rPr>
        <w:t>.</w:t>
      </w:r>
      <w:r w:rsidRPr="00041B13">
        <w:rPr>
          <w:rFonts w:hint="cs"/>
          <w:sz w:val="28"/>
          <w:rtl/>
        </w:rPr>
        <w:t xml:space="preserve"> البته بنابر اینکه نقش اعرابی اش هم حال می باشد </w:t>
      </w:r>
      <w:r w:rsidRPr="00041B13">
        <w:rPr>
          <w:rFonts w:hint="cs"/>
          <w:sz w:val="28"/>
          <w:rtl/>
        </w:rPr>
        <w:lastRenderedPageBreak/>
        <w:t>و تمییز هم نیست که بعضی</w:t>
      </w:r>
      <w:r w:rsidR="009E5DA1">
        <w:rPr>
          <w:rStyle w:val="FootnoteReference"/>
          <w:sz w:val="28"/>
          <w:rtl/>
        </w:rPr>
        <w:footnoteReference w:id="3"/>
      </w:r>
      <w:r w:rsidR="009E5DA1">
        <w:rPr>
          <w:rFonts w:hint="cs"/>
          <w:sz w:val="28"/>
          <w:rtl/>
        </w:rPr>
        <w:t xml:space="preserve"> </w:t>
      </w:r>
      <w:r w:rsidRPr="00041B13">
        <w:rPr>
          <w:rFonts w:hint="cs"/>
          <w:sz w:val="28"/>
          <w:rtl/>
        </w:rPr>
        <w:t>اشتباها تمییز گفته اند. به هر حال اگر نقش کلمه‌ی خطا حال باشد معنا این می شود که جنایت اعمی در حال خطا موجب قصاص نیست و دیه هم بر عهده‌ی عاقله است. کما اینکه در قتل غیر اعمی هم اگر خطا</w:t>
      </w:r>
      <w:r w:rsidR="00277657">
        <w:rPr>
          <w:rFonts w:hint="cs"/>
          <w:sz w:val="28"/>
          <w:rtl/>
        </w:rPr>
        <w:t>ءً</w:t>
      </w:r>
      <w:r w:rsidRPr="00041B13">
        <w:rPr>
          <w:rFonts w:hint="cs"/>
          <w:sz w:val="28"/>
          <w:rtl/>
        </w:rPr>
        <w:t xml:space="preserve"> جنایتی صورت می گرفت باید عاقله پرداخت می کرد در مورد شخص کور هم این حکم صادق است. ( و این روایت کأن برای دفع این توهم باشد که ممکن است کسی تصور کند احتمال خطای اعمی خیلی بیشتر از شخص بصیر است و در نتیجه خود اعمی پرداخت کند ).</w:t>
      </w:r>
    </w:p>
    <w:p w:rsidR="00BC4647" w:rsidRPr="00041B13" w:rsidRDefault="00BC4647" w:rsidP="00277657">
      <w:pPr>
        <w:pStyle w:val="Heading2"/>
        <w:rPr>
          <w:rtl/>
        </w:rPr>
      </w:pPr>
      <w:bookmarkStart w:id="5" w:name="_Toc534773940"/>
      <w:r w:rsidRPr="00041B13">
        <w:rPr>
          <w:rFonts w:hint="cs"/>
          <w:rtl/>
        </w:rPr>
        <w:t>اشکال صاحب جواهر به شهید ثانی</w:t>
      </w:r>
      <w:bookmarkEnd w:id="5"/>
    </w:p>
    <w:p w:rsidR="00BC4647" w:rsidRPr="00041B13" w:rsidRDefault="00BC4647" w:rsidP="00BC4647">
      <w:pPr>
        <w:jc w:val="both"/>
        <w:rPr>
          <w:sz w:val="28"/>
          <w:rtl/>
        </w:rPr>
      </w:pPr>
      <w:r w:rsidRPr="00041B13">
        <w:rPr>
          <w:rFonts w:hint="cs"/>
          <w:sz w:val="28"/>
          <w:rtl/>
        </w:rPr>
        <w:t>مرحوم صاحب جواهر</w:t>
      </w:r>
      <w:r w:rsidR="00916600">
        <w:rPr>
          <w:rStyle w:val="FootnoteReference"/>
          <w:sz w:val="28"/>
          <w:rtl/>
        </w:rPr>
        <w:footnoteReference w:id="4"/>
      </w:r>
      <w:r w:rsidRPr="00041B13">
        <w:rPr>
          <w:rFonts w:hint="cs"/>
          <w:sz w:val="28"/>
          <w:rtl/>
        </w:rPr>
        <w:t xml:space="preserve"> فرموده است این کلام شما خلاف ظاهر روایت است. حضرت در جواب سائل فرمود </w:t>
      </w:r>
      <w:r w:rsidR="00941CFB">
        <w:rPr>
          <w:rFonts w:hint="cs"/>
          <w:color w:val="008000"/>
          <w:sz w:val="28"/>
          <w:rtl/>
        </w:rPr>
        <w:t>«</w:t>
      </w:r>
      <w:r w:rsidRPr="00916600">
        <w:rPr>
          <w:color w:val="008000"/>
          <w:sz w:val="28"/>
          <w:rtl/>
        </w:rPr>
        <w:t>هذان معتديان</w:t>
      </w:r>
      <w:r w:rsidRPr="00916600">
        <w:rPr>
          <w:rFonts w:hint="cs"/>
          <w:color w:val="008000"/>
          <w:sz w:val="28"/>
          <w:rtl/>
        </w:rPr>
        <w:t xml:space="preserve">» </w:t>
      </w:r>
      <w:r w:rsidRPr="00041B13">
        <w:rPr>
          <w:rFonts w:hint="cs"/>
          <w:sz w:val="28"/>
          <w:rtl/>
        </w:rPr>
        <w:t>و اگر اعتداد شد دیگر خطا نیست به دلیل اینکه اگر</w:t>
      </w:r>
      <w:r w:rsidR="00941CFB">
        <w:rPr>
          <w:rFonts w:hint="cs"/>
          <w:sz w:val="28"/>
          <w:rtl/>
        </w:rPr>
        <w:t xml:space="preserve"> فعل او خطاست دیگر اعتداد نیست.</w:t>
      </w:r>
    </w:p>
    <w:p w:rsidR="00BC4647" w:rsidRPr="00041B13" w:rsidRDefault="00BC4647" w:rsidP="00916600">
      <w:pPr>
        <w:pStyle w:val="Heading1"/>
        <w:rPr>
          <w:rtl/>
        </w:rPr>
      </w:pPr>
      <w:bookmarkStart w:id="6" w:name="_Toc534773941"/>
      <w:r w:rsidRPr="00041B13">
        <w:rPr>
          <w:rFonts w:hint="cs"/>
          <w:rtl/>
        </w:rPr>
        <w:t>تشکیک علامه در دلالت روایات خاصه</w:t>
      </w:r>
      <w:bookmarkEnd w:id="6"/>
    </w:p>
    <w:p w:rsidR="00BC4647" w:rsidRPr="00041B13" w:rsidRDefault="00BC4647" w:rsidP="00BC4647">
      <w:pPr>
        <w:jc w:val="both"/>
        <w:rPr>
          <w:sz w:val="28"/>
          <w:rtl/>
        </w:rPr>
      </w:pPr>
      <w:r w:rsidRPr="00041B13">
        <w:rPr>
          <w:rFonts w:hint="cs"/>
          <w:sz w:val="28"/>
          <w:rtl/>
        </w:rPr>
        <w:t>مرحوم علامه</w:t>
      </w:r>
      <w:r w:rsidR="006C5EFA">
        <w:rPr>
          <w:rStyle w:val="FootnoteReference"/>
          <w:sz w:val="28"/>
          <w:rtl/>
        </w:rPr>
        <w:footnoteReference w:id="5"/>
      </w:r>
      <w:r w:rsidRPr="00041B13">
        <w:rPr>
          <w:rFonts w:hint="cs"/>
          <w:sz w:val="28"/>
          <w:rtl/>
        </w:rPr>
        <w:t xml:space="preserve"> در مختلف تشکیکی در مقام مطرح کرده است و آن هم اینکه فرض روایت مقام دفاع است به دلیل اینکه شخص مقتول با کلنگ</w:t>
      </w:r>
      <w:r w:rsidR="000E2803">
        <w:rPr>
          <w:rFonts w:hint="cs"/>
          <w:sz w:val="28"/>
          <w:rtl/>
        </w:rPr>
        <w:t xml:space="preserve"> ( معول)</w:t>
      </w:r>
      <w:r w:rsidRPr="00041B13">
        <w:rPr>
          <w:rFonts w:hint="cs"/>
          <w:sz w:val="28"/>
          <w:rtl/>
        </w:rPr>
        <w:t xml:space="preserve"> به او حمله کرده بود و بر سر او زد و او را نابینا کرد و او هم در دفاع از خودش ضربه ای زد که منجر به قتل شد و در فرض دفاع از نفس قصاص ثابت نیست پس نمی توان به موارد غیر دفاع حکم را سرایت داد در نتیجه در موارد غیر دفاع تمسک به عمومات و اطلاقات می کنیم.</w:t>
      </w:r>
    </w:p>
    <w:p w:rsidR="00BC4647" w:rsidRPr="00041B13" w:rsidRDefault="00BC4647" w:rsidP="006C5EFA">
      <w:pPr>
        <w:pStyle w:val="Heading2"/>
        <w:rPr>
          <w:rtl/>
        </w:rPr>
      </w:pPr>
      <w:bookmarkStart w:id="7" w:name="_Toc534773942"/>
      <w:r w:rsidRPr="00041B13">
        <w:rPr>
          <w:rFonts w:hint="cs"/>
          <w:rtl/>
        </w:rPr>
        <w:t>اشکال صاحب جواهر به علامه</w:t>
      </w:r>
      <w:bookmarkEnd w:id="7"/>
    </w:p>
    <w:p w:rsidR="00BC4647" w:rsidRPr="00041B13" w:rsidRDefault="00BC4647" w:rsidP="000E2803">
      <w:pPr>
        <w:jc w:val="both"/>
        <w:rPr>
          <w:sz w:val="28"/>
          <w:rtl/>
        </w:rPr>
      </w:pPr>
      <w:r w:rsidRPr="00041B13">
        <w:rPr>
          <w:rFonts w:hint="cs"/>
          <w:sz w:val="28"/>
          <w:rtl/>
        </w:rPr>
        <w:t xml:space="preserve">این کلام هم خلاف ظاهر روایت است به دلیل اینکه اگر در مقام دفاع باشد دیگر اعتداد معنا ندارد در حالی که حضرت فرمود </w:t>
      </w:r>
      <w:r w:rsidRPr="006C5EFA">
        <w:rPr>
          <w:rFonts w:hint="cs"/>
          <w:color w:val="008000"/>
          <w:sz w:val="28"/>
          <w:rtl/>
        </w:rPr>
        <w:t xml:space="preserve">« </w:t>
      </w:r>
      <w:r w:rsidRPr="006C5EFA">
        <w:rPr>
          <w:color w:val="008000"/>
          <w:sz w:val="28"/>
          <w:rtl/>
        </w:rPr>
        <w:t>هذان معتديان</w:t>
      </w:r>
      <w:r w:rsidRPr="006C5EFA">
        <w:rPr>
          <w:rFonts w:hint="cs"/>
          <w:color w:val="008000"/>
          <w:sz w:val="28"/>
          <w:rtl/>
        </w:rPr>
        <w:t xml:space="preserve"> »</w:t>
      </w:r>
      <w:r w:rsidRPr="00041B13">
        <w:rPr>
          <w:rFonts w:hint="cs"/>
          <w:sz w:val="28"/>
          <w:rtl/>
        </w:rPr>
        <w:t xml:space="preserve"> و دیگر اینکه اگر در مقام دفاع باشد دیگر دیه نباید ثابت شود.</w:t>
      </w:r>
    </w:p>
    <w:p w:rsidR="00BC4647" w:rsidRPr="00041B13" w:rsidRDefault="00BC4647" w:rsidP="006C5EFA">
      <w:pPr>
        <w:pStyle w:val="Heading1"/>
        <w:rPr>
          <w:rtl/>
        </w:rPr>
      </w:pPr>
      <w:bookmarkStart w:id="8" w:name="_Toc534773943"/>
      <w:r w:rsidRPr="00041B13">
        <w:rPr>
          <w:rFonts w:hint="cs"/>
          <w:rtl/>
        </w:rPr>
        <w:t>نتیجه‌ی صاحب جواهر در قصاص اعمی</w:t>
      </w:r>
      <w:bookmarkEnd w:id="8"/>
    </w:p>
    <w:p w:rsidR="00BC4647" w:rsidRPr="00041B13" w:rsidRDefault="00BC4647" w:rsidP="006C5EFA">
      <w:pPr>
        <w:jc w:val="both"/>
        <w:rPr>
          <w:sz w:val="28"/>
          <w:rtl/>
        </w:rPr>
      </w:pPr>
      <w:r w:rsidRPr="00041B13">
        <w:rPr>
          <w:rFonts w:hint="cs"/>
          <w:sz w:val="28"/>
          <w:rtl/>
        </w:rPr>
        <w:t>مرحوم صاحب جواهر بعد از اینکه مفاد این روایات را عدم ثبوت قصاص می داند و م</w:t>
      </w:r>
      <w:r w:rsidR="00F75014">
        <w:rPr>
          <w:rFonts w:hint="cs"/>
          <w:sz w:val="28"/>
          <w:rtl/>
        </w:rPr>
        <w:t>شکل سندی هم حل می کند و به اشکا</w:t>
      </w:r>
      <w:r w:rsidRPr="00041B13">
        <w:rPr>
          <w:rFonts w:hint="cs"/>
          <w:sz w:val="28"/>
          <w:rtl/>
        </w:rPr>
        <w:t xml:space="preserve">لات شهید ثانی و دیگر فقها پاسخ می دهد در انتها می فرماید </w:t>
      </w:r>
      <w:r w:rsidR="0076618C">
        <w:rPr>
          <w:rFonts w:hint="cs"/>
          <w:color w:val="000080"/>
          <w:sz w:val="28"/>
          <w:rtl/>
        </w:rPr>
        <w:t>«</w:t>
      </w:r>
      <w:r w:rsidRPr="006C5EFA">
        <w:rPr>
          <w:color w:val="000080"/>
          <w:sz w:val="28"/>
          <w:rtl/>
        </w:rPr>
        <w:t xml:space="preserve">ولكن الانصاف مع ذلك كله عدم الجرأة بها على تخصيص </w:t>
      </w:r>
      <w:r w:rsidRPr="006C5EFA">
        <w:rPr>
          <w:color w:val="000080"/>
          <w:sz w:val="28"/>
          <w:rtl/>
        </w:rPr>
        <w:lastRenderedPageBreak/>
        <w:t>العمومات بعد مخالفة المتأخرين واحتمال إرادة أن الأعمى غالبا لا يعلم تعمده إلا بإقراره منها</w:t>
      </w:r>
      <w:r w:rsidRPr="006C5EFA">
        <w:rPr>
          <w:rFonts w:hint="cs"/>
          <w:color w:val="000080"/>
          <w:sz w:val="28"/>
          <w:rtl/>
        </w:rPr>
        <w:t>»</w:t>
      </w:r>
      <w:r w:rsidRPr="00041B13">
        <w:rPr>
          <w:rFonts w:hint="cs"/>
          <w:sz w:val="28"/>
          <w:rtl/>
        </w:rPr>
        <w:t xml:space="preserve"> ایشان استدلال به روایت حلبی را در مقام تمام نمی داند به دلیل اینکه شاید مفاد این روایت این است که عدم ثبوت قصاص که در این روایت </w:t>
      </w:r>
      <w:r w:rsidR="006C5EFA">
        <w:rPr>
          <w:rFonts w:hint="cs"/>
          <w:sz w:val="28"/>
          <w:rtl/>
        </w:rPr>
        <w:t xml:space="preserve">آمده </w:t>
      </w:r>
      <w:r w:rsidRPr="00041B13">
        <w:rPr>
          <w:rFonts w:hint="cs"/>
          <w:sz w:val="28"/>
          <w:rtl/>
        </w:rPr>
        <w:t>مال موردی است که قتل خطایی باشد و اگر در همین فرض روایت</w:t>
      </w:r>
      <w:r w:rsidR="006C5EFA">
        <w:rPr>
          <w:rFonts w:hint="cs"/>
          <w:sz w:val="28"/>
          <w:rtl/>
        </w:rPr>
        <w:t>،</w:t>
      </w:r>
      <w:r w:rsidRPr="00041B13">
        <w:rPr>
          <w:rFonts w:hint="cs"/>
          <w:sz w:val="28"/>
          <w:rtl/>
        </w:rPr>
        <w:t xml:space="preserve"> شخص بصیر چنین کاری را کرده بود حتما عمد می بود ولی در مورد اعمی احراز عمدی بودن نمی</w:t>
      </w:r>
      <w:r w:rsidR="006C5EFA">
        <w:rPr>
          <w:rFonts w:hint="cs"/>
          <w:sz w:val="28"/>
          <w:rtl/>
        </w:rPr>
        <w:t xml:space="preserve"> </w:t>
      </w:r>
      <w:r w:rsidRPr="00041B13">
        <w:rPr>
          <w:rFonts w:hint="cs"/>
          <w:sz w:val="28"/>
          <w:rtl/>
        </w:rPr>
        <w:t>توان کرد چون امری است که از جانب خود شخص دانسته می شود. کأنّ بیان ایشان این است که آن چیزی که از بصیر صادر می شود و عمد محسوب می شود اگر از اعمی صادر شود احراز عمدیت نمی شود. در نتیجه از عمومات و اطلاقات قصاص نمی توان رفع ید کرد و این ادله صلاحیت برای تقیید ندارند و در حکم قصاص فرقی بین اعمی و غیره نیست.</w:t>
      </w:r>
    </w:p>
    <w:p w:rsidR="00BC4647" w:rsidRPr="00041B13" w:rsidRDefault="00BC4647" w:rsidP="006C5EFA">
      <w:pPr>
        <w:pStyle w:val="Heading1"/>
        <w:rPr>
          <w:rtl/>
        </w:rPr>
      </w:pPr>
      <w:bookmarkStart w:id="9" w:name="_Toc534773944"/>
      <w:r w:rsidRPr="00041B13">
        <w:rPr>
          <w:rFonts w:hint="cs"/>
          <w:rtl/>
        </w:rPr>
        <w:t>کلام مرحوم خوانساری در بحث قصاص اعمی</w:t>
      </w:r>
      <w:bookmarkEnd w:id="9"/>
    </w:p>
    <w:p w:rsidR="00BC4647" w:rsidRPr="00041B13" w:rsidRDefault="00BC4647" w:rsidP="00C03755">
      <w:pPr>
        <w:jc w:val="both"/>
        <w:rPr>
          <w:rFonts w:ascii="Noor_Lotus" w:eastAsia="Times New Roman" w:hAnsi="Noor_Lotus"/>
          <w:sz w:val="28"/>
        </w:rPr>
      </w:pPr>
      <w:r w:rsidRPr="00041B13">
        <w:rPr>
          <w:rFonts w:hint="cs"/>
          <w:sz w:val="28"/>
          <w:rtl/>
        </w:rPr>
        <w:t>مرحوم سید احمد خوانساری</w:t>
      </w:r>
      <w:r w:rsidR="0059347D">
        <w:rPr>
          <w:rStyle w:val="FootnoteReference"/>
          <w:sz w:val="28"/>
          <w:rtl/>
        </w:rPr>
        <w:footnoteReference w:id="6"/>
      </w:r>
      <w:r w:rsidRPr="00041B13">
        <w:rPr>
          <w:rFonts w:hint="cs"/>
          <w:sz w:val="28"/>
          <w:rtl/>
        </w:rPr>
        <w:t xml:space="preserve"> روایت حلبی را در مقام به نحو دیگری رد کرده است. ایشان می فرماید ادله‌ی ثبوت قصاص در موارد جنایت عمدی دو قسم است. برخی از ادله ابتداء از امام صادر شده و یا آیه ای از آیات می باشد و در جواب سؤالی نیستند</w:t>
      </w:r>
      <w:r w:rsidR="00BB6E4B">
        <w:rPr>
          <w:rFonts w:hint="cs"/>
          <w:sz w:val="28"/>
          <w:rtl/>
        </w:rPr>
        <w:t>،</w:t>
      </w:r>
      <w:r w:rsidRPr="00041B13">
        <w:rPr>
          <w:rFonts w:hint="cs"/>
          <w:sz w:val="28"/>
          <w:rtl/>
        </w:rPr>
        <w:t xml:space="preserve"> این اطلاقات قابلیت برای تقیید دارند. ولی اطلاقاتی هم در مقام داریم که در جواب سؤال سائلی صادر ش</w:t>
      </w:r>
      <w:r w:rsidR="001C4FE8">
        <w:rPr>
          <w:rFonts w:hint="cs"/>
          <w:sz w:val="28"/>
          <w:rtl/>
        </w:rPr>
        <w:t>ده است مثلا در روایت آمده است</w:t>
      </w:r>
      <w:r w:rsidR="00F236F3">
        <w:rPr>
          <w:rFonts w:hint="cs"/>
          <w:sz w:val="28"/>
          <w:rtl/>
        </w:rPr>
        <w:t>:</w:t>
      </w:r>
      <w:r w:rsidR="001C4FE8">
        <w:rPr>
          <w:rFonts w:hint="cs"/>
          <w:sz w:val="28"/>
          <w:rtl/>
        </w:rPr>
        <w:t xml:space="preserve"> «</w:t>
      </w:r>
      <w:r w:rsidR="00BB6E4B" w:rsidRPr="00F817E4">
        <w:rPr>
          <w:rFonts w:ascii="Noor_Lotus" w:eastAsia="Times New Roman" w:hAnsi="Noor_Lotus" w:hint="cs"/>
          <w:color w:val="008000"/>
          <w:sz w:val="28"/>
          <w:rtl/>
        </w:rPr>
        <w:t>قال</w:t>
      </w:r>
      <w:r w:rsidR="00F817E4" w:rsidRPr="00F817E4">
        <w:rPr>
          <w:rFonts w:ascii="Noor_Lotus" w:eastAsia="Times New Roman" w:hAnsi="Noor_Lotus" w:hint="cs"/>
          <w:color w:val="008000"/>
          <w:sz w:val="28"/>
          <w:rtl/>
        </w:rPr>
        <w:t xml:space="preserve"> </w:t>
      </w:r>
      <w:r w:rsidRPr="00F817E4">
        <w:rPr>
          <w:rFonts w:ascii="Noor_Lotus" w:eastAsia="Times New Roman" w:hAnsi="Noor_Lotus" w:hint="cs"/>
          <w:color w:val="008000"/>
          <w:sz w:val="28"/>
          <w:rtl/>
        </w:rPr>
        <w:t>في الرّجل يقتل المرأة متعمّدا فأراد أولياء المرأة أن يقتلوه قال: ذلك لهم إذا أدّوا إلى أهله نصف الدّية و إن قبلوا الدّية فلهم نصف دية الرّجل و إن قتلت المرأة الرّجل، قتلت به ليس لهم إلّا نفسها</w:t>
      </w:r>
      <w:r w:rsidRPr="00041B13">
        <w:rPr>
          <w:rFonts w:ascii="Noor_Lotus" w:eastAsia="Times New Roman" w:hAnsi="Noor_Lotus" w:hint="cs"/>
          <w:sz w:val="28"/>
          <w:rtl/>
        </w:rPr>
        <w:t>»</w:t>
      </w:r>
      <w:r w:rsidR="00C03755">
        <w:rPr>
          <w:rStyle w:val="FootnoteReference"/>
          <w:rFonts w:ascii="Noor_Lotus" w:eastAsia="Times New Roman" w:hAnsi="Noor_Lotus"/>
          <w:sz w:val="28"/>
        </w:rPr>
        <w:footnoteReference w:id="7"/>
      </w:r>
    </w:p>
    <w:p w:rsidR="00BC4647" w:rsidRPr="00041B13" w:rsidRDefault="00BC4647" w:rsidP="00266CCF">
      <w:pPr>
        <w:jc w:val="both"/>
        <w:rPr>
          <w:sz w:val="28"/>
          <w:rtl/>
        </w:rPr>
      </w:pPr>
      <w:r w:rsidRPr="00041B13">
        <w:rPr>
          <w:rFonts w:hint="cs"/>
          <w:sz w:val="28"/>
          <w:rtl/>
        </w:rPr>
        <w:t xml:space="preserve"> این گونه اطلاقات تقیید بردار نیستند به دلیل اینکه حضرت تفصیل ندادند که زوج اعمی بوده یا نه که اگر قاتل اعمی باشد و حضرت در مقام جواب که یک قضیه‌ی </w:t>
      </w:r>
      <w:r w:rsidR="00940ED6">
        <w:rPr>
          <w:rFonts w:hint="cs"/>
          <w:sz w:val="28"/>
          <w:rtl/>
        </w:rPr>
        <w:t>خارجیه</w:t>
      </w:r>
      <w:r w:rsidRPr="00041B13">
        <w:rPr>
          <w:rFonts w:hint="cs"/>
          <w:sz w:val="28"/>
          <w:rtl/>
        </w:rPr>
        <w:t xml:space="preserve"> هم بوده است تفصیل نداده باشند و قتل اعمی موجب قصاص هم نباشد اغراء به جهل کرده اند و منجر به قتل شخصی که مستحق قصاص نبوده است</w:t>
      </w:r>
      <w:r w:rsidR="00F817E4">
        <w:rPr>
          <w:rFonts w:hint="cs"/>
          <w:sz w:val="28"/>
          <w:rtl/>
        </w:rPr>
        <w:t>،</w:t>
      </w:r>
      <w:r w:rsidRPr="00041B13">
        <w:rPr>
          <w:rFonts w:hint="cs"/>
          <w:sz w:val="28"/>
          <w:rtl/>
        </w:rPr>
        <w:t xml:space="preserve"> شده اند. این اطلاق</w:t>
      </w:r>
      <w:r w:rsidR="00F817E4">
        <w:rPr>
          <w:rFonts w:hint="cs"/>
          <w:sz w:val="28"/>
          <w:rtl/>
        </w:rPr>
        <w:t>،</w:t>
      </w:r>
      <w:r w:rsidRPr="00041B13">
        <w:rPr>
          <w:rFonts w:hint="cs"/>
          <w:sz w:val="28"/>
          <w:rtl/>
        </w:rPr>
        <w:t xml:space="preserve"> اطلاق ترک استفصالی است نه اینکه اطلاق در مقام جعل قانون</w:t>
      </w:r>
      <w:r w:rsidR="00F817E4">
        <w:rPr>
          <w:rFonts w:hint="cs"/>
          <w:sz w:val="28"/>
          <w:rtl/>
        </w:rPr>
        <w:t xml:space="preserve"> باشد</w:t>
      </w:r>
      <w:r w:rsidRPr="00041B13">
        <w:rPr>
          <w:rFonts w:hint="cs"/>
          <w:sz w:val="28"/>
          <w:rtl/>
        </w:rPr>
        <w:t>. در مقام جعل قانون اگر قانو</w:t>
      </w:r>
      <w:r w:rsidR="007A0059">
        <w:rPr>
          <w:rFonts w:hint="cs"/>
          <w:sz w:val="28"/>
          <w:rtl/>
        </w:rPr>
        <w:t xml:space="preserve">ن </w:t>
      </w:r>
      <w:r w:rsidRPr="00041B13">
        <w:rPr>
          <w:rFonts w:hint="cs"/>
          <w:sz w:val="28"/>
          <w:rtl/>
        </w:rPr>
        <w:t>گذار قانونی را وضع نماید و آن قانون ع</w:t>
      </w:r>
      <w:r w:rsidR="007A0059">
        <w:rPr>
          <w:rFonts w:hint="cs"/>
          <w:sz w:val="28"/>
          <w:rtl/>
        </w:rPr>
        <w:t>مومیت داشته</w:t>
      </w:r>
      <w:r w:rsidRPr="00041B13">
        <w:rPr>
          <w:rFonts w:hint="cs"/>
          <w:sz w:val="28"/>
          <w:rtl/>
        </w:rPr>
        <w:t xml:space="preserve"> باشد باید فحص از مخصص و مقید صورت بگیرد و جواز عمل به قانون عام بدون فحص کردن جایز نمی باشد.</w:t>
      </w:r>
      <w:r w:rsidR="007A0059">
        <w:rPr>
          <w:rFonts w:hint="cs"/>
          <w:sz w:val="28"/>
          <w:rtl/>
        </w:rPr>
        <w:t xml:space="preserve"> </w:t>
      </w:r>
      <w:r w:rsidRPr="00041B13">
        <w:rPr>
          <w:rFonts w:hint="cs"/>
          <w:sz w:val="28"/>
          <w:rtl/>
        </w:rPr>
        <w:t xml:space="preserve">اما در جایی که قضیه‌ی </w:t>
      </w:r>
      <w:r w:rsidR="00266CCF">
        <w:rPr>
          <w:rFonts w:hint="cs"/>
          <w:sz w:val="28"/>
          <w:rtl/>
        </w:rPr>
        <w:t>خارجیه</w:t>
      </w:r>
      <w:r w:rsidRPr="00041B13">
        <w:rPr>
          <w:rFonts w:hint="cs"/>
          <w:sz w:val="28"/>
          <w:rtl/>
        </w:rPr>
        <w:t xml:space="preserve"> باشد و مقام جعل قانون نیست و از یک وظیفه‌ی فعلی سؤال می کنند اطلاق کلام و ترک استفصال این </w:t>
      </w:r>
      <w:r w:rsidRPr="00041B13">
        <w:rPr>
          <w:rFonts w:hint="cs"/>
          <w:sz w:val="28"/>
          <w:rtl/>
        </w:rPr>
        <w:lastRenderedPageBreak/>
        <w:t>عموم را کالنص می کند و قابلیت تقیید ندارد و نیاز به فحص هم ندارد. این اطلاق به نکته‌ی ترک استفصال، قضیه‌ی خارجیه بوده است و حضرت هم تفصیلی بین اعمی و غیره نداد. در نتیجه حکم اعمی و غیره واحد است و قصاص ثابت است.</w:t>
      </w:r>
    </w:p>
    <w:p w:rsidR="00BC4647" w:rsidRPr="00041B13" w:rsidRDefault="00BC4647" w:rsidP="00464680">
      <w:pPr>
        <w:pStyle w:val="Heading2"/>
      </w:pPr>
      <w:bookmarkStart w:id="10" w:name="_Toc534773945"/>
      <w:r w:rsidRPr="00041B13">
        <w:rPr>
          <w:rFonts w:hint="cs"/>
          <w:rtl/>
        </w:rPr>
        <w:t>اشکال استاد به مرحوم خوانساری</w:t>
      </w:r>
      <w:bookmarkEnd w:id="10"/>
    </w:p>
    <w:p w:rsidR="001A1EA5" w:rsidRPr="007F46A2" w:rsidRDefault="00BC4647" w:rsidP="008A4198">
      <w:pPr>
        <w:jc w:val="both"/>
        <w:rPr>
          <w:sz w:val="28"/>
          <w:rtl/>
        </w:rPr>
      </w:pPr>
      <w:r w:rsidRPr="00464680">
        <w:rPr>
          <w:rFonts w:hint="cs"/>
          <w:sz w:val="28"/>
          <w:highlight w:val="yellow"/>
          <w:rtl/>
        </w:rPr>
        <w:t>اشکال کبروی</w:t>
      </w:r>
      <w:r w:rsidR="002675A5">
        <w:rPr>
          <w:rFonts w:hint="cs"/>
          <w:sz w:val="28"/>
          <w:rtl/>
        </w:rPr>
        <w:t xml:space="preserve"> </w:t>
      </w:r>
      <w:r w:rsidRPr="00041B13">
        <w:rPr>
          <w:rFonts w:hint="cs"/>
          <w:sz w:val="28"/>
          <w:rtl/>
        </w:rPr>
        <w:t>که به شما می شود این است که در روایت</w:t>
      </w:r>
      <w:r w:rsidR="00464680">
        <w:rPr>
          <w:rFonts w:hint="cs"/>
          <w:sz w:val="28"/>
          <w:rtl/>
        </w:rPr>
        <w:t>،</w:t>
      </w:r>
      <w:r w:rsidRPr="00041B13">
        <w:rPr>
          <w:rFonts w:hint="cs"/>
          <w:sz w:val="28"/>
          <w:rtl/>
        </w:rPr>
        <w:t xml:space="preserve"> حضرت تفصیلی بین اینکه قاتل و مقتول مسلمان باشند یا نه هم نداده </w:t>
      </w:r>
      <w:r w:rsidR="00464680">
        <w:rPr>
          <w:rFonts w:hint="cs"/>
          <w:sz w:val="28"/>
          <w:rtl/>
        </w:rPr>
        <w:t xml:space="preserve">است </w:t>
      </w:r>
      <w:r w:rsidRPr="00041B13">
        <w:rPr>
          <w:rFonts w:hint="cs"/>
          <w:sz w:val="28"/>
          <w:rtl/>
        </w:rPr>
        <w:t>پس لازمه‌ی کلام شما این هست که اگر زن مسلمان نباشد و شوهر او مسلمان باشد هم قصاص ثابت است. اشکال صغروی هم این است که معظم روایات صادره در مقام جعل قانون بوده و قضیه‌ی حقیقیه می باشد و در مواردی هم که روات سؤال کرده اند هر</w:t>
      </w:r>
      <w:r w:rsidR="008A4198">
        <w:rPr>
          <w:rFonts w:hint="cs"/>
          <w:sz w:val="28"/>
          <w:rtl/>
        </w:rPr>
        <w:t xml:space="preserve"> </w:t>
      </w:r>
      <w:r w:rsidRPr="00041B13">
        <w:rPr>
          <w:rFonts w:hint="cs"/>
          <w:sz w:val="28"/>
          <w:rtl/>
        </w:rPr>
        <w:t xml:space="preserve">چند قضیه </w:t>
      </w:r>
      <w:r w:rsidR="008A4198">
        <w:rPr>
          <w:rFonts w:hint="cs"/>
          <w:sz w:val="28"/>
          <w:rtl/>
        </w:rPr>
        <w:t>خارجیه</w:t>
      </w:r>
      <w:r w:rsidRPr="00041B13">
        <w:rPr>
          <w:rFonts w:hint="cs"/>
          <w:sz w:val="28"/>
          <w:rtl/>
        </w:rPr>
        <w:t xml:space="preserve"> بوده ولی می خواسته اند حکم کلی قضیه را بدانند و مورد سؤال کأنّ یک داعی برای رسیدن به حکم بوده است. پس صغرویا هم بخواهید اطلاقات قصاص را حمل بر قضیه‌ی شخصیه کنید موجبی ندارد. مشکل ترک استفصال هم تأخیر بیان از وقت حاجت است که هر جوابی از اطلاقات دیگر دادید اینجا هم می آید. و</w:t>
      </w:r>
      <w:r w:rsidR="00D6776F">
        <w:rPr>
          <w:rFonts w:hint="cs"/>
          <w:sz w:val="28"/>
          <w:rtl/>
        </w:rPr>
        <w:t xml:space="preserve"> </w:t>
      </w:r>
      <w:r w:rsidRPr="00041B13">
        <w:rPr>
          <w:rFonts w:hint="cs"/>
          <w:sz w:val="28"/>
          <w:rtl/>
        </w:rPr>
        <w:t>الحمد لله رب العالمین</w:t>
      </w:r>
      <w:r w:rsidR="00464680">
        <w:rPr>
          <w:rFonts w:hint="cs"/>
          <w:sz w:val="28"/>
          <w:rtl/>
        </w:rPr>
        <w:t>.</w:t>
      </w:r>
    </w:p>
    <w:sectPr w:rsidR="001A1EA5" w:rsidRPr="007F46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A98" w:rsidRDefault="00195A98" w:rsidP="008B750B">
      <w:pPr>
        <w:spacing w:line="240" w:lineRule="auto"/>
      </w:pPr>
      <w:r>
        <w:separator/>
      </w:r>
    </w:p>
  </w:endnote>
  <w:endnote w:type="continuationSeparator" w:id="0">
    <w:p w:rsidR="00195A98" w:rsidRDefault="00195A9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75668" w:rsidRPr="0017566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30110" w:rsidP="001B6799">
          <w:pPr>
            <w:pStyle w:val="Footer"/>
            <w:bidi w:val="0"/>
            <w:rPr>
              <w:color w:val="808080" w:themeColor="background1" w:themeShade="80"/>
              <w:rtl/>
            </w:rPr>
          </w:pPr>
          <w:bookmarkStart w:id="18" w:name="BokAdres"/>
          <w:bookmarkEnd w:id="18"/>
          <w:r>
            <w:rPr>
              <w:color w:val="808080" w:themeColor="background1" w:themeShade="80"/>
            </w:rPr>
            <w:t>F1mq1_13971018-061_mk4_mfeb.ir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A98" w:rsidRDefault="00195A98" w:rsidP="008B750B">
      <w:pPr>
        <w:spacing w:line="240" w:lineRule="auto"/>
      </w:pPr>
      <w:r>
        <w:separator/>
      </w:r>
    </w:p>
  </w:footnote>
  <w:footnote w:type="continuationSeparator" w:id="0">
    <w:p w:rsidR="00195A98" w:rsidRDefault="00195A98" w:rsidP="008B750B">
      <w:pPr>
        <w:spacing w:line="240" w:lineRule="auto"/>
      </w:pPr>
      <w:r>
        <w:continuationSeparator/>
      </w:r>
    </w:p>
  </w:footnote>
  <w:footnote w:id="1">
    <w:p w:rsidR="00F0776A" w:rsidRPr="00F0776A" w:rsidRDefault="00F0776A" w:rsidP="00F0776A">
      <w:pPr>
        <w:pStyle w:val="FootnoteText"/>
      </w:pPr>
      <w:r w:rsidRPr="00F0776A">
        <w:footnoteRef/>
      </w:r>
      <w:r w:rsidRPr="00F0776A">
        <w:rPr>
          <w:rtl/>
        </w:rPr>
        <w:t xml:space="preserve"> </w:t>
      </w:r>
      <w:hyperlink r:id="rId1" w:history="1">
        <w:r w:rsidRPr="00F0776A">
          <w:rPr>
            <w:rStyle w:val="Hyperlink"/>
            <w:rFonts w:hint="cs"/>
            <w:rtl/>
          </w:rPr>
          <w:t>مسالک</w:t>
        </w:r>
        <w:r w:rsidRPr="00F0776A">
          <w:rPr>
            <w:rStyle w:val="Hyperlink"/>
            <w:rtl/>
          </w:rPr>
          <w:t xml:space="preserve"> </w:t>
        </w:r>
        <w:r w:rsidRPr="00F0776A">
          <w:rPr>
            <w:rStyle w:val="Hyperlink"/>
            <w:rFonts w:hint="cs"/>
            <w:rtl/>
          </w:rPr>
          <w:t>الأفهام</w:t>
        </w:r>
        <w:r w:rsidRPr="00F0776A">
          <w:rPr>
            <w:rStyle w:val="Hyperlink"/>
            <w:rtl/>
          </w:rPr>
          <w:t xml:space="preserve"> </w:t>
        </w:r>
        <w:r w:rsidRPr="00F0776A">
          <w:rPr>
            <w:rStyle w:val="Hyperlink"/>
            <w:rFonts w:hint="cs"/>
            <w:rtl/>
          </w:rPr>
          <w:t>إلی</w:t>
        </w:r>
        <w:r w:rsidRPr="00F0776A">
          <w:rPr>
            <w:rStyle w:val="Hyperlink"/>
            <w:rtl/>
          </w:rPr>
          <w:t xml:space="preserve"> </w:t>
        </w:r>
        <w:r w:rsidRPr="00F0776A">
          <w:rPr>
            <w:rStyle w:val="Hyperlink"/>
            <w:rFonts w:hint="cs"/>
            <w:rtl/>
          </w:rPr>
          <w:t>تنقیح</w:t>
        </w:r>
        <w:r w:rsidRPr="00F0776A">
          <w:rPr>
            <w:rStyle w:val="Hyperlink"/>
            <w:rtl/>
          </w:rPr>
          <w:t xml:space="preserve"> </w:t>
        </w:r>
        <w:r w:rsidRPr="00F0776A">
          <w:rPr>
            <w:rStyle w:val="Hyperlink"/>
            <w:rFonts w:hint="cs"/>
            <w:rtl/>
          </w:rPr>
          <w:t>شرائع</w:t>
        </w:r>
        <w:r w:rsidRPr="00F0776A">
          <w:rPr>
            <w:rStyle w:val="Hyperlink"/>
            <w:rtl/>
          </w:rPr>
          <w:t xml:space="preserve"> </w:t>
        </w:r>
        <w:r w:rsidRPr="00F0776A">
          <w:rPr>
            <w:rStyle w:val="Hyperlink"/>
            <w:rFonts w:hint="cs"/>
            <w:rtl/>
          </w:rPr>
          <w:t>الإسلام،</w:t>
        </w:r>
        <w:r w:rsidRPr="00F0776A">
          <w:rPr>
            <w:rStyle w:val="Hyperlink"/>
            <w:rtl/>
          </w:rPr>
          <w:t xml:space="preserve"> </w:t>
        </w:r>
        <w:r w:rsidRPr="00F0776A">
          <w:rPr>
            <w:rStyle w:val="Hyperlink"/>
            <w:rFonts w:hint="cs"/>
            <w:rtl/>
          </w:rPr>
          <w:t>زین</w:t>
        </w:r>
        <w:r w:rsidRPr="00F0776A">
          <w:rPr>
            <w:rStyle w:val="Hyperlink"/>
            <w:rtl/>
          </w:rPr>
          <w:t xml:space="preserve"> </w:t>
        </w:r>
        <w:r w:rsidRPr="00F0776A">
          <w:rPr>
            <w:rStyle w:val="Hyperlink"/>
            <w:rFonts w:hint="cs"/>
            <w:rtl/>
          </w:rPr>
          <w:t>الدین</w:t>
        </w:r>
        <w:r w:rsidRPr="00F0776A">
          <w:rPr>
            <w:rStyle w:val="Hyperlink"/>
            <w:rtl/>
          </w:rPr>
          <w:t xml:space="preserve"> </w:t>
        </w:r>
        <w:r w:rsidRPr="00F0776A">
          <w:rPr>
            <w:rStyle w:val="Hyperlink"/>
            <w:rFonts w:hint="cs"/>
            <w:rtl/>
          </w:rPr>
          <w:t>بن</w:t>
        </w:r>
        <w:r w:rsidRPr="00F0776A">
          <w:rPr>
            <w:rStyle w:val="Hyperlink"/>
            <w:rtl/>
          </w:rPr>
          <w:t xml:space="preserve"> </w:t>
        </w:r>
        <w:r w:rsidRPr="00F0776A">
          <w:rPr>
            <w:rStyle w:val="Hyperlink"/>
            <w:rFonts w:hint="cs"/>
            <w:rtl/>
          </w:rPr>
          <w:t>علی</w:t>
        </w:r>
        <w:r w:rsidRPr="00F0776A">
          <w:rPr>
            <w:rStyle w:val="Hyperlink"/>
            <w:rtl/>
          </w:rPr>
          <w:t xml:space="preserve"> </w:t>
        </w:r>
        <w:r w:rsidRPr="00F0776A">
          <w:rPr>
            <w:rStyle w:val="Hyperlink"/>
            <w:rFonts w:hint="cs"/>
            <w:rtl/>
          </w:rPr>
          <w:t>العاملی</w:t>
        </w:r>
        <w:r w:rsidRPr="00F0776A">
          <w:rPr>
            <w:rStyle w:val="Hyperlink"/>
            <w:rtl/>
          </w:rPr>
          <w:t xml:space="preserve"> (</w:t>
        </w:r>
        <w:r w:rsidRPr="00F0776A">
          <w:rPr>
            <w:rStyle w:val="Hyperlink"/>
            <w:rFonts w:hint="cs"/>
            <w:rtl/>
          </w:rPr>
          <w:t>الشهید</w:t>
        </w:r>
        <w:r w:rsidRPr="00F0776A">
          <w:rPr>
            <w:rStyle w:val="Hyperlink"/>
            <w:rtl/>
          </w:rPr>
          <w:t xml:space="preserve"> </w:t>
        </w:r>
        <w:r w:rsidRPr="00F0776A">
          <w:rPr>
            <w:rStyle w:val="Hyperlink"/>
            <w:rFonts w:hint="cs"/>
            <w:rtl/>
          </w:rPr>
          <w:t>الثانی</w:t>
        </w:r>
        <w:r w:rsidRPr="00F0776A">
          <w:rPr>
            <w:rStyle w:val="Hyperlink"/>
            <w:rtl/>
          </w:rPr>
          <w:t>)</w:t>
        </w:r>
        <w:r w:rsidRPr="00F0776A">
          <w:rPr>
            <w:rStyle w:val="Hyperlink"/>
            <w:rFonts w:hint="cs"/>
            <w:rtl/>
          </w:rPr>
          <w:t>،</w:t>
        </w:r>
        <w:r w:rsidRPr="00F0776A">
          <w:rPr>
            <w:rStyle w:val="Hyperlink"/>
            <w:rtl/>
          </w:rPr>
          <w:t xml:space="preserve"> </w:t>
        </w:r>
        <w:r w:rsidRPr="00F0776A">
          <w:rPr>
            <w:rStyle w:val="Hyperlink"/>
            <w:rFonts w:hint="cs"/>
            <w:rtl/>
          </w:rPr>
          <w:t>ج</w:t>
        </w:r>
        <w:r w:rsidRPr="00F0776A">
          <w:rPr>
            <w:rStyle w:val="Hyperlink"/>
            <w:rtl/>
          </w:rPr>
          <w:t>15</w:t>
        </w:r>
        <w:r w:rsidRPr="00F0776A">
          <w:rPr>
            <w:rStyle w:val="Hyperlink"/>
            <w:rFonts w:hint="cs"/>
            <w:rtl/>
          </w:rPr>
          <w:t>،</w:t>
        </w:r>
        <w:r w:rsidRPr="00F0776A">
          <w:rPr>
            <w:rStyle w:val="Hyperlink"/>
            <w:rtl/>
          </w:rPr>
          <w:t xml:space="preserve"> </w:t>
        </w:r>
        <w:r w:rsidRPr="00F0776A">
          <w:rPr>
            <w:rStyle w:val="Hyperlink"/>
            <w:rFonts w:hint="cs"/>
            <w:rtl/>
          </w:rPr>
          <w:t>ص</w:t>
        </w:r>
        <w:r w:rsidRPr="00F0776A">
          <w:rPr>
            <w:rStyle w:val="Hyperlink"/>
            <w:rtl/>
          </w:rPr>
          <w:t>168.</w:t>
        </w:r>
      </w:hyperlink>
    </w:p>
  </w:footnote>
  <w:footnote w:id="2">
    <w:p w:rsidR="00F0776A" w:rsidRPr="00F0776A" w:rsidRDefault="00F0776A" w:rsidP="009E5DA1">
      <w:pPr>
        <w:pStyle w:val="FootnoteText"/>
        <w:jc w:val="both"/>
      </w:pPr>
      <w:r w:rsidRPr="00F0776A">
        <w:footnoteRef/>
      </w:r>
      <w:r w:rsidRPr="00F0776A">
        <w:rPr>
          <w:rtl/>
        </w:rPr>
        <w:t xml:space="preserve"> </w:t>
      </w:r>
      <w:hyperlink r:id="rId2" w:history="1">
        <w:r w:rsidRPr="00F0776A">
          <w:rPr>
            <w:rStyle w:val="Hyperlink"/>
            <w:rFonts w:hint="cs"/>
            <w:rtl/>
          </w:rPr>
          <w:t>تهذیب</w:t>
        </w:r>
        <w:r w:rsidRPr="00F0776A">
          <w:rPr>
            <w:rStyle w:val="Hyperlink"/>
            <w:rtl/>
          </w:rPr>
          <w:t xml:space="preserve"> </w:t>
        </w:r>
        <w:r w:rsidRPr="00F0776A">
          <w:rPr>
            <w:rStyle w:val="Hyperlink"/>
            <w:rFonts w:hint="cs"/>
            <w:rtl/>
          </w:rPr>
          <w:t>الاحکام،</w:t>
        </w:r>
        <w:r w:rsidRPr="00F0776A">
          <w:rPr>
            <w:rStyle w:val="Hyperlink"/>
            <w:rtl/>
          </w:rPr>
          <w:t xml:space="preserve"> </w:t>
        </w:r>
        <w:r w:rsidRPr="00F0776A">
          <w:rPr>
            <w:rStyle w:val="Hyperlink"/>
            <w:rFonts w:hint="cs"/>
            <w:rtl/>
          </w:rPr>
          <w:t>شیخ</w:t>
        </w:r>
        <w:r w:rsidRPr="00F0776A">
          <w:rPr>
            <w:rStyle w:val="Hyperlink"/>
            <w:rtl/>
          </w:rPr>
          <w:t xml:space="preserve"> </w:t>
        </w:r>
        <w:r w:rsidRPr="00F0776A">
          <w:rPr>
            <w:rStyle w:val="Hyperlink"/>
            <w:rFonts w:hint="cs"/>
            <w:rtl/>
          </w:rPr>
          <w:t>طوسی،</w:t>
        </w:r>
        <w:r w:rsidRPr="00F0776A">
          <w:rPr>
            <w:rStyle w:val="Hyperlink"/>
            <w:rtl/>
          </w:rPr>
          <w:t xml:space="preserve"> </w:t>
        </w:r>
        <w:r w:rsidRPr="00F0776A">
          <w:rPr>
            <w:rStyle w:val="Hyperlink"/>
            <w:rFonts w:hint="cs"/>
            <w:rtl/>
          </w:rPr>
          <w:t>ج</w:t>
        </w:r>
        <w:r w:rsidRPr="00F0776A">
          <w:rPr>
            <w:rStyle w:val="Hyperlink"/>
            <w:rtl/>
          </w:rPr>
          <w:t>10</w:t>
        </w:r>
        <w:r w:rsidRPr="00F0776A">
          <w:rPr>
            <w:rStyle w:val="Hyperlink"/>
            <w:rFonts w:hint="cs"/>
            <w:rtl/>
          </w:rPr>
          <w:t>،</w:t>
        </w:r>
        <w:r w:rsidRPr="00F0776A">
          <w:rPr>
            <w:rStyle w:val="Hyperlink"/>
            <w:rtl/>
          </w:rPr>
          <w:t xml:space="preserve"> </w:t>
        </w:r>
        <w:r w:rsidRPr="00F0776A">
          <w:rPr>
            <w:rStyle w:val="Hyperlink"/>
            <w:rFonts w:hint="cs"/>
            <w:rtl/>
          </w:rPr>
          <w:t>ص</w:t>
        </w:r>
        <w:r w:rsidRPr="00F0776A">
          <w:rPr>
            <w:rStyle w:val="Hyperlink"/>
            <w:rtl/>
          </w:rPr>
          <w:t>232.</w:t>
        </w:r>
      </w:hyperlink>
      <w:r w:rsidR="009E5DA1" w:rsidRPr="009E5DA1">
        <w:rPr>
          <w:rFonts w:hint="cs"/>
          <w:sz w:val="28"/>
          <w:rtl/>
        </w:rPr>
        <w:t xml:space="preserve"> </w:t>
      </w:r>
      <w:r w:rsidR="009E5DA1" w:rsidRPr="00BD3E7F">
        <w:rPr>
          <w:rFonts w:hint="cs"/>
          <w:sz w:val="28"/>
          <w:rtl/>
        </w:rPr>
        <w:t xml:space="preserve">« </w:t>
      </w:r>
      <w:r w:rsidR="009E5DA1" w:rsidRPr="00BD3E7F">
        <w:rPr>
          <w:sz w:val="28"/>
          <w:rtl/>
        </w:rPr>
        <w:t>وروى العلاء ، عن محمد الحلبي قال :</w:t>
      </w:r>
      <w:r w:rsidR="009E5DA1" w:rsidRPr="00E15EC8">
        <w:rPr>
          <w:color w:val="008000"/>
          <w:sz w:val="28"/>
          <w:rtl/>
        </w:rPr>
        <w:t xml:space="preserve"> سألت أبا عبد الله</w:t>
      </w:r>
      <w:r w:rsidR="009E5DA1" w:rsidRPr="00E15EC8">
        <w:rPr>
          <w:color w:val="008000"/>
          <w:sz w:val="28"/>
        </w:rPr>
        <w:t xml:space="preserve">  </w:t>
      </w:r>
      <w:r w:rsidR="009E5DA1" w:rsidRPr="00E15EC8">
        <w:rPr>
          <w:rStyle w:val="alaem"/>
          <w:color w:val="008000"/>
          <w:sz w:val="28"/>
          <w:rtl/>
        </w:rPr>
        <w:t>عليه‌السلام</w:t>
      </w:r>
      <w:r w:rsidR="009E5DA1" w:rsidRPr="00E15EC8">
        <w:rPr>
          <w:color w:val="008000"/>
          <w:sz w:val="28"/>
          <w:rtl/>
        </w:rPr>
        <w:t xml:space="preserve"> </w:t>
      </w:r>
      <w:r w:rsidR="009E5DA1" w:rsidRPr="00E15EC8">
        <w:rPr>
          <w:color w:val="008000"/>
          <w:sz w:val="28"/>
        </w:rPr>
        <w:t xml:space="preserve"> </w:t>
      </w:r>
      <w:r w:rsidR="009E5DA1" w:rsidRPr="00E15EC8">
        <w:rPr>
          <w:color w:val="008000"/>
          <w:sz w:val="28"/>
          <w:rtl/>
        </w:rPr>
        <w:t xml:space="preserve">عن رجل ضرب رأس رجل بمعول </w:t>
      </w:r>
      <w:r w:rsidR="009E5DA1" w:rsidRPr="00E15EC8">
        <w:rPr>
          <w:rStyle w:val="hilight"/>
          <w:color w:val="008000"/>
          <w:sz w:val="28"/>
          <w:rtl/>
        </w:rPr>
        <w:t>فسالت</w:t>
      </w:r>
      <w:r w:rsidR="009E5DA1" w:rsidRPr="00E15EC8">
        <w:rPr>
          <w:color w:val="008000"/>
          <w:sz w:val="28"/>
          <w:rtl/>
        </w:rPr>
        <w:t xml:space="preserve"> </w:t>
      </w:r>
      <w:r w:rsidR="009E5DA1" w:rsidRPr="00E15EC8">
        <w:rPr>
          <w:rStyle w:val="hilight"/>
          <w:color w:val="008000"/>
          <w:sz w:val="28"/>
          <w:rtl/>
        </w:rPr>
        <w:t>عيناه</w:t>
      </w:r>
      <w:r w:rsidR="009E5DA1" w:rsidRPr="00E15EC8">
        <w:rPr>
          <w:color w:val="008000"/>
          <w:sz w:val="28"/>
          <w:rtl/>
        </w:rPr>
        <w:t xml:space="preserve"> على خديه فوثب المضروب على ضاربه فقتله ، فقال أبو عبد الله</w:t>
      </w:r>
      <w:r w:rsidR="009E5DA1" w:rsidRPr="00E15EC8">
        <w:rPr>
          <w:color w:val="008000"/>
          <w:sz w:val="28"/>
        </w:rPr>
        <w:t xml:space="preserve"> </w:t>
      </w:r>
      <w:r w:rsidR="009E5DA1" w:rsidRPr="00E15EC8">
        <w:rPr>
          <w:rStyle w:val="alaem"/>
          <w:color w:val="008000"/>
          <w:sz w:val="28"/>
          <w:rtl/>
        </w:rPr>
        <w:t>عليه‌السلام</w:t>
      </w:r>
      <w:r w:rsidR="009E5DA1" w:rsidRPr="00E15EC8">
        <w:rPr>
          <w:color w:val="008000"/>
          <w:sz w:val="28"/>
        </w:rPr>
        <w:t xml:space="preserve"> </w:t>
      </w:r>
      <w:r w:rsidR="009E5DA1" w:rsidRPr="00E15EC8">
        <w:rPr>
          <w:color w:val="008000"/>
          <w:sz w:val="28"/>
          <w:rtl/>
        </w:rPr>
        <w:t xml:space="preserve">هذان معتديان جميعا فلا أرى على الذي قتل الرجل قودا لأنه قتله حين قتله وهو أعمى والأعمى جنايته خطأ تلزم عاقلته يؤخذون بها في ثلاث سنين في كل سنة نجم  فإن لم يكن للأعمى عاقلة لزمته دية ما جنى في ماله يؤخذ بها في ثلاث سنين ، ويرجع الأعمى على ورثة ضاربه بدية </w:t>
      </w:r>
      <w:r w:rsidR="009E5DA1" w:rsidRPr="00E15EC8">
        <w:rPr>
          <w:rStyle w:val="hilight"/>
          <w:color w:val="008000"/>
          <w:sz w:val="28"/>
          <w:rtl/>
        </w:rPr>
        <w:t>عينيه</w:t>
      </w:r>
      <w:r w:rsidR="009E5DA1" w:rsidRPr="00BD3E7F">
        <w:rPr>
          <w:rFonts w:hint="cs"/>
          <w:sz w:val="28"/>
          <w:rtl/>
        </w:rPr>
        <w:t xml:space="preserve"> »</w:t>
      </w:r>
    </w:p>
  </w:footnote>
  <w:footnote w:id="3">
    <w:p w:rsidR="009E5DA1" w:rsidRPr="009E5DA1" w:rsidRDefault="009E5DA1" w:rsidP="009E5DA1">
      <w:pPr>
        <w:pStyle w:val="FootnoteText"/>
        <w:rPr>
          <w:rtl/>
        </w:rPr>
      </w:pPr>
      <w:r w:rsidRPr="009E5DA1">
        <w:footnoteRef/>
      </w:r>
      <w:r w:rsidRPr="009E5DA1">
        <w:rPr>
          <w:rtl/>
        </w:rPr>
        <w:t xml:space="preserve"> </w:t>
      </w:r>
      <w:hyperlink r:id="rId3" w:history="1">
        <w:r w:rsidRPr="009E5DA1">
          <w:rPr>
            <w:rStyle w:val="Hyperlink"/>
            <w:rFonts w:hint="cs"/>
            <w:rtl/>
          </w:rPr>
          <w:t>التنقیح</w:t>
        </w:r>
        <w:r w:rsidRPr="009E5DA1">
          <w:rPr>
            <w:rStyle w:val="Hyperlink"/>
            <w:rtl/>
          </w:rPr>
          <w:t xml:space="preserve"> </w:t>
        </w:r>
        <w:r w:rsidRPr="009E5DA1">
          <w:rPr>
            <w:rStyle w:val="Hyperlink"/>
            <w:rFonts w:hint="cs"/>
            <w:rtl/>
          </w:rPr>
          <w:t>الرائع</w:t>
        </w:r>
        <w:r w:rsidRPr="009E5DA1">
          <w:rPr>
            <w:rStyle w:val="Hyperlink"/>
            <w:rtl/>
          </w:rPr>
          <w:t xml:space="preserve"> </w:t>
        </w:r>
        <w:r w:rsidRPr="009E5DA1">
          <w:rPr>
            <w:rStyle w:val="Hyperlink"/>
            <w:rFonts w:hint="cs"/>
            <w:rtl/>
          </w:rPr>
          <w:t>لمختصر</w:t>
        </w:r>
        <w:r w:rsidRPr="009E5DA1">
          <w:rPr>
            <w:rStyle w:val="Hyperlink"/>
            <w:rtl/>
          </w:rPr>
          <w:t xml:space="preserve"> </w:t>
        </w:r>
        <w:r w:rsidRPr="009E5DA1">
          <w:rPr>
            <w:rStyle w:val="Hyperlink"/>
            <w:rFonts w:hint="cs"/>
            <w:rtl/>
          </w:rPr>
          <w:t>الشرائع،</w:t>
        </w:r>
        <w:r w:rsidRPr="009E5DA1">
          <w:rPr>
            <w:rStyle w:val="Hyperlink"/>
            <w:rtl/>
          </w:rPr>
          <w:t xml:space="preserve"> </w:t>
        </w:r>
        <w:r w:rsidRPr="009E5DA1">
          <w:rPr>
            <w:rStyle w:val="Hyperlink"/>
            <w:rFonts w:hint="cs"/>
            <w:rtl/>
          </w:rPr>
          <w:t>حلّی،</w:t>
        </w:r>
        <w:r w:rsidRPr="009E5DA1">
          <w:rPr>
            <w:rStyle w:val="Hyperlink"/>
            <w:rtl/>
          </w:rPr>
          <w:t xml:space="preserve"> </w:t>
        </w:r>
        <w:r w:rsidRPr="009E5DA1">
          <w:rPr>
            <w:rStyle w:val="Hyperlink"/>
            <w:rFonts w:hint="cs"/>
            <w:rtl/>
          </w:rPr>
          <w:t>مقداد</w:t>
        </w:r>
        <w:r w:rsidRPr="009E5DA1">
          <w:rPr>
            <w:rStyle w:val="Hyperlink"/>
            <w:rtl/>
          </w:rPr>
          <w:t xml:space="preserve"> </w:t>
        </w:r>
        <w:r w:rsidRPr="009E5DA1">
          <w:rPr>
            <w:rStyle w:val="Hyperlink"/>
            <w:rFonts w:hint="cs"/>
            <w:rtl/>
          </w:rPr>
          <w:t>بن</w:t>
        </w:r>
        <w:r w:rsidRPr="009E5DA1">
          <w:rPr>
            <w:rStyle w:val="Hyperlink"/>
            <w:rtl/>
          </w:rPr>
          <w:t xml:space="preserve"> </w:t>
        </w:r>
        <w:r w:rsidRPr="009E5DA1">
          <w:rPr>
            <w:rStyle w:val="Hyperlink"/>
            <w:rFonts w:hint="cs"/>
            <w:rtl/>
          </w:rPr>
          <w:t>عبد</w:t>
        </w:r>
        <w:r w:rsidRPr="009E5DA1">
          <w:rPr>
            <w:rStyle w:val="Hyperlink"/>
            <w:rtl/>
          </w:rPr>
          <w:t xml:space="preserve"> </w:t>
        </w:r>
        <w:r w:rsidRPr="009E5DA1">
          <w:rPr>
            <w:rStyle w:val="Hyperlink"/>
            <w:rFonts w:hint="cs"/>
            <w:rtl/>
          </w:rPr>
          <w:t>اللّه</w:t>
        </w:r>
        <w:r w:rsidRPr="009E5DA1">
          <w:rPr>
            <w:rStyle w:val="Hyperlink"/>
            <w:rtl/>
          </w:rPr>
          <w:t xml:space="preserve"> </w:t>
        </w:r>
        <w:r w:rsidRPr="009E5DA1">
          <w:rPr>
            <w:rStyle w:val="Hyperlink"/>
            <w:rFonts w:hint="cs"/>
            <w:rtl/>
          </w:rPr>
          <w:t>سیوری،</w:t>
        </w:r>
        <w:r w:rsidRPr="009E5DA1">
          <w:rPr>
            <w:rStyle w:val="Hyperlink"/>
            <w:rtl/>
          </w:rPr>
          <w:t xml:space="preserve"> </w:t>
        </w:r>
        <w:r w:rsidRPr="009E5DA1">
          <w:rPr>
            <w:rStyle w:val="Hyperlink"/>
            <w:rFonts w:hint="cs"/>
            <w:rtl/>
          </w:rPr>
          <w:t>فاضل</w:t>
        </w:r>
        <w:r w:rsidRPr="009E5DA1">
          <w:rPr>
            <w:rStyle w:val="Hyperlink"/>
            <w:rtl/>
          </w:rPr>
          <w:t xml:space="preserve"> </w:t>
        </w:r>
        <w:r w:rsidRPr="009E5DA1">
          <w:rPr>
            <w:rStyle w:val="Hyperlink"/>
            <w:rFonts w:hint="cs"/>
            <w:rtl/>
          </w:rPr>
          <w:t>مقداد،</w:t>
        </w:r>
        <w:r w:rsidRPr="009E5DA1">
          <w:rPr>
            <w:rStyle w:val="Hyperlink"/>
            <w:rtl/>
          </w:rPr>
          <w:t xml:space="preserve"> </w:t>
        </w:r>
        <w:r w:rsidRPr="009E5DA1">
          <w:rPr>
            <w:rStyle w:val="Hyperlink"/>
            <w:rFonts w:hint="cs"/>
            <w:rtl/>
          </w:rPr>
          <w:t>ج</w:t>
        </w:r>
        <w:r w:rsidRPr="009E5DA1">
          <w:rPr>
            <w:rStyle w:val="Hyperlink"/>
            <w:rtl/>
          </w:rPr>
          <w:t>4</w:t>
        </w:r>
        <w:r w:rsidRPr="009E5DA1">
          <w:rPr>
            <w:rStyle w:val="Hyperlink"/>
            <w:rFonts w:hint="cs"/>
            <w:rtl/>
          </w:rPr>
          <w:t>،</w:t>
        </w:r>
        <w:r w:rsidRPr="009E5DA1">
          <w:rPr>
            <w:rStyle w:val="Hyperlink"/>
            <w:rtl/>
          </w:rPr>
          <w:t xml:space="preserve"> </w:t>
        </w:r>
        <w:r w:rsidRPr="009E5DA1">
          <w:rPr>
            <w:rStyle w:val="Hyperlink"/>
            <w:rFonts w:hint="cs"/>
            <w:rtl/>
          </w:rPr>
          <w:t>ص</w:t>
        </w:r>
        <w:r w:rsidRPr="009E5DA1">
          <w:rPr>
            <w:rStyle w:val="Hyperlink"/>
            <w:rtl/>
          </w:rPr>
          <w:t>432.</w:t>
        </w:r>
      </w:hyperlink>
    </w:p>
  </w:footnote>
  <w:footnote w:id="4">
    <w:p w:rsidR="00916600" w:rsidRPr="00916600" w:rsidRDefault="00916600" w:rsidP="00916600">
      <w:pPr>
        <w:pStyle w:val="FootnoteText"/>
      </w:pPr>
      <w:r w:rsidRPr="00916600">
        <w:footnoteRef/>
      </w:r>
      <w:r w:rsidRPr="00916600">
        <w:rPr>
          <w:rtl/>
        </w:rPr>
        <w:t xml:space="preserve"> </w:t>
      </w:r>
      <w:hyperlink r:id="rId4" w:history="1">
        <w:r w:rsidRPr="00916600">
          <w:rPr>
            <w:rStyle w:val="Hyperlink"/>
            <w:rFonts w:hint="cs"/>
            <w:rtl/>
          </w:rPr>
          <w:t>جواهر</w:t>
        </w:r>
        <w:r w:rsidRPr="00916600">
          <w:rPr>
            <w:rStyle w:val="Hyperlink"/>
            <w:rtl/>
          </w:rPr>
          <w:t xml:space="preserve"> </w:t>
        </w:r>
        <w:r w:rsidRPr="00916600">
          <w:rPr>
            <w:rStyle w:val="Hyperlink"/>
            <w:rFonts w:hint="cs"/>
            <w:rtl/>
          </w:rPr>
          <w:t>الکلام،</w:t>
        </w:r>
        <w:r w:rsidRPr="00916600">
          <w:rPr>
            <w:rStyle w:val="Hyperlink"/>
            <w:rtl/>
          </w:rPr>
          <w:t xml:space="preserve"> </w:t>
        </w:r>
        <w:r w:rsidRPr="00916600">
          <w:rPr>
            <w:rStyle w:val="Hyperlink"/>
            <w:rFonts w:hint="cs"/>
            <w:rtl/>
          </w:rPr>
          <w:t>محمد</w:t>
        </w:r>
        <w:r w:rsidRPr="00916600">
          <w:rPr>
            <w:rStyle w:val="Hyperlink"/>
            <w:rtl/>
          </w:rPr>
          <w:t xml:space="preserve"> </w:t>
        </w:r>
        <w:r w:rsidRPr="00916600">
          <w:rPr>
            <w:rStyle w:val="Hyperlink"/>
            <w:rFonts w:hint="cs"/>
            <w:rtl/>
          </w:rPr>
          <w:t>حسن</w:t>
        </w:r>
        <w:r w:rsidRPr="00916600">
          <w:rPr>
            <w:rStyle w:val="Hyperlink"/>
            <w:rtl/>
          </w:rPr>
          <w:t xml:space="preserve"> </w:t>
        </w:r>
        <w:r w:rsidRPr="00916600">
          <w:rPr>
            <w:rStyle w:val="Hyperlink"/>
            <w:rFonts w:hint="cs"/>
            <w:rtl/>
          </w:rPr>
          <w:t>نجفی،</w:t>
        </w:r>
        <w:r w:rsidRPr="00916600">
          <w:rPr>
            <w:rStyle w:val="Hyperlink"/>
            <w:rtl/>
          </w:rPr>
          <w:t xml:space="preserve"> </w:t>
        </w:r>
        <w:r w:rsidRPr="00916600">
          <w:rPr>
            <w:rStyle w:val="Hyperlink"/>
            <w:rFonts w:hint="cs"/>
            <w:rtl/>
          </w:rPr>
          <w:t>ج</w:t>
        </w:r>
        <w:r w:rsidRPr="00916600">
          <w:rPr>
            <w:rStyle w:val="Hyperlink"/>
            <w:rtl/>
          </w:rPr>
          <w:t>42</w:t>
        </w:r>
        <w:r w:rsidRPr="00916600">
          <w:rPr>
            <w:rStyle w:val="Hyperlink"/>
            <w:rFonts w:hint="cs"/>
            <w:rtl/>
          </w:rPr>
          <w:t>،</w:t>
        </w:r>
        <w:r w:rsidRPr="00916600">
          <w:rPr>
            <w:rStyle w:val="Hyperlink"/>
            <w:rtl/>
          </w:rPr>
          <w:t xml:space="preserve"> </w:t>
        </w:r>
        <w:r w:rsidRPr="00916600">
          <w:rPr>
            <w:rStyle w:val="Hyperlink"/>
            <w:rFonts w:hint="cs"/>
            <w:rtl/>
          </w:rPr>
          <w:t>ص</w:t>
        </w:r>
        <w:r w:rsidRPr="00916600">
          <w:rPr>
            <w:rStyle w:val="Hyperlink"/>
            <w:rtl/>
          </w:rPr>
          <w:t>190.</w:t>
        </w:r>
      </w:hyperlink>
    </w:p>
  </w:footnote>
  <w:footnote w:id="5">
    <w:p w:rsidR="006C5EFA" w:rsidRPr="006C5EFA" w:rsidRDefault="006C5EFA" w:rsidP="006C5EFA">
      <w:pPr>
        <w:pStyle w:val="FootnoteText"/>
      </w:pPr>
      <w:r w:rsidRPr="006C5EFA">
        <w:footnoteRef/>
      </w:r>
      <w:r w:rsidRPr="006C5EFA">
        <w:rPr>
          <w:rtl/>
        </w:rPr>
        <w:t xml:space="preserve"> </w:t>
      </w:r>
      <w:hyperlink r:id="rId5" w:history="1">
        <w:r w:rsidRPr="006C5EFA">
          <w:rPr>
            <w:rStyle w:val="Hyperlink"/>
            <w:rFonts w:hint="cs"/>
            <w:rtl/>
          </w:rPr>
          <w:t>مختلف</w:t>
        </w:r>
        <w:r w:rsidRPr="006C5EFA">
          <w:rPr>
            <w:rStyle w:val="Hyperlink"/>
            <w:rtl/>
          </w:rPr>
          <w:t xml:space="preserve"> </w:t>
        </w:r>
        <w:r w:rsidRPr="006C5EFA">
          <w:rPr>
            <w:rStyle w:val="Hyperlink"/>
            <w:rFonts w:hint="cs"/>
            <w:rtl/>
          </w:rPr>
          <w:t>الشیعة</w:t>
        </w:r>
        <w:r w:rsidRPr="006C5EFA">
          <w:rPr>
            <w:rStyle w:val="Hyperlink"/>
            <w:rtl/>
          </w:rPr>
          <w:t xml:space="preserve"> </w:t>
        </w:r>
        <w:r w:rsidRPr="006C5EFA">
          <w:rPr>
            <w:rStyle w:val="Hyperlink"/>
            <w:rFonts w:hint="cs"/>
            <w:rtl/>
          </w:rPr>
          <w:t>فی</w:t>
        </w:r>
        <w:r w:rsidRPr="006C5EFA">
          <w:rPr>
            <w:rStyle w:val="Hyperlink"/>
            <w:rtl/>
          </w:rPr>
          <w:t xml:space="preserve"> </w:t>
        </w:r>
        <w:r w:rsidRPr="006C5EFA">
          <w:rPr>
            <w:rStyle w:val="Hyperlink"/>
            <w:rFonts w:hint="cs"/>
            <w:rtl/>
          </w:rPr>
          <w:t>أحكام</w:t>
        </w:r>
        <w:r w:rsidRPr="006C5EFA">
          <w:rPr>
            <w:rStyle w:val="Hyperlink"/>
            <w:rtl/>
          </w:rPr>
          <w:t xml:space="preserve"> </w:t>
        </w:r>
        <w:r w:rsidRPr="006C5EFA">
          <w:rPr>
            <w:rStyle w:val="Hyperlink"/>
            <w:rFonts w:hint="cs"/>
            <w:rtl/>
          </w:rPr>
          <w:t>الشریعة،</w:t>
        </w:r>
        <w:r w:rsidRPr="006C5EFA">
          <w:rPr>
            <w:rStyle w:val="Hyperlink"/>
            <w:rtl/>
          </w:rPr>
          <w:t xml:space="preserve"> </w:t>
        </w:r>
        <w:r w:rsidRPr="006C5EFA">
          <w:rPr>
            <w:rStyle w:val="Hyperlink"/>
            <w:rFonts w:hint="cs"/>
            <w:rtl/>
          </w:rPr>
          <w:t>علامه</w:t>
        </w:r>
        <w:r w:rsidRPr="006C5EFA">
          <w:rPr>
            <w:rStyle w:val="Hyperlink"/>
            <w:rtl/>
          </w:rPr>
          <w:t xml:space="preserve"> </w:t>
        </w:r>
        <w:r w:rsidRPr="006C5EFA">
          <w:rPr>
            <w:rStyle w:val="Hyperlink"/>
            <w:rFonts w:hint="cs"/>
            <w:rtl/>
          </w:rPr>
          <w:t>حلی،</w:t>
        </w:r>
        <w:r w:rsidRPr="006C5EFA">
          <w:rPr>
            <w:rStyle w:val="Hyperlink"/>
            <w:rtl/>
          </w:rPr>
          <w:t xml:space="preserve"> </w:t>
        </w:r>
        <w:r w:rsidRPr="006C5EFA">
          <w:rPr>
            <w:rStyle w:val="Hyperlink"/>
            <w:rFonts w:hint="cs"/>
            <w:rtl/>
          </w:rPr>
          <w:t>ج</w:t>
        </w:r>
        <w:r w:rsidRPr="006C5EFA">
          <w:rPr>
            <w:rStyle w:val="Hyperlink"/>
            <w:rtl/>
          </w:rPr>
          <w:t>9</w:t>
        </w:r>
        <w:r w:rsidRPr="006C5EFA">
          <w:rPr>
            <w:rStyle w:val="Hyperlink"/>
            <w:rFonts w:hint="cs"/>
            <w:rtl/>
          </w:rPr>
          <w:t>،</w:t>
        </w:r>
        <w:r w:rsidRPr="006C5EFA">
          <w:rPr>
            <w:rStyle w:val="Hyperlink"/>
            <w:rtl/>
          </w:rPr>
          <w:t xml:space="preserve"> </w:t>
        </w:r>
        <w:r w:rsidRPr="006C5EFA">
          <w:rPr>
            <w:rStyle w:val="Hyperlink"/>
            <w:rFonts w:hint="cs"/>
            <w:rtl/>
          </w:rPr>
          <w:t>ص</w:t>
        </w:r>
        <w:r w:rsidRPr="006C5EFA">
          <w:rPr>
            <w:rStyle w:val="Hyperlink"/>
            <w:rtl/>
          </w:rPr>
          <w:t>349.</w:t>
        </w:r>
      </w:hyperlink>
    </w:p>
  </w:footnote>
  <w:footnote w:id="6">
    <w:p w:rsidR="0059347D" w:rsidRPr="00F817E4" w:rsidRDefault="0059347D" w:rsidP="00F817E4">
      <w:pPr>
        <w:pStyle w:val="NormalWeb"/>
        <w:bidi/>
        <w:jc w:val="both"/>
        <w:rPr>
          <w:rFonts w:ascii="Noor_Lotus" w:hAnsi="Noor_Lotus" w:cs="Noor_Lotus"/>
          <w:color w:val="000000"/>
          <w:sz w:val="30"/>
          <w:szCs w:val="30"/>
        </w:rPr>
      </w:pPr>
      <w:r w:rsidRPr="0059347D">
        <w:rPr>
          <w:rStyle w:val="FootnoteReference"/>
          <w:rFonts w:cs="B Badr"/>
          <w:color w:val="548DD4" w:themeColor="text2" w:themeTint="99"/>
          <w:sz w:val="20"/>
          <w:szCs w:val="20"/>
        </w:rPr>
        <w:footnoteRef/>
      </w:r>
      <w:r>
        <w:rPr>
          <w:rtl/>
        </w:rPr>
        <w:t xml:space="preserve"> </w:t>
      </w:r>
      <w:r w:rsidRPr="0059347D">
        <w:rPr>
          <w:rFonts w:ascii="Noor_Titr" w:hAnsi="Noor_Titr" w:cs="B Badr" w:hint="cs"/>
          <w:color w:val="548DD4" w:themeColor="text2" w:themeTint="99"/>
          <w:sz w:val="20"/>
          <w:szCs w:val="20"/>
          <w:u w:val="single"/>
          <w:rtl/>
        </w:rPr>
        <w:t>جامع المدارك في شرح مختصر النافع، ج‌7، ص:</w:t>
      </w:r>
      <w:r w:rsidRPr="0059347D">
        <w:rPr>
          <w:rFonts w:ascii="Noor_Lotus" w:hAnsi="Noor_Lotus" w:cs="B Badr" w:hint="cs"/>
          <w:color w:val="548DD4" w:themeColor="text2" w:themeTint="99"/>
          <w:sz w:val="20"/>
          <w:szCs w:val="20"/>
          <w:u w:val="single"/>
          <w:rtl/>
        </w:rPr>
        <w:t>239</w:t>
      </w:r>
    </w:p>
  </w:footnote>
  <w:footnote w:id="7">
    <w:p w:rsidR="00C03755" w:rsidRPr="00C03755" w:rsidRDefault="00C03755" w:rsidP="00C03755">
      <w:pPr>
        <w:pStyle w:val="FootnoteText"/>
        <w:rPr>
          <w:rtl/>
        </w:rPr>
      </w:pPr>
      <w:r w:rsidRPr="00C03755">
        <w:footnoteRef/>
      </w:r>
      <w:r w:rsidRPr="00C03755">
        <w:rPr>
          <w:rtl/>
        </w:rPr>
        <w:t xml:space="preserve"> </w:t>
      </w:r>
      <w:hyperlink r:id="rId6" w:history="1">
        <w:r w:rsidRPr="00C03755">
          <w:rPr>
            <w:rStyle w:val="Hyperlink"/>
            <w:rFonts w:hint="cs"/>
            <w:rtl/>
          </w:rPr>
          <w:t>الکافی،</w:t>
        </w:r>
        <w:r w:rsidRPr="00C03755">
          <w:rPr>
            <w:rStyle w:val="Hyperlink"/>
            <w:rtl/>
          </w:rPr>
          <w:t xml:space="preserve"> </w:t>
        </w:r>
        <w:r w:rsidRPr="00C03755">
          <w:rPr>
            <w:rStyle w:val="Hyperlink"/>
            <w:rFonts w:hint="cs"/>
            <w:rtl/>
          </w:rPr>
          <w:t>محمد</w:t>
        </w:r>
        <w:r w:rsidRPr="00C03755">
          <w:rPr>
            <w:rStyle w:val="Hyperlink"/>
            <w:rtl/>
          </w:rPr>
          <w:t xml:space="preserve"> </w:t>
        </w:r>
        <w:r w:rsidRPr="00C03755">
          <w:rPr>
            <w:rStyle w:val="Hyperlink"/>
            <w:rFonts w:hint="cs"/>
            <w:rtl/>
          </w:rPr>
          <w:t>بن</w:t>
        </w:r>
        <w:r w:rsidRPr="00C03755">
          <w:rPr>
            <w:rStyle w:val="Hyperlink"/>
            <w:rtl/>
          </w:rPr>
          <w:t xml:space="preserve"> </w:t>
        </w:r>
        <w:r w:rsidRPr="00C03755">
          <w:rPr>
            <w:rStyle w:val="Hyperlink"/>
            <w:rFonts w:hint="cs"/>
            <w:rtl/>
          </w:rPr>
          <w:t>یعقوب</w:t>
        </w:r>
        <w:r w:rsidRPr="00C03755">
          <w:rPr>
            <w:rStyle w:val="Hyperlink"/>
            <w:rtl/>
          </w:rPr>
          <w:t xml:space="preserve"> </w:t>
        </w:r>
        <w:r w:rsidRPr="00C03755">
          <w:rPr>
            <w:rStyle w:val="Hyperlink"/>
            <w:rFonts w:hint="cs"/>
            <w:rtl/>
          </w:rPr>
          <w:t>کلینی،</w:t>
        </w:r>
        <w:r w:rsidRPr="00C03755">
          <w:rPr>
            <w:rStyle w:val="Hyperlink"/>
            <w:rtl/>
          </w:rPr>
          <w:t xml:space="preserve"> </w:t>
        </w:r>
        <w:r w:rsidRPr="00C03755">
          <w:rPr>
            <w:rStyle w:val="Hyperlink"/>
            <w:rFonts w:hint="cs"/>
            <w:rtl/>
          </w:rPr>
          <w:t>ج</w:t>
        </w:r>
        <w:r w:rsidRPr="00C03755">
          <w:rPr>
            <w:rStyle w:val="Hyperlink"/>
            <w:rtl/>
          </w:rPr>
          <w:t>7</w:t>
        </w:r>
        <w:r w:rsidRPr="00C03755">
          <w:rPr>
            <w:rStyle w:val="Hyperlink"/>
            <w:rFonts w:hint="cs"/>
            <w:rtl/>
          </w:rPr>
          <w:t>،</w:t>
        </w:r>
        <w:r w:rsidRPr="00C03755">
          <w:rPr>
            <w:rStyle w:val="Hyperlink"/>
            <w:rtl/>
          </w:rPr>
          <w:t xml:space="preserve"> </w:t>
        </w:r>
        <w:r w:rsidRPr="00C03755">
          <w:rPr>
            <w:rStyle w:val="Hyperlink"/>
            <w:rFonts w:hint="cs"/>
            <w:rtl/>
          </w:rPr>
          <w:t>ص</w:t>
        </w:r>
        <w:r w:rsidRPr="00C03755">
          <w:rPr>
            <w:rStyle w:val="Hyperlink"/>
            <w:rtl/>
          </w:rPr>
          <w:t>298.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030110">
      <w:rPr>
        <w:b/>
        <w:bCs/>
        <w:sz w:val="20"/>
        <w:szCs w:val="24"/>
        <w:rtl/>
      </w:rPr>
      <w:t>061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03011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03011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030110">
      <w:rPr>
        <w:sz w:val="24"/>
        <w:szCs w:val="24"/>
        <w:rtl/>
      </w:rPr>
      <w:t>18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030110">
      <w:rPr>
        <w:rFonts w:hint="cs"/>
        <w:color w:val="000000" w:themeColor="text1"/>
        <w:sz w:val="24"/>
        <w:szCs w:val="24"/>
        <w:rtl/>
      </w:rPr>
      <w:t>شروط</w:t>
    </w:r>
    <w:r w:rsidR="00030110">
      <w:rPr>
        <w:color w:val="000000" w:themeColor="text1"/>
        <w:sz w:val="24"/>
        <w:szCs w:val="24"/>
        <w:rtl/>
      </w:rPr>
      <w:t xml:space="preserve"> </w:t>
    </w:r>
    <w:r w:rsidR="00030110">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030110">
      <w:rPr>
        <w:rFonts w:hint="cs"/>
        <w:sz w:val="24"/>
        <w:szCs w:val="24"/>
        <w:rtl/>
      </w:rPr>
      <w:t>مهدی</w:t>
    </w:r>
    <w:r w:rsidR="00030110">
      <w:rPr>
        <w:sz w:val="24"/>
        <w:szCs w:val="24"/>
        <w:rtl/>
      </w:rPr>
      <w:t xml:space="preserve"> </w:t>
    </w:r>
    <w:r w:rsidR="00030110">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030110">
      <w:rPr>
        <w:rFonts w:hint="cs"/>
        <w:sz w:val="24"/>
        <w:szCs w:val="24"/>
        <w:rtl/>
      </w:rPr>
      <w:t>شرط</w:t>
    </w:r>
    <w:r w:rsidR="00030110">
      <w:rPr>
        <w:sz w:val="24"/>
        <w:szCs w:val="24"/>
        <w:rtl/>
      </w:rPr>
      <w:t xml:space="preserve"> </w:t>
    </w:r>
    <w:r w:rsidR="00030110">
      <w:rPr>
        <w:rFonts w:hint="cs"/>
        <w:sz w:val="24"/>
        <w:szCs w:val="24"/>
        <w:rtl/>
      </w:rPr>
      <w:t>چهارم</w:t>
    </w:r>
    <w:r w:rsidR="00030110">
      <w:rPr>
        <w:sz w:val="24"/>
        <w:szCs w:val="24"/>
        <w:rtl/>
      </w:rPr>
      <w:t xml:space="preserve">: </w:t>
    </w:r>
    <w:r w:rsidR="00030110">
      <w:rPr>
        <w:rFonts w:hint="cs"/>
        <w:sz w:val="24"/>
        <w:szCs w:val="24"/>
        <w:rtl/>
      </w:rPr>
      <w:t>کمال</w:t>
    </w:r>
    <w:r w:rsidR="00030110">
      <w:rPr>
        <w:sz w:val="24"/>
        <w:szCs w:val="24"/>
        <w:rtl/>
      </w:rPr>
      <w:t xml:space="preserve"> </w:t>
    </w:r>
    <w:r w:rsidR="00030110">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0110"/>
    <w:rsid w:val="000353D7"/>
    <w:rsid w:val="00055496"/>
    <w:rsid w:val="00080A41"/>
    <w:rsid w:val="0008299B"/>
    <w:rsid w:val="000913AA"/>
    <w:rsid w:val="00094847"/>
    <w:rsid w:val="00096C63"/>
    <w:rsid w:val="000A07BC"/>
    <w:rsid w:val="000B5DB5"/>
    <w:rsid w:val="000C3947"/>
    <w:rsid w:val="000D2A37"/>
    <w:rsid w:val="000D30E9"/>
    <w:rsid w:val="000D6818"/>
    <w:rsid w:val="000E2803"/>
    <w:rsid w:val="000E335E"/>
    <w:rsid w:val="000E725A"/>
    <w:rsid w:val="000F16CF"/>
    <w:rsid w:val="000F5BAC"/>
    <w:rsid w:val="00102585"/>
    <w:rsid w:val="00114AB7"/>
    <w:rsid w:val="00116B2B"/>
    <w:rsid w:val="00124E3D"/>
    <w:rsid w:val="00127E95"/>
    <w:rsid w:val="00130659"/>
    <w:rsid w:val="001347C7"/>
    <w:rsid w:val="001356B0"/>
    <w:rsid w:val="00151937"/>
    <w:rsid w:val="00175668"/>
    <w:rsid w:val="00181844"/>
    <w:rsid w:val="001837E9"/>
    <w:rsid w:val="00187DFA"/>
    <w:rsid w:val="00195A98"/>
    <w:rsid w:val="001A1BC1"/>
    <w:rsid w:val="001A1EA5"/>
    <w:rsid w:val="001A2574"/>
    <w:rsid w:val="001A27D7"/>
    <w:rsid w:val="001A294E"/>
    <w:rsid w:val="001A4ED8"/>
    <w:rsid w:val="001B2488"/>
    <w:rsid w:val="001B6799"/>
    <w:rsid w:val="001C1362"/>
    <w:rsid w:val="001C4FE8"/>
    <w:rsid w:val="001D2E9A"/>
    <w:rsid w:val="001D597F"/>
    <w:rsid w:val="001E3FD4"/>
    <w:rsid w:val="0020241A"/>
    <w:rsid w:val="00203821"/>
    <w:rsid w:val="00211632"/>
    <w:rsid w:val="0021630D"/>
    <w:rsid w:val="0024121B"/>
    <w:rsid w:val="00247D2F"/>
    <w:rsid w:val="00256560"/>
    <w:rsid w:val="00266CCF"/>
    <w:rsid w:val="002675A5"/>
    <w:rsid w:val="0027605E"/>
    <w:rsid w:val="00277657"/>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1A1"/>
    <w:rsid w:val="00402E47"/>
    <w:rsid w:val="00425015"/>
    <w:rsid w:val="00430994"/>
    <w:rsid w:val="00441B6D"/>
    <w:rsid w:val="004556EF"/>
    <w:rsid w:val="00462B07"/>
    <w:rsid w:val="00464680"/>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609C"/>
    <w:rsid w:val="00580C24"/>
    <w:rsid w:val="0059347D"/>
    <w:rsid w:val="005968EF"/>
    <w:rsid w:val="00596C1E"/>
    <w:rsid w:val="005A1FD9"/>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5D05"/>
    <w:rsid w:val="006943F2"/>
    <w:rsid w:val="00695519"/>
    <w:rsid w:val="006A4134"/>
    <w:rsid w:val="006A5DDA"/>
    <w:rsid w:val="006A6701"/>
    <w:rsid w:val="006B21F4"/>
    <w:rsid w:val="006B3753"/>
    <w:rsid w:val="006B7AD6"/>
    <w:rsid w:val="006C50FD"/>
    <w:rsid w:val="006C5EFA"/>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618C"/>
    <w:rsid w:val="00775507"/>
    <w:rsid w:val="00783473"/>
    <w:rsid w:val="007842DB"/>
    <w:rsid w:val="0078594B"/>
    <w:rsid w:val="00795E02"/>
    <w:rsid w:val="007979D0"/>
    <w:rsid w:val="007A0059"/>
    <w:rsid w:val="007A4E18"/>
    <w:rsid w:val="007A7B8C"/>
    <w:rsid w:val="007C6D9E"/>
    <w:rsid w:val="007D1C43"/>
    <w:rsid w:val="007D6C53"/>
    <w:rsid w:val="007E1564"/>
    <w:rsid w:val="007E1E87"/>
    <w:rsid w:val="007E5B3F"/>
    <w:rsid w:val="007F2257"/>
    <w:rsid w:val="007F46A2"/>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4198"/>
    <w:rsid w:val="008A510E"/>
    <w:rsid w:val="008A522A"/>
    <w:rsid w:val="008B4464"/>
    <w:rsid w:val="008B750B"/>
    <w:rsid w:val="008C3162"/>
    <w:rsid w:val="008D1F14"/>
    <w:rsid w:val="008E3924"/>
    <w:rsid w:val="008F13F7"/>
    <w:rsid w:val="008F5B4D"/>
    <w:rsid w:val="00907425"/>
    <w:rsid w:val="00916600"/>
    <w:rsid w:val="00923C34"/>
    <w:rsid w:val="00924152"/>
    <w:rsid w:val="0092513D"/>
    <w:rsid w:val="00927A9F"/>
    <w:rsid w:val="00932F2C"/>
    <w:rsid w:val="009335CC"/>
    <w:rsid w:val="00935A55"/>
    <w:rsid w:val="00940ED6"/>
    <w:rsid w:val="00941CEB"/>
    <w:rsid w:val="00941CFB"/>
    <w:rsid w:val="0094720F"/>
    <w:rsid w:val="00953B28"/>
    <w:rsid w:val="00954322"/>
    <w:rsid w:val="00957CAA"/>
    <w:rsid w:val="0096778A"/>
    <w:rsid w:val="00977656"/>
    <w:rsid w:val="009846A7"/>
    <w:rsid w:val="009858B1"/>
    <w:rsid w:val="0098794D"/>
    <w:rsid w:val="0099497B"/>
    <w:rsid w:val="009A43BA"/>
    <w:rsid w:val="009B0D05"/>
    <w:rsid w:val="009B4CA6"/>
    <w:rsid w:val="009B79F8"/>
    <w:rsid w:val="009C66D5"/>
    <w:rsid w:val="009D13FD"/>
    <w:rsid w:val="009D266A"/>
    <w:rsid w:val="009E5DA1"/>
    <w:rsid w:val="009F7E07"/>
    <w:rsid w:val="00A01522"/>
    <w:rsid w:val="00A10A11"/>
    <w:rsid w:val="00A13C6A"/>
    <w:rsid w:val="00A17B09"/>
    <w:rsid w:val="00A42F33"/>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5496"/>
    <w:rsid w:val="00AF3925"/>
    <w:rsid w:val="00B1296B"/>
    <w:rsid w:val="00B2292F"/>
    <w:rsid w:val="00B43169"/>
    <w:rsid w:val="00B501A8"/>
    <w:rsid w:val="00B55AE4"/>
    <w:rsid w:val="00B64A81"/>
    <w:rsid w:val="00B70B46"/>
    <w:rsid w:val="00B739B0"/>
    <w:rsid w:val="00B814A3"/>
    <w:rsid w:val="00B96F38"/>
    <w:rsid w:val="00BB6E4B"/>
    <w:rsid w:val="00BC4647"/>
    <w:rsid w:val="00BC716B"/>
    <w:rsid w:val="00BD0E74"/>
    <w:rsid w:val="00BD5F8C"/>
    <w:rsid w:val="00BE29DD"/>
    <w:rsid w:val="00C03755"/>
    <w:rsid w:val="00C066AF"/>
    <w:rsid w:val="00C10E06"/>
    <w:rsid w:val="00C145B8"/>
    <w:rsid w:val="00C2438F"/>
    <w:rsid w:val="00C31AF0"/>
    <w:rsid w:val="00C32A7E"/>
    <w:rsid w:val="00C34F28"/>
    <w:rsid w:val="00C368DF"/>
    <w:rsid w:val="00C442C5"/>
    <w:rsid w:val="00C47146"/>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6BBB"/>
    <w:rsid w:val="00D552B9"/>
    <w:rsid w:val="00D6776F"/>
    <w:rsid w:val="00D735B2"/>
    <w:rsid w:val="00D74021"/>
    <w:rsid w:val="00D76D01"/>
    <w:rsid w:val="00D922A9"/>
    <w:rsid w:val="00D9394A"/>
    <w:rsid w:val="00DB0CBB"/>
    <w:rsid w:val="00DB67CC"/>
    <w:rsid w:val="00DC3783"/>
    <w:rsid w:val="00DE1070"/>
    <w:rsid w:val="00E00219"/>
    <w:rsid w:val="00E0316B"/>
    <w:rsid w:val="00E219B6"/>
    <w:rsid w:val="00E25E10"/>
    <w:rsid w:val="00E50B41"/>
    <w:rsid w:val="00E5219B"/>
    <w:rsid w:val="00E52D07"/>
    <w:rsid w:val="00E53860"/>
    <w:rsid w:val="00E5518B"/>
    <w:rsid w:val="00E609FE"/>
    <w:rsid w:val="00E630BE"/>
    <w:rsid w:val="00E75920"/>
    <w:rsid w:val="00E80D96"/>
    <w:rsid w:val="00E871FA"/>
    <w:rsid w:val="00E936A4"/>
    <w:rsid w:val="00E954BB"/>
    <w:rsid w:val="00EA0073"/>
    <w:rsid w:val="00EA45E7"/>
    <w:rsid w:val="00EB78E3"/>
    <w:rsid w:val="00EB7BE3"/>
    <w:rsid w:val="00EC1C4B"/>
    <w:rsid w:val="00EC735A"/>
    <w:rsid w:val="00ED5F38"/>
    <w:rsid w:val="00EF27FE"/>
    <w:rsid w:val="00F0776A"/>
    <w:rsid w:val="00F07FB6"/>
    <w:rsid w:val="00F149D0"/>
    <w:rsid w:val="00F16B53"/>
    <w:rsid w:val="00F236F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5014"/>
    <w:rsid w:val="00F817E4"/>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FB0A72-03E1-4FCE-909E-C948CDBB6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alaem">
    <w:name w:val="alaem"/>
    <w:basedOn w:val="DefaultParagraphFont"/>
    <w:rsid w:val="009E5DA1"/>
  </w:style>
  <w:style w:type="character" w:customStyle="1" w:styleId="hilight">
    <w:name w:val="hilight"/>
    <w:basedOn w:val="DefaultParagraphFont"/>
    <w:rsid w:val="009E5DA1"/>
  </w:style>
  <w:style w:type="paragraph" w:styleId="EndnoteText">
    <w:name w:val="endnote text"/>
    <w:basedOn w:val="Normal"/>
    <w:link w:val="EndnoteTextChar"/>
    <w:uiPriority w:val="99"/>
    <w:semiHidden/>
    <w:unhideWhenUsed/>
    <w:rsid w:val="0059347D"/>
    <w:pPr>
      <w:spacing w:line="240" w:lineRule="auto"/>
    </w:pPr>
    <w:rPr>
      <w:sz w:val="20"/>
      <w:szCs w:val="20"/>
    </w:rPr>
  </w:style>
  <w:style w:type="character" w:customStyle="1" w:styleId="EndnoteTextChar">
    <w:name w:val="Endnote Text Char"/>
    <w:basedOn w:val="DefaultParagraphFont"/>
    <w:link w:val="EndnoteText"/>
    <w:uiPriority w:val="99"/>
    <w:semiHidden/>
    <w:rsid w:val="0059347D"/>
    <w:rPr>
      <w:rFonts w:cs="B Badr"/>
    </w:rPr>
  </w:style>
  <w:style w:type="character" w:styleId="EndnoteReference">
    <w:name w:val="endnote reference"/>
    <w:basedOn w:val="DefaultParagraphFont"/>
    <w:uiPriority w:val="99"/>
    <w:semiHidden/>
    <w:unhideWhenUsed/>
    <w:rsid w:val="0059347D"/>
    <w:rPr>
      <w:vertAlign w:val="superscript"/>
    </w:rPr>
  </w:style>
  <w:style w:type="character" w:styleId="FollowedHyperlink">
    <w:name w:val="FollowedHyperlink"/>
    <w:basedOn w:val="DefaultParagraphFont"/>
    <w:uiPriority w:val="99"/>
    <w:semiHidden/>
    <w:unhideWhenUsed/>
    <w:rsid w:val="00941C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39387279">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524/4/432/&#1575;&#1604;&#1578;&#1605;&#1610;&#1610;&#1586;" TargetMode="External"/><Relationship Id="rId2" Type="http://schemas.openxmlformats.org/officeDocument/2006/relationships/hyperlink" Target="http://lib.eshia.ir/10083/10/232/&#1575;&#1604;&#1593;&#1604;&#1575;" TargetMode="External"/><Relationship Id="rId1" Type="http://schemas.openxmlformats.org/officeDocument/2006/relationships/hyperlink" Target="http://lib.eshia.ir/10151/15/168/&#1581;&#1575;&#1604;&#1575;" TargetMode="External"/><Relationship Id="rId6" Type="http://schemas.openxmlformats.org/officeDocument/2006/relationships/hyperlink" Target="http://lib.eshia.ir/11005/7/298/&#1605;&#1578;&#1593;&#1605;&#1583;&#1575;" TargetMode="External"/><Relationship Id="rId5" Type="http://schemas.openxmlformats.org/officeDocument/2006/relationships/hyperlink" Target="http://lib.eshia.ir/71559/9/349/&#1575;&#1604;&#1583;&#1601;&#1593;" TargetMode="External"/><Relationship Id="rId4" Type="http://schemas.openxmlformats.org/officeDocument/2006/relationships/hyperlink" Target="http://lib.eshia.ir/10088/42/190/&#1605;&#1606;&#1575;&#1601;&#1575;&#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4D877-2CA7-4677-9EDB-E9ED4BAD0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912</Words>
  <Characters>5204</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6104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2019-01-13T11:10:00Z</cp:lastPrinted>
  <dcterms:created xsi:type="dcterms:W3CDTF">2019-01-13T11:11:00Z</dcterms:created>
  <dcterms:modified xsi:type="dcterms:W3CDTF">2019-01-13T11:11:00Z</dcterms:modified>
  <cp:contentStatus>ویرایش 2.5</cp:contentStatus>
  <cp:version>2.7</cp:version>
</cp:coreProperties>
</file>