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734A3"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906400" w:history="1">
        <w:r w:rsidR="001734A3" w:rsidRPr="00A46A3C">
          <w:rPr>
            <w:rStyle w:val="Hyperlink"/>
            <w:rFonts w:hint="eastAsia"/>
            <w:noProof/>
            <w:rtl/>
          </w:rPr>
          <w:t>کلمات</w:t>
        </w:r>
        <w:r w:rsidR="001734A3" w:rsidRPr="00A46A3C">
          <w:rPr>
            <w:rStyle w:val="Hyperlink"/>
            <w:noProof/>
            <w:rtl/>
          </w:rPr>
          <w:t xml:space="preserve"> </w:t>
        </w:r>
        <w:r w:rsidR="001734A3" w:rsidRPr="00A46A3C">
          <w:rPr>
            <w:rStyle w:val="Hyperlink"/>
            <w:rFonts w:hint="eastAsia"/>
            <w:noProof/>
            <w:rtl/>
          </w:rPr>
          <w:t>فقها</w:t>
        </w:r>
        <w:r w:rsidR="001734A3" w:rsidRPr="00A46A3C">
          <w:rPr>
            <w:rStyle w:val="Hyperlink"/>
            <w:noProof/>
            <w:rtl/>
          </w:rPr>
          <w:t xml:space="preserve"> </w:t>
        </w:r>
        <w:r w:rsidR="001734A3" w:rsidRPr="00A46A3C">
          <w:rPr>
            <w:rStyle w:val="Hyperlink"/>
            <w:rFonts w:hint="eastAsia"/>
            <w:noProof/>
            <w:rtl/>
          </w:rPr>
          <w:t>در</w:t>
        </w:r>
        <w:r w:rsidR="001734A3" w:rsidRPr="00A46A3C">
          <w:rPr>
            <w:rStyle w:val="Hyperlink"/>
            <w:noProof/>
            <w:rtl/>
          </w:rPr>
          <w:t xml:space="preserve"> </w:t>
        </w:r>
        <w:r w:rsidR="001734A3" w:rsidRPr="00A46A3C">
          <w:rPr>
            <w:rStyle w:val="Hyperlink"/>
            <w:rFonts w:hint="eastAsia"/>
            <w:noProof/>
            <w:rtl/>
          </w:rPr>
          <w:t>اختصاص</w:t>
        </w:r>
        <w:r w:rsidR="001734A3" w:rsidRPr="00A46A3C">
          <w:rPr>
            <w:rStyle w:val="Hyperlink"/>
            <w:noProof/>
            <w:rtl/>
          </w:rPr>
          <w:t xml:space="preserve"> </w:t>
        </w:r>
        <w:r w:rsidR="001734A3" w:rsidRPr="00A46A3C">
          <w:rPr>
            <w:rStyle w:val="Hyperlink"/>
            <w:rFonts w:hint="eastAsia"/>
            <w:noProof/>
            <w:rtl/>
          </w:rPr>
          <w:t>قسامه</w:t>
        </w:r>
        <w:r w:rsidR="001734A3" w:rsidRPr="00A46A3C">
          <w:rPr>
            <w:rStyle w:val="Hyperlink"/>
            <w:noProof/>
            <w:rtl/>
          </w:rPr>
          <w:t xml:space="preserve"> </w:t>
        </w:r>
        <w:r w:rsidR="001734A3" w:rsidRPr="00A46A3C">
          <w:rPr>
            <w:rStyle w:val="Hyperlink"/>
            <w:rFonts w:hint="eastAsia"/>
            <w:noProof/>
            <w:rtl/>
          </w:rPr>
          <w:t>به</w:t>
        </w:r>
        <w:r w:rsidR="001734A3" w:rsidRPr="00A46A3C">
          <w:rPr>
            <w:rStyle w:val="Hyperlink"/>
            <w:noProof/>
            <w:rtl/>
          </w:rPr>
          <w:t xml:space="preserve"> </w:t>
        </w:r>
        <w:r w:rsidR="001734A3" w:rsidRPr="00A46A3C">
          <w:rPr>
            <w:rStyle w:val="Hyperlink"/>
            <w:rFonts w:hint="eastAsia"/>
            <w:noProof/>
            <w:rtl/>
          </w:rPr>
          <w:t>برخ</w:t>
        </w:r>
        <w:r w:rsidR="001734A3" w:rsidRPr="00A46A3C">
          <w:rPr>
            <w:rStyle w:val="Hyperlink"/>
            <w:rFonts w:hint="cs"/>
            <w:noProof/>
            <w:rtl/>
          </w:rPr>
          <w:t>ی</w:t>
        </w:r>
        <w:r w:rsidR="001734A3" w:rsidRPr="00A46A3C">
          <w:rPr>
            <w:rStyle w:val="Hyperlink"/>
            <w:noProof/>
            <w:rtl/>
          </w:rPr>
          <w:t xml:space="preserve"> </w:t>
        </w:r>
        <w:r w:rsidR="001734A3" w:rsidRPr="00A46A3C">
          <w:rPr>
            <w:rStyle w:val="Hyperlink"/>
            <w:rFonts w:hint="eastAsia"/>
            <w:noProof/>
            <w:rtl/>
          </w:rPr>
          <w:t>از</w:t>
        </w:r>
        <w:r w:rsidR="001734A3" w:rsidRPr="00A46A3C">
          <w:rPr>
            <w:rStyle w:val="Hyperlink"/>
            <w:noProof/>
            <w:rtl/>
          </w:rPr>
          <w:t xml:space="preserve"> </w:t>
        </w:r>
        <w:r w:rsidR="001734A3" w:rsidRPr="00A46A3C">
          <w:rPr>
            <w:rStyle w:val="Hyperlink"/>
            <w:rFonts w:hint="eastAsia"/>
            <w:noProof/>
            <w:rtl/>
          </w:rPr>
          <w:t>اعضاء</w:t>
        </w:r>
        <w:r w:rsidR="001734A3">
          <w:rPr>
            <w:noProof/>
            <w:webHidden/>
            <w:rtl/>
          </w:rPr>
          <w:tab/>
        </w:r>
        <w:r w:rsidR="001734A3">
          <w:rPr>
            <w:rStyle w:val="Hyperlink"/>
            <w:noProof/>
            <w:rtl/>
          </w:rPr>
          <w:fldChar w:fldCharType="begin"/>
        </w:r>
        <w:r w:rsidR="001734A3">
          <w:rPr>
            <w:noProof/>
            <w:webHidden/>
            <w:rtl/>
          </w:rPr>
          <w:instrText xml:space="preserve"> </w:instrText>
        </w:r>
        <w:r w:rsidR="001734A3">
          <w:rPr>
            <w:noProof/>
            <w:webHidden/>
          </w:rPr>
          <w:instrText xml:space="preserve">PAGEREF </w:instrText>
        </w:r>
        <w:r w:rsidR="001734A3">
          <w:rPr>
            <w:noProof/>
            <w:webHidden/>
            <w:rtl/>
          </w:rPr>
          <w:instrText>_</w:instrText>
        </w:r>
        <w:r w:rsidR="001734A3">
          <w:rPr>
            <w:noProof/>
            <w:webHidden/>
          </w:rPr>
          <w:instrText>Toc</w:instrText>
        </w:r>
        <w:r w:rsidR="001734A3">
          <w:rPr>
            <w:noProof/>
            <w:webHidden/>
            <w:rtl/>
          </w:rPr>
          <w:instrText xml:space="preserve">6906400 </w:instrText>
        </w:r>
        <w:r w:rsidR="001734A3">
          <w:rPr>
            <w:noProof/>
            <w:webHidden/>
          </w:rPr>
          <w:instrText>\h</w:instrText>
        </w:r>
        <w:r w:rsidR="001734A3">
          <w:rPr>
            <w:noProof/>
            <w:webHidden/>
            <w:rtl/>
          </w:rPr>
          <w:instrText xml:space="preserve"> </w:instrText>
        </w:r>
        <w:r w:rsidR="001734A3">
          <w:rPr>
            <w:rStyle w:val="Hyperlink"/>
            <w:noProof/>
            <w:rtl/>
          </w:rPr>
        </w:r>
        <w:r w:rsidR="001734A3">
          <w:rPr>
            <w:rStyle w:val="Hyperlink"/>
            <w:noProof/>
            <w:rtl/>
          </w:rPr>
          <w:fldChar w:fldCharType="separate"/>
        </w:r>
        <w:r w:rsidR="00EC53F5">
          <w:rPr>
            <w:noProof/>
            <w:webHidden/>
            <w:rtl/>
          </w:rPr>
          <w:t>1</w:t>
        </w:r>
        <w:r w:rsidR="001734A3">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B0C34">
        <w:rPr>
          <w:rFonts w:hint="cs"/>
          <w:rtl/>
        </w:rPr>
        <w:t>قسامه</w:t>
      </w:r>
      <w:r w:rsidR="00025B70">
        <w:rPr>
          <w:rFonts w:hint="cs"/>
          <w:rtl/>
        </w:rPr>
        <w:t xml:space="preserve"> </w:t>
      </w:r>
      <w:r w:rsidR="00386C11" w:rsidRPr="00A6366F">
        <w:rPr>
          <w:rFonts w:hint="cs"/>
          <w:rtl/>
        </w:rPr>
        <w:t>/</w:t>
      </w:r>
      <w:bookmarkStart w:id="1" w:name="BokSabj_d"/>
      <w:bookmarkEnd w:id="1"/>
      <w:r w:rsidR="001B0C34">
        <w:rPr>
          <w:rFonts w:hint="cs"/>
          <w:rtl/>
        </w:rPr>
        <w:t>طرق</w:t>
      </w:r>
      <w:r w:rsidR="001B0C34">
        <w:rPr>
          <w:rtl/>
        </w:rPr>
        <w:t xml:space="preserve"> </w:t>
      </w:r>
      <w:r w:rsidR="001B0C34">
        <w:rPr>
          <w:rFonts w:hint="cs"/>
          <w:rtl/>
        </w:rPr>
        <w:t>اثبات</w:t>
      </w:r>
      <w:r w:rsidR="001B0C34">
        <w:rPr>
          <w:rtl/>
        </w:rPr>
        <w:t xml:space="preserve"> </w:t>
      </w:r>
      <w:r w:rsidR="001B0C34">
        <w:rPr>
          <w:rFonts w:hint="cs"/>
          <w:rtl/>
        </w:rPr>
        <w:t>قتل</w:t>
      </w:r>
      <w:r w:rsidR="00386C11" w:rsidRPr="00A6366F">
        <w:rPr>
          <w:rFonts w:hint="cs"/>
          <w:rtl/>
        </w:rPr>
        <w:t xml:space="preserve"> /</w:t>
      </w:r>
      <w:bookmarkStart w:id="2" w:name="Bokkolli"/>
      <w:bookmarkEnd w:id="2"/>
      <w:r w:rsidR="001B0C34">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B3BD2" w:rsidRPr="005B48F5" w:rsidRDefault="00BB3BD2" w:rsidP="00BB3BD2">
      <w:pPr>
        <w:jc w:val="both"/>
        <w:rPr>
          <w:color w:val="000000" w:themeColor="text1"/>
          <w:sz w:val="28"/>
          <w:rtl/>
        </w:rPr>
      </w:pPr>
      <w:r w:rsidRPr="005B48F5">
        <w:rPr>
          <w:rFonts w:hint="cs"/>
          <w:color w:val="000000" w:themeColor="text1"/>
          <w:sz w:val="28"/>
          <w:rtl/>
        </w:rPr>
        <w:t>بحث در قسامه‌ی در اعضاء بود که گفتیم اجماع شیعه بر این است که قسامه در اعضاء جاری است و مثبت قصاص هم هست. در کلمات متأخرین یعنی محقق و متأخرین از ایشان، مفروغیت اعتبار قسامه در ما دون النفس علی الاطلاق فرض شده است یعنی جنایت بر اعضاء به نحو مطلق و هر عضوی که باشد قسامه در آن معتبر است. در مقابل این قول، قول متقدمین از فقهاست که مقبولیت قسامه را در اعضاء مخصوصی پذیرفته اند کلمات شیخ در مبسوط و خلاف نقل شد که قسامه را در اعضاء خاصی یعنی اعضایی که دیه در آنها ثابت است معتبر می داند.</w:t>
      </w:r>
    </w:p>
    <w:p w:rsidR="00BB3BD2" w:rsidRPr="005B48F5" w:rsidRDefault="00BB3BD2" w:rsidP="00BB3BD2">
      <w:pPr>
        <w:pStyle w:val="Heading1"/>
        <w:rPr>
          <w:rtl/>
        </w:rPr>
      </w:pPr>
      <w:bookmarkStart w:id="3" w:name="_Toc6906400"/>
      <w:r w:rsidRPr="005B48F5">
        <w:rPr>
          <w:rFonts w:hint="cs"/>
          <w:rtl/>
        </w:rPr>
        <w:t>کلمات فقها در اختصاص قسامه به برخی از اعضاء</w:t>
      </w:r>
      <w:bookmarkEnd w:id="3"/>
    </w:p>
    <w:p w:rsidR="001A1EA5" w:rsidRPr="00176938" w:rsidRDefault="00BB3BD2" w:rsidP="00176938">
      <w:pPr>
        <w:pStyle w:val="NormalWeb"/>
        <w:bidi/>
        <w:jc w:val="both"/>
        <w:rPr>
          <w:rFonts w:ascii="Noor_NazliBold" w:hAnsi="Noor_NazliBold" w:cs="Noor_Lotus"/>
          <w:color w:val="000000"/>
          <w:sz w:val="2"/>
          <w:szCs w:val="2"/>
          <w:rtl/>
        </w:rPr>
      </w:pPr>
      <w:r w:rsidRPr="005B48F5">
        <w:rPr>
          <w:rFonts w:cs="B Badr" w:hint="cs"/>
          <w:color w:val="000000" w:themeColor="text1"/>
          <w:sz w:val="28"/>
          <w:szCs w:val="28"/>
          <w:rtl/>
        </w:rPr>
        <w:t>از متأخرین عجیب است که متفطن کلمات قدما نشده اند که</w:t>
      </w:r>
      <w:r w:rsidR="0063220D">
        <w:rPr>
          <w:rFonts w:cs="B Badr" w:hint="cs"/>
          <w:color w:val="000000" w:themeColor="text1"/>
          <w:sz w:val="28"/>
          <w:szCs w:val="28"/>
          <w:rtl/>
        </w:rPr>
        <w:t xml:space="preserve"> آن ها</w:t>
      </w:r>
      <w:r w:rsidRPr="005B48F5">
        <w:rPr>
          <w:rFonts w:cs="B Badr" w:hint="cs"/>
          <w:color w:val="000000" w:themeColor="text1"/>
          <w:sz w:val="28"/>
          <w:szCs w:val="28"/>
          <w:rtl/>
        </w:rPr>
        <w:t xml:space="preserve"> قسامه در اعضاء را علی الاطلاق نمی گویند بلکه </w:t>
      </w:r>
      <w:r w:rsidR="00B710C3">
        <w:rPr>
          <w:rFonts w:cs="B Badr" w:hint="cs"/>
          <w:color w:val="000000" w:themeColor="text1"/>
          <w:sz w:val="28"/>
          <w:szCs w:val="28"/>
          <w:rtl/>
        </w:rPr>
        <w:t>مختص</w:t>
      </w:r>
      <w:r w:rsidRPr="005B48F5">
        <w:rPr>
          <w:rFonts w:cs="B Badr" w:hint="cs"/>
          <w:color w:val="000000" w:themeColor="text1"/>
          <w:sz w:val="28"/>
          <w:szCs w:val="28"/>
          <w:rtl/>
        </w:rPr>
        <w:t xml:space="preserve"> به بعضی از اعضاء می دانند. ظاهر کلمات متأخرین این است که فهمشان از قدما این بوده که قسامه را علی الاطلاق قائل اند در حالی که با بررسی کلمات آنها چنین اطلاقی مستفاد نیست و نص بعضی کلمات و ظهور برخی کلمات دیگر و </w:t>
      </w:r>
      <w:r w:rsidR="00C354D3">
        <w:rPr>
          <w:rFonts w:cs="B Badr" w:hint="cs"/>
          <w:color w:val="000000" w:themeColor="text1"/>
          <w:sz w:val="28"/>
          <w:szCs w:val="28"/>
          <w:rtl/>
        </w:rPr>
        <w:t>م</w:t>
      </w:r>
      <w:r w:rsidRPr="005B48F5">
        <w:rPr>
          <w:rFonts w:cs="B Badr" w:hint="cs"/>
          <w:color w:val="000000" w:themeColor="text1"/>
          <w:sz w:val="28"/>
          <w:szCs w:val="28"/>
          <w:rtl/>
        </w:rPr>
        <w:t>حتمل برخی کلمات دیگر این است که قسامه به برخی از اعضاء اختصاص دارد. مستفاد از برخی کلمات ان است که قسامه‌ی در اعضاء مربوط به موارد ثبوت دیه می شود. یعنی مدعا امری باشد که فقط ثبوت دیه است حال یا جنایت خطایی است و یا اگر عمدی است مواردی است که در عمد آنها قصاص ثابت نمی شود و دیه ثابت می شود مثل جنایتی که موجب ذهاب عقل یا سمع شود و یا کسر عظام. از کلمات شیخ در نهایه استفاده می شود که قسامه‌ی در اعضاء مخصوصی ثابت است و بعید نیست که ظاهر عبارت ابن ادریس هم همین باشد. ابن ادریس در سرائر فرموده است</w:t>
      </w:r>
      <w:r w:rsidR="007C7C60">
        <w:rPr>
          <w:rFonts w:cs="B Badr" w:hint="cs"/>
          <w:color w:val="000000" w:themeColor="text1"/>
          <w:sz w:val="28"/>
          <w:szCs w:val="28"/>
          <w:rtl/>
        </w:rPr>
        <w:t>:</w:t>
      </w:r>
      <w:r w:rsidRPr="005B48F5">
        <w:rPr>
          <w:rFonts w:cs="B Badr" w:hint="cs"/>
          <w:color w:val="000000" w:themeColor="text1"/>
          <w:sz w:val="28"/>
          <w:szCs w:val="28"/>
          <w:rtl/>
        </w:rPr>
        <w:t xml:space="preserve"> «</w:t>
      </w:r>
      <w:r w:rsidRPr="00BB3BD2">
        <w:rPr>
          <w:rFonts w:ascii="Noor_Lotus" w:hAnsi="Noor_Lotus" w:cs="B Badr" w:hint="cs"/>
          <w:color w:val="000080"/>
          <w:sz w:val="28"/>
          <w:szCs w:val="28"/>
          <w:rtl/>
        </w:rPr>
        <w:t xml:space="preserve">و البينة في الأعضاء، مثل البيّنة في النفس، من شهادة نفسين عدلين، ان كان عمدا أو عدل و يمين المدعى، على ما قدمناه و حررناه.و القسامة فيها واجبة مثلها في النفس.و كل شي‌ء من أعضاء الإنسان يجب فيه الدية كاملة، مثل الأنف، و الذكر، و السمع و الشم، و اليدين، و العينين، و غير ذلك، كان فيه القسامة مثل ما في النفس سواء.و فيما نقص من الأعضاء، القسامة فيها على قدر ذلك، و بحسبه من الايمان، من حساب الخمسين يمينا ان كانت الجناية عمدا، أو خمسة و عشرين ان كانت الجناية خطأ.و قال شيخنا أبو جعفر في نهايته، و البيّنة في الأعضاء مثل البيّنة في النّفس، من شهادة نفسين مسلمين عدلين، و القسامة فيها واجبة مثلها في النّفس، و كل شي‌ء من أعضاء الإنسان يجب فيه الدية كاملة، مثل العينين و السمع و ما أشبههما، كان فيه القسامة ستة رجال، يحلفون باللّه تعالى، ان المدعى عليه قد فعل </w:t>
      </w:r>
      <w:r w:rsidRPr="00BB3BD2">
        <w:rPr>
          <w:rFonts w:ascii="Noor_Lotus" w:hAnsi="Noor_Lotus" w:cs="B Badr" w:hint="cs"/>
          <w:color w:val="000080"/>
          <w:sz w:val="28"/>
          <w:szCs w:val="28"/>
          <w:rtl/>
        </w:rPr>
        <w:lastRenderedPageBreak/>
        <w:t>بصاحبهم ما ادعوه، فان لم يكن للمدعي قسامة، كررت عليه ستة أيمان، فإن لم يكن له من يحلف، و لا يحلف هو، طولب المدعى عليه بقسامة ستة نفر يحلفون عنه أنه بري‌ء من ذلك، فإن لم يكن له من يحلف، حلف ستة أيمان، أنه بري‌ء مما ادعي عليه، و فيما نقص من الأعضاء، القسامة فيها على قدر ذلك، ان كان سدس العضو فرجل واحد، يحلف كذلك، و ان كان ثلثه فاثنان، و ان كان النصف فثلاثة، ثم على هذا الحساب، و ان لم يكن له من يحلف، كان عليه بعدد ذلك، ان كان سدسا فيمين واحدة، و ان كان ثلثا، فمرتين، و ان كان النصف، فثلاث مرّات، ثم على‌ هذا الحساب</w:t>
      </w:r>
      <w:r w:rsidRPr="005B48F5">
        <w:rPr>
          <w:rFonts w:cs="B Badr" w:hint="cs"/>
          <w:color w:val="000000" w:themeColor="text1"/>
          <w:sz w:val="28"/>
          <w:szCs w:val="28"/>
          <w:rtl/>
        </w:rPr>
        <w:t>»</w:t>
      </w:r>
      <w:r w:rsidR="006312DD">
        <w:rPr>
          <w:rStyle w:val="FootnoteReference"/>
          <w:rFonts w:cs="B Badr"/>
          <w:color w:val="000000" w:themeColor="text1"/>
          <w:sz w:val="28"/>
          <w:szCs w:val="28"/>
          <w:rtl/>
        </w:rPr>
        <w:footnoteReference w:id="1"/>
      </w:r>
      <w:r w:rsidRPr="005B48F5">
        <w:rPr>
          <w:rFonts w:cs="B Badr" w:hint="cs"/>
          <w:color w:val="000000" w:themeColor="text1"/>
          <w:sz w:val="28"/>
          <w:szCs w:val="28"/>
          <w:rtl/>
        </w:rPr>
        <w:t xml:space="preserve"> عبارت ایشان با عبارت شیخ طوسی یکی است و فقط نقطه</w:t>
      </w:r>
      <w:r w:rsidRPr="005B48F5">
        <w:rPr>
          <w:rFonts w:ascii="Arial" w:eastAsia="Arial" w:hAnsi="Arial" w:cs="B Badr" w:hint="cs"/>
          <w:color w:val="000000" w:themeColor="text1"/>
          <w:sz w:val="28"/>
          <w:szCs w:val="28"/>
          <w:rtl/>
        </w:rPr>
        <w:t>‌ی افتراقشان این است که مرحوم شیخ گفته جایی که دیه‌ی عضو به اندازه‌ی دیه‌ی نفس باشد تعداد قسامه  شش نفر  و ابن ادریس می گوید پنجاه نفر است. اینکه فرموده است</w:t>
      </w:r>
      <w:r w:rsidR="0021268A">
        <w:rPr>
          <w:rFonts w:ascii="Arial" w:eastAsia="Arial" w:hAnsi="Arial" w:cs="B Badr" w:hint="cs"/>
          <w:color w:val="000000" w:themeColor="text1"/>
          <w:sz w:val="28"/>
          <w:szCs w:val="28"/>
          <w:rtl/>
        </w:rPr>
        <w:t>:</w:t>
      </w:r>
      <w:r w:rsidRPr="005B48F5">
        <w:rPr>
          <w:rFonts w:ascii="Arial" w:eastAsia="Arial" w:hAnsi="Arial" w:cs="B Badr" w:hint="cs"/>
          <w:color w:val="000000" w:themeColor="text1"/>
          <w:sz w:val="28"/>
          <w:szCs w:val="28"/>
          <w:rtl/>
        </w:rPr>
        <w:t xml:space="preserve"> «</w:t>
      </w:r>
      <w:r w:rsidRPr="00FE2AF3">
        <w:rPr>
          <w:rFonts w:ascii="Noor_Lotus" w:hAnsi="Noor_Lotus" w:cs="B Badr" w:hint="cs"/>
          <w:color w:val="000080"/>
          <w:sz w:val="28"/>
          <w:szCs w:val="28"/>
          <w:rtl/>
        </w:rPr>
        <w:t>ان كان سدس العضو فرجل واحد</w:t>
      </w:r>
      <w:r w:rsidRPr="005B48F5">
        <w:rPr>
          <w:rFonts w:ascii="Arial" w:eastAsia="Arial" w:hAnsi="Arial" w:cs="B Badr" w:hint="cs"/>
          <w:color w:val="000000" w:themeColor="text1"/>
          <w:sz w:val="28"/>
          <w:szCs w:val="28"/>
          <w:rtl/>
        </w:rPr>
        <w:t>» یعنی عضوی که فرض کردیم عضوی است که دیه در آن کامل است.</w:t>
      </w:r>
      <w:r w:rsidR="00A8085C">
        <w:rPr>
          <w:rFonts w:ascii="Arial" w:eastAsia="Arial" w:hAnsi="Arial" w:cs="B Badr" w:hint="cs"/>
          <w:color w:val="000000" w:themeColor="text1"/>
          <w:sz w:val="28"/>
          <w:szCs w:val="28"/>
          <w:rtl/>
        </w:rPr>
        <w:t xml:space="preserve"> </w:t>
      </w:r>
      <w:r w:rsidRPr="005B48F5">
        <w:rPr>
          <w:rFonts w:ascii="Arial" w:eastAsia="Arial" w:hAnsi="Arial" w:cs="B Badr" w:hint="cs"/>
          <w:color w:val="000000" w:themeColor="text1"/>
          <w:sz w:val="28"/>
          <w:szCs w:val="28"/>
          <w:rtl/>
        </w:rPr>
        <w:t>در حالی که اگر این قسمت عبارت نباشد</w:t>
      </w:r>
      <w:r w:rsidR="006312DD">
        <w:rPr>
          <w:rFonts w:ascii="Arial" w:eastAsia="Arial" w:hAnsi="Arial" w:cs="B Badr" w:hint="cs"/>
          <w:color w:val="000000" w:themeColor="text1"/>
          <w:sz w:val="28"/>
          <w:szCs w:val="28"/>
          <w:rtl/>
        </w:rPr>
        <w:t>،</w:t>
      </w:r>
      <w:r w:rsidRPr="005B48F5">
        <w:rPr>
          <w:rFonts w:ascii="Arial" w:eastAsia="Arial" w:hAnsi="Arial" w:cs="B Badr" w:hint="cs"/>
          <w:color w:val="000000" w:themeColor="text1"/>
          <w:sz w:val="28"/>
          <w:szCs w:val="28"/>
          <w:rtl/>
        </w:rPr>
        <w:t xml:space="preserve"> عضو ممکن است یک دهم دیه در آن ثابت باشد</w:t>
      </w:r>
      <w:r w:rsidR="006312DD">
        <w:rPr>
          <w:rFonts w:ascii="Arial" w:eastAsia="Arial" w:hAnsi="Arial" w:cs="B Badr" w:hint="cs"/>
          <w:color w:val="000000" w:themeColor="text1"/>
          <w:sz w:val="28"/>
          <w:szCs w:val="28"/>
          <w:rtl/>
        </w:rPr>
        <w:t xml:space="preserve"> ولی در این قسمت</w:t>
      </w:r>
      <w:r w:rsidRPr="005B48F5">
        <w:rPr>
          <w:rFonts w:ascii="Arial" w:eastAsia="Arial" w:hAnsi="Arial" w:cs="B Badr" w:hint="cs"/>
          <w:color w:val="000000" w:themeColor="text1"/>
          <w:sz w:val="28"/>
          <w:szCs w:val="28"/>
          <w:rtl/>
        </w:rPr>
        <w:t xml:space="preserve"> ایشان </w:t>
      </w:r>
      <w:r w:rsidR="006312DD">
        <w:rPr>
          <w:rFonts w:ascii="Arial" w:eastAsia="Arial" w:hAnsi="Arial" w:cs="B Badr" w:hint="cs"/>
          <w:color w:val="000000" w:themeColor="text1"/>
          <w:sz w:val="28"/>
          <w:szCs w:val="28"/>
          <w:rtl/>
        </w:rPr>
        <w:t xml:space="preserve">مقدار قسامه را </w:t>
      </w:r>
      <w:r w:rsidRPr="005B48F5">
        <w:rPr>
          <w:rFonts w:ascii="Arial" w:eastAsia="Arial" w:hAnsi="Arial" w:cs="B Badr" w:hint="cs"/>
          <w:color w:val="000000" w:themeColor="text1"/>
          <w:sz w:val="28"/>
          <w:szCs w:val="28"/>
          <w:rtl/>
        </w:rPr>
        <w:t>با عضو</w:t>
      </w:r>
      <w:r w:rsidR="006312DD">
        <w:rPr>
          <w:rFonts w:ascii="Arial" w:eastAsia="Arial" w:hAnsi="Arial" w:cs="B Badr" w:hint="cs"/>
          <w:color w:val="000000" w:themeColor="text1"/>
          <w:sz w:val="28"/>
          <w:szCs w:val="28"/>
          <w:rtl/>
        </w:rPr>
        <w:t>ی که در آن دیه ثابت است</w:t>
      </w:r>
      <w:r w:rsidRPr="005B48F5">
        <w:rPr>
          <w:rFonts w:ascii="Arial" w:eastAsia="Arial" w:hAnsi="Arial" w:cs="B Badr" w:hint="cs"/>
          <w:color w:val="000000" w:themeColor="text1"/>
          <w:sz w:val="28"/>
          <w:szCs w:val="28"/>
          <w:rtl/>
        </w:rPr>
        <w:t xml:space="preserve"> می سنجد. عبارت شیخ در نهایه که ابن ادریس رد نمی کند می گوید اگر در آن عضو دیه کامله باشد قسامه‌ی شش تا اگر دیه‌ی کامله نیست نسبت به آن عضو یعنی به نسبت عضوی که دیه اش کامله است بعد می گوید</w:t>
      </w:r>
      <w:r w:rsidR="007A6442">
        <w:rPr>
          <w:rFonts w:ascii="Arial" w:eastAsia="Arial" w:hAnsi="Arial" w:cs="B Badr" w:hint="cs"/>
          <w:color w:val="000000" w:themeColor="text1"/>
          <w:sz w:val="28"/>
          <w:szCs w:val="28"/>
          <w:rtl/>
        </w:rPr>
        <w:t>:</w:t>
      </w:r>
      <w:r w:rsidRPr="005B48F5">
        <w:rPr>
          <w:rFonts w:ascii="Arial" w:eastAsia="Arial" w:hAnsi="Arial" w:cs="B Badr" w:hint="cs"/>
          <w:color w:val="000000" w:themeColor="text1"/>
          <w:sz w:val="28"/>
          <w:szCs w:val="28"/>
          <w:rtl/>
        </w:rPr>
        <w:t xml:space="preserve"> «</w:t>
      </w:r>
      <w:r w:rsidRPr="0086127E">
        <w:rPr>
          <w:rFonts w:ascii="Noor_Lotus" w:hAnsi="Noor_Lotus" w:cs="B Badr" w:hint="cs"/>
          <w:color w:val="000080"/>
          <w:sz w:val="28"/>
          <w:szCs w:val="28"/>
          <w:rtl/>
        </w:rPr>
        <w:t>ان كان سدسا فيمين واحدة</w:t>
      </w:r>
      <w:r w:rsidRPr="005B48F5">
        <w:rPr>
          <w:rFonts w:ascii="Arial" w:eastAsia="Arial" w:hAnsi="Arial" w:cs="B Badr" w:hint="cs"/>
          <w:color w:val="000000" w:themeColor="text1"/>
          <w:sz w:val="28"/>
          <w:szCs w:val="28"/>
          <w:rtl/>
        </w:rPr>
        <w:t>» یعنی قسامه یک نفر می شود. مراد از سدس العضو را با خود آن عضو نمی سنجد بلکه عضوی را در نظر گرفته که در آن دیه کامل است. ابن ادریس هم کلام شیخ را پذیرفته است فقط اشکالش این است که شیخ باید نسبت به پنجاه می سنجید نه شش تا. عبارت دیگری که از آن اختصاص قسامه به برخی از اعضاء سنجیده می شود کلام مرحوم طبرسی در المؤتلف است که فرموده است</w:t>
      </w:r>
      <w:r w:rsidR="007A6442">
        <w:rPr>
          <w:rFonts w:ascii="Arial" w:eastAsia="Arial" w:hAnsi="Arial" w:cs="B Badr" w:hint="cs"/>
          <w:color w:val="000000" w:themeColor="text1"/>
          <w:sz w:val="28"/>
          <w:szCs w:val="28"/>
          <w:rtl/>
        </w:rPr>
        <w:t>:</w:t>
      </w:r>
      <w:r w:rsidRPr="005B48F5">
        <w:rPr>
          <w:rFonts w:ascii="Arial" w:eastAsia="Arial" w:hAnsi="Arial" w:cs="B Badr" w:hint="cs"/>
          <w:color w:val="000000" w:themeColor="text1"/>
          <w:sz w:val="28"/>
          <w:szCs w:val="28"/>
          <w:rtl/>
        </w:rPr>
        <w:t xml:space="preserve"> «</w:t>
      </w:r>
      <w:r w:rsidRPr="0086127E">
        <w:rPr>
          <w:rFonts w:ascii="Noor_Lotus" w:hAnsi="Noor_Lotus" w:cs="B Badr" w:hint="cs"/>
          <w:color w:val="000080"/>
          <w:sz w:val="28"/>
          <w:szCs w:val="28"/>
          <w:rtl/>
        </w:rPr>
        <w:t>يثبت عندنا في الأطراف قسامة مثل العينين و اللسان و اليدين و غير ذلك، و لا يبلغ مثل قسامة النفس بل كل عضو يجب فيه كمال الدية ففيه ستة‌ و ان كان مما يجب فيه نصف الدية ففيه ثلاثة أيمان، و ان كان مما يجب فيه سدس  الدية ففيه يمين واحد.و قال جميع الفقهاء: لا قسامة في الأطراف، و انما هي في النفس وحدها الا أن (- ش-) قال: إذا ادعى قطع طرف يجب فيه الدية كاملة كان على المدعى عليه اليمين، و هل يغلظ اليمين أم لا؟ فيه قولان</w:t>
      </w:r>
      <w:r w:rsidRPr="005B48F5">
        <w:rPr>
          <w:rFonts w:ascii="Arial" w:eastAsia="Arial" w:hAnsi="Arial" w:cs="B Badr" w:hint="cs"/>
          <w:color w:val="000000" w:themeColor="text1"/>
          <w:sz w:val="28"/>
          <w:szCs w:val="28"/>
          <w:rtl/>
        </w:rPr>
        <w:t>»</w:t>
      </w:r>
      <w:r w:rsidR="006312DD">
        <w:rPr>
          <w:rStyle w:val="FootnoteReference"/>
          <w:rFonts w:ascii="Arial" w:eastAsia="Arial" w:hAnsi="Arial" w:cs="B Badr"/>
          <w:color w:val="000000" w:themeColor="text1"/>
          <w:sz w:val="28"/>
          <w:szCs w:val="28"/>
          <w:rtl/>
        </w:rPr>
        <w:footnoteReference w:id="2"/>
      </w:r>
      <w:r w:rsidRPr="005B48F5">
        <w:rPr>
          <w:rFonts w:ascii="Arial" w:eastAsia="Arial" w:hAnsi="Arial" w:cs="B Badr" w:hint="cs"/>
          <w:color w:val="000000" w:themeColor="text1"/>
          <w:sz w:val="28"/>
          <w:szCs w:val="28"/>
          <w:rtl/>
        </w:rPr>
        <w:t xml:space="preserve"> مظورشان از (- ش-) هم شافعی است. نظیر این عبارت در کلمات صیمری هم آم</w:t>
      </w:r>
      <w:r w:rsidR="00930352">
        <w:rPr>
          <w:rFonts w:ascii="Arial" w:eastAsia="Arial" w:hAnsi="Arial" w:cs="B Badr" w:hint="cs"/>
          <w:color w:val="000000" w:themeColor="text1"/>
          <w:sz w:val="28"/>
          <w:szCs w:val="28"/>
          <w:rtl/>
        </w:rPr>
        <w:t>ده است. ایشان در تلخیص الخلاف آور</w:t>
      </w:r>
      <w:r w:rsidRPr="005B48F5">
        <w:rPr>
          <w:rFonts w:ascii="Arial" w:eastAsia="Arial" w:hAnsi="Arial" w:cs="B Badr" w:hint="cs"/>
          <w:color w:val="000000" w:themeColor="text1"/>
          <w:sz w:val="28"/>
          <w:szCs w:val="28"/>
          <w:rtl/>
        </w:rPr>
        <w:t>ده است</w:t>
      </w:r>
      <w:r w:rsidR="00930352">
        <w:rPr>
          <w:rFonts w:ascii="Arial" w:eastAsia="Arial" w:hAnsi="Arial" w:cs="B Badr" w:hint="cs"/>
          <w:color w:val="000000" w:themeColor="text1"/>
          <w:sz w:val="28"/>
          <w:szCs w:val="28"/>
          <w:rtl/>
        </w:rPr>
        <w:t>:</w:t>
      </w:r>
      <w:r w:rsidRPr="005B48F5">
        <w:rPr>
          <w:rFonts w:ascii="Arial" w:eastAsia="Arial" w:hAnsi="Arial" w:cs="B Badr" w:hint="cs"/>
          <w:color w:val="000000" w:themeColor="text1"/>
          <w:sz w:val="28"/>
          <w:szCs w:val="28"/>
          <w:rtl/>
        </w:rPr>
        <w:t xml:space="preserve"> «</w:t>
      </w:r>
      <w:r w:rsidR="00BB0780" w:rsidRPr="00BB0780">
        <w:rPr>
          <w:rFonts w:ascii="Noor_NazliBold" w:hAnsi="Noor_NazliBold" w:cs="B Badr" w:hint="cs"/>
          <w:color w:val="000080"/>
          <w:sz w:val="28"/>
          <w:szCs w:val="28"/>
          <w:rtl/>
        </w:rPr>
        <w:t>قال الشيخ: يثبت عندنا في الأطراف قسامة</w:t>
      </w:r>
      <w:r w:rsidR="00BB0780" w:rsidRPr="00BB0780">
        <w:rPr>
          <w:rFonts w:ascii="Noor_Lotus" w:hAnsi="Noor_Lotus" w:cs="B Badr" w:hint="cs"/>
          <w:color w:val="000080"/>
          <w:sz w:val="28"/>
          <w:szCs w:val="28"/>
        </w:rPr>
        <w:t>‌</w:t>
      </w:r>
      <w:r w:rsidR="00BB0780" w:rsidRPr="00BB0780">
        <w:rPr>
          <w:rFonts w:ascii="Noor_Lotus" w:hAnsi="Noor_Lotus" w:cs="B Badr" w:hint="cs"/>
          <w:color w:val="000080"/>
          <w:sz w:val="28"/>
          <w:szCs w:val="28"/>
          <w:rtl/>
        </w:rPr>
        <w:t>مثل العينين و اليدين و الرجلين و اللسان و الشم و غير ذلك.و قال جميع الفقهاء: لا قسامة في الأطراف، و انما هي في النفس وحدها، الا أن الشافعي قال: إذا ادعى قطع طرف تجب فيه الدية كاملة، كان على المدعى عليه اليمين، و هل يغلظ أم لا؟ على قولين</w:t>
      </w:r>
      <w:r w:rsidRPr="005B48F5">
        <w:rPr>
          <w:rFonts w:ascii="Arial" w:eastAsia="Arial" w:hAnsi="Arial" w:cs="B Badr" w:hint="cs"/>
          <w:color w:val="000000" w:themeColor="text1"/>
          <w:sz w:val="28"/>
          <w:szCs w:val="28"/>
          <w:rtl/>
        </w:rPr>
        <w:t>»</w:t>
      </w:r>
      <w:r w:rsidR="001734A3">
        <w:rPr>
          <w:rStyle w:val="FootnoteReference"/>
          <w:rFonts w:ascii="Arial" w:eastAsia="Arial" w:hAnsi="Arial" w:cs="B Badr"/>
          <w:color w:val="000000" w:themeColor="text1"/>
          <w:sz w:val="28"/>
          <w:szCs w:val="28"/>
          <w:rtl/>
        </w:rPr>
        <w:footnoteReference w:id="3"/>
      </w:r>
      <w:r w:rsidRPr="005B48F5">
        <w:rPr>
          <w:rFonts w:ascii="Arial" w:eastAsia="Arial" w:hAnsi="Arial" w:cs="B Badr" w:hint="cs"/>
          <w:color w:val="000000" w:themeColor="text1"/>
          <w:sz w:val="28"/>
          <w:szCs w:val="28"/>
          <w:rtl/>
        </w:rPr>
        <w:t xml:space="preserve">  ابن براج هم در المهذب فرموده است «</w:t>
      </w:r>
      <w:r w:rsidRPr="0086127E">
        <w:rPr>
          <w:rFonts w:ascii="Noor_Lotus" w:hAnsi="Noor_Lotus" w:cs="B Badr" w:hint="cs"/>
          <w:color w:val="000080"/>
          <w:sz w:val="28"/>
          <w:szCs w:val="28"/>
          <w:rtl/>
        </w:rPr>
        <w:t>و كل ما تجب الدية فيه من أعضاء الإنسان، مثل العينين و السمع و اليدين جميعا</w:t>
      </w:r>
      <w:r w:rsidRPr="005B48F5">
        <w:rPr>
          <w:rFonts w:ascii="Arial" w:eastAsia="Arial" w:hAnsi="Arial" w:cs="B Badr" w:hint="cs"/>
          <w:color w:val="000000" w:themeColor="text1"/>
          <w:sz w:val="28"/>
          <w:szCs w:val="28"/>
          <w:rtl/>
        </w:rPr>
        <w:t>»</w:t>
      </w:r>
      <w:r w:rsidR="001734A3">
        <w:rPr>
          <w:rStyle w:val="FootnoteReference"/>
          <w:rFonts w:ascii="Arial" w:eastAsia="Arial" w:hAnsi="Arial" w:cs="B Badr"/>
          <w:color w:val="000000" w:themeColor="text1"/>
          <w:sz w:val="28"/>
          <w:szCs w:val="28"/>
          <w:rtl/>
        </w:rPr>
        <w:footnoteReference w:id="4"/>
      </w:r>
    </w:p>
    <w:sectPr w:rsidR="001A1EA5" w:rsidRPr="00176938"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70D" w:rsidRDefault="00D8070D" w:rsidP="008B750B">
      <w:pPr>
        <w:spacing w:line="240" w:lineRule="auto"/>
      </w:pPr>
      <w:r>
        <w:separator/>
      </w:r>
    </w:p>
  </w:endnote>
  <w:endnote w:type="continuationSeparator" w:id="0">
    <w:p w:rsidR="00D8070D" w:rsidRDefault="00D8070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Bold">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53F5" w:rsidRPr="00EC53F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B0C34" w:rsidP="001B6799">
          <w:pPr>
            <w:pStyle w:val="Footer"/>
            <w:bidi w:val="0"/>
            <w:rPr>
              <w:color w:val="808080" w:themeColor="background1" w:themeShade="80"/>
              <w:rtl/>
            </w:rPr>
          </w:pPr>
          <w:bookmarkStart w:id="12" w:name="BokAdres"/>
          <w:bookmarkEnd w:id="12"/>
          <w:r>
            <w:rPr>
              <w:color w:val="808080" w:themeColor="background1" w:themeShade="80"/>
            </w:rPr>
            <w:t>F1mq1_13980203-110_mk4_mfeb.ir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70D" w:rsidRDefault="00D8070D" w:rsidP="008B750B">
      <w:pPr>
        <w:spacing w:line="240" w:lineRule="auto"/>
      </w:pPr>
      <w:r>
        <w:separator/>
      </w:r>
    </w:p>
  </w:footnote>
  <w:footnote w:type="continuationSeparator" w:id="0">
    <w:p w:rsidR="00D8070D" w:rsidRDefault="00D8070D" w:rsidP="008B750B">
      <w:pPr>
        <w:spacing w:line="240" w:lineRule="auto"/>
      </w:pPr>
      <w:r>
        <w:continuationSeparator/>
      </w:r>
    </w:p>
  </w:footnote>
  <w:footnote w:id="1">
    <w:p w:rsidR="006312DD" w:rsidRPr="006312DD" w:rsidRDefault="006312DD" w:rsidP="006312DD">
      <w:pPr>
        <w:pStyle w:val="FootnoteText"/>
      </w:pPr>
      <w:r w:rsidRPr="006312DD">
        <w:footnoteRef/>
      </w:r>
      <w:r w:rsidRPr="006312DD">
        <w:rPr>
          <w:rtl/>
        </w:rPr>
        <w:t xml:space="preserve"> </w:t>
      </w:r>
      <w:hyperlink r:id="rId1" w:history="1">
        <w:r w:rsidRPr="006312DD">
          <w:rPr>
            <w:rStyle w:val="Hyperlink"/>
            <w:rFonts w:hint="cs"/>
            <w:rtl/>
          </w:rPr>
          <w:t>السرائر</w:t>
        </w:r>
        <w:r w:rsidRPr="006312DD">
          <w:rPr>
            <w:rStyle w:val="Hyperlink"/>
            <w:rtl/>
          </w:rPr>
          <w:t xml:space="preserve"> </w:t>
        </w:r>
        <w:r w:rsidRPr="006312DD">
          <w:rPr>
            <w:rStyle w:val="Hyperlink"/>
            <w:rFonts w:hint="cs"/>
            <w:rtl/>
          </w:rPr>
          <w:t>الحاو</w:t>
        </w:r>
        <w:bookmarkStart w:id="4" w:name="_GoBack"/>
        <w:bookmarkEnd w:id="4"/>
        <w:r w:rsidRPr="006312DD">
          <w:rPr>
            <w:rStyle w:val="Hyperlink"/>
            <w:rFonts w:hint="cs"/>
            <w:rtl/>
          </w:rPr>
          <w:t>ی</w:t>
        </w:r>
        <w:r w:rsidRPr="006312DD">
          <w:rPr>
            <w:rStyle w:val="Hyperlink"/>
            <w:rtl/>
          </w:rPr>
          <w:t xml:space="preserve"> </w:t>
        </w:r>
        <w:r w:rsidRPr="006312DD">
          <w:rPr>
            <w:rStyle w:val="Hyperlink"/>
            <w:rFonts w:hint="cs"/>
            <w:rtl/>
          </w:rPr>
          <w:t>لتحرير</w:t>
        </w:r>
        <w:r w:rsidRPr="006312DD">
          <w:rPr>
            <w:rStyle w:val="Hyperlink"/>
            <w:rtl/>
          </w:rPr>
          <w:t xml:space="preserve"> </w:t>
        </w:r>
        <w:r w:rsidRPr="006312DD">
          <w:rPr>
            <w:rStyle w:val="Hyperlink"/>
            <w:rFonts w:hint="cs"/>
            <w:rtl/>
          </w:rPr>
          <w:t>الفتاوی،</w:t>
        </w:r>
        <w:r w:rsidRPr="006312DD">
          <w:rPr>
            <w:rStyle w:val="Hyperlink"/>
            <w:rtl/>
          </w:rPr>
          <w:t xml:space="preserve"> </w:t>
        </w:r>
        <w:r w:rsidRPr="006312DD">
          <w:rPr>
            <w:rStyle w:val="Hyperlink"/>
            <w:rFonts w:hint="cs"/>
            <w:rtl/>
          </w:rPr>
          <w:t>ابن</w:t>
        </w:r>
        <w:r w:rsidRPr="006312DD">
          <w:rPr>
            <w:rStyle w:val="Hyperlink"/>
            <w:rtl/>
          </w:rPr>
          <w:t xml:space="preserve"> </w:t>
        </w:r>
        <w:r w:rsidRPr="006312DD">
          <w:rPr>
            <w:rStyle w:val="Hyperlink"/>
            <w:rFonts w:hint="cs"/>
            <w:rtl/>
          </w:rPr>
          <w:t>ادريس</w:t>
        </w:r>
        <w:r w:rsidRPr="006312DD">
          <w:rPr>
            <w:rStyle w:val="Hyperlink"/>
            <w:rtl/>
          </w:rPr>
          <w:t xml:space="preserve"> </w:t>
        </w:r>
        <w:r w:rsidRPr="006312DD">
          <w:rPr>
            <w:rStyle w:val="Hyperlink"/>
            <w:rFonts w:hint="cs"/>
            <w:rtl/>
          </w:rPr>
          <w:t>الحلی،</w:t>
        </w:r>
        <w:r w:rsidRPr="006312DD">
          <w:rPr>
            <w:rStyle w:val="Hyperlink"/>
            <w:rtl/>
          </w:rPr>
          <w:t xml:space="preserve"> </w:t>
        </w:r>
        <w:r w:rsidRPr="006312DD">
          <w:rPr>
            <w:rStyle w:val="Hyperlink"/>
            <w:rFonts w:hint="cs"/>
            <w:rtl/>
          </w:rPr>
          <w:t>ج</w:t>
        </w:r>
        <w:r w:rsidRPr="006312DD">
          <w:rPr>
            <w:rStyle w:val="Hyperlink"/>
            <w:rtl/>
          </w:rPr>
          <w:t>3</w:t>
        </w:r>
        <w:r w:rsidRPr="006312DD">
          <w:rPr>
            <w:rStyle w:val="Hyperlink"/>
            <w:rFonts w:hint="cs"/>
            <w:rtl/>
          </w:rPr>
          <w:t>،</w:t>
        </w:r>
        <w:r w:rsidRPr="006312DD">
          <w:rPr>
            <w:rStyle w:val="Hyperlink"/>
            <w:rtl/>
          </w:rPr>
          <w:t xml:space="preserve"> </w:t>
        </w:r>
        <w:r w:rsidRPr="006312DD">
          <w:rPr>
            <w:rStyle w:val="Hyperlink"/>
            <w:rFonts w:hint="cs"/>
            <w:rtl/>
          </w:rPr>
          <w:t>ص</w:t>
        </w:r>
        <w:r w:rsidRPr="006312DD">
          <w:rPr>
            <w:rStyle w:val="Hyperlink"/>
            <w:rtl/>
          </w:rPr>
          <w:t>340.</w:t>
        </w:r>
      </w:hyperlink>
    </w:p>
  </w:footnote>
  <w:footnote w:id="2">
    <w:p w:rsidR="006312DD" w:rsidRPr="006312DD" w:rsidRDefault="006312DD" w:rsidP="006312DD">
      <w:pPr>
        <w:pStyle w:val="FootnoteText"/>
        <w:rPr>
          <w:rtl/>
        </w:rPr>
      </w:pPr>
      <w:r w:rsidRPr="006312DD">
        <w:footnoteRef/>
      </w:r>
      <w:r w:rsidRPr="006312DD">
        <w:rPr>
          <w:rtl/>
        </w:rPr>
        <w:t xml:space="preserve"> </w:t>
      </w:r>
      <w:hyperlink r:id="rId2" w:history="1">
        <w:r w:rsidRPr="006312DD">
          <w:rPr>
            <w:rStyle w:val="Hyperlink"/>
            <w:rFonts w:hint="cs"/>
            <w:u w:val="none"/>
            <w:rtl/>
          </w:rPr>
          <w:t>الموتلف من المختلف بین ائمه السلف،</w:t>
        </w:r>
        <w:r w:rsidRPr="006312DD">
          <w:rPr>
            <w:rStyle w:val="Hyperlink"/>
            <w:u w:val="none"/>
            <w:rtl/>
          </w:rPr>
          <w:t xml:space="preserve"> </w:t>
        </w:r>
        <w:r w:rsidRPr="006312DD">
          <w:rPr>
            <w:rStyle w:val="Hyperlink"/>
            <w:rFonts w:hint="cs"/>
            <w:u w:val="none"/>
            <w:rtl/>
          </w:rPr>
          <w:t>طبرسی،</w:t>
        </w:r>
        <w:r w:rsidRPr="006312DD">
          <w:rPr>
            <w:rStyle w:val="Hyperlink"/>
            <w:u w:val="none"/>
            <w:rtl/>
          </w:rPr>
          <w:t xml:space="preserve"> </w:t>
        </w:r>
        <w:r w:rsidRPr="006312DD">
          <w:rPr>
            <w:rStyle w:val="Hyperlink"/>
            <w:rFonts w:hint="cs"/>
            <w:u w:val="none"/>
            <w:rtl/>
          </w:rPr>
          <w:t>ج</w:t>
        </w:r>
        <w:r w:rsidRPr="006312DD">
          <w:rPr>
            <w:rStyle w:val="Hyperlink"/>
            <w:u w:val="none"/>
            <w:rtl/>
          </w:rPr>
          <w:t>2</w:t>
        </w:r>
        <w:r w:rsidRPr="006312DD">
          <w:rPr>
            <w:rStyle w:val="Hyperlink"/>
            <w:rFonts w:hint="cs"/>
            <w:u w:val="none"/>
            <w:rtl/>
          </w:rPr>
          <w:t>،</w:t>
        </w:r>
        <w:r w:rsidRPr="006312DD">
          <w:rPr>
            <w:rStyle w:val="Hyperlink"/>
            <w:u w:val="none"/>
            <w:rtl/>
          </w:rPr>
          <w:t xml:space="preserve"> </w:t>
        </w:r>
        <w:r w:rsidRPr="006312DD">
          <w:rPr>
            <w:rStyle w:val="Hyperlink"/>
            <w:rFonts w:hint="cs"/>
            <w:u w:val="none"/>
            <w:rtl/>
          </w:rPr>
          <w:t>ص</w:t>
        </w:r>
        <w:r w:rsidRPr="006312DD">
          <w:rPr>
            <w:rStyle w:val="Hyperlink"/>
            <w:u w:val="none"/>
            <w:rtl/>
          </w:rPr>
          <w:t>369.</w:t>
        </w:r>
      </w:hyperlink>
    </w:p>
  </w:footnote>
  <w:footnote w:id="3">
    <w:p w:rsidR="001734A3" w:rsidRPr="001734A3" w:rsidRDefault="001734A3" w:rsidP="001734A3">
      <w:pPr>
        <w:pStyle w:val="FootnoteText"/>
        <w:rPr>
          <w:rtl/>
        </w:rPr>
      </w:pPr>
      <w:r w:rsidRPr="001734A3">
        <w:footnoteRef/>
      </w:r>
      <w:r w:rsidRPr="001734A3">
        <w:rPr>
          <w:rtl/>
        </w:rPr>
        <w:t xml:space="preserve"> </w:t>
      </w:r>
      <w:hyperlink r:id="rId3" w:history="1">
        <w:r w:rsidRPr="001734A3">
          <w:rPr>
            <w:rStyle w:val="Hyperlink"/>
            <w:rFonts w:hint="cs"/>
            <w:u w:val="none"/>
            <w:rtl/>
          </w:rPr>
          <w:t>تلخیص الخلاف،</w:t>
        </w:r>
        <w:r w:rsidRPr="001734A3">
          <w:rPr>
            <w:rStyle w:val="Hyperlink"/>
            <w:u w:val="none"/>
            <w:rtl/>
          </w:rPr>
          <w:t xml:space="preserve"> </w:t>
        </w:r>
        <w:r w:rsidRPr="001734A3">
          <w:rPr>
            <w:rStyle w:val="Hyperlink"/>
            <w:rFonts w:hint="cs"/>
            <w:u w:val="none"/>
            <w:rtl/>
          </w:rPr>
          <w:t>صیمری،</w:t>
        </w:r>
        <w:r w:rsidRPr="001734A3">
          <w:rPr>
            <w:rStyle w:val="Hyperlink"/>
            <w:u w:val="none"/>
            <w:rtl/>
          </w:rPr>
          <w:t xml:space="preserve"> </w:t>
        </w:r>
        <w:r w:rsidRPr="001734A3">
          <w:rPr>
            <w:rStyle w:val="Hyperlink"/>
            <w:rFonts w:hint="cs"/>
            <w:u w:val="none"/>
            <w:rtl/>
          </w:rPr>
          <w:t>ج</w:t>
        </w:r>
        <w:r w:rsidRPr="001734A3">
          <w:rPr>
            <w:rStyle w:val="Hyperlink"/>
            <w:u w:val="none"/>
            <w:rtl/>
          </w:rPr>
          <w:t>3</w:t>
        </w:r>
        <w:r w:rsidRPr="001734A3">
          <w:rPr>
            <w:rStyle w:val="Hyperlink"/>
            <w:rFonts w:hint="cs"/>
            <w:u w:val="none"/>
            <w:rtl/>
          </w:rPr>
          <w:t>،</w:t>
        </w:r>
        <w:r w:rsidRPr="001734A3">
          <w:rPr>
            <w:rStyle w:val="Hyperlink"/>
            <w:u w:val="none"/>
            <w:rtl/>
          </w:rPr>
          <w:t xml:space="preserve"> </w:t>
        </w:r>
        <w:r w:rsidRPr="001734A3">
          <w:rPr>
            <w:rStyle w:val="Hyperlink"/>
            <w:rFonts w:hint="cs"/>
            <w:u w:val="none"/>
            <w:rtl/>
          </w:rPr>
          <w:t>ص</w:t>
        </w:r>
        <w:r w:rsidRPr="001734A3">
          <w:rPr>
            <w:rStyle w:val="Hyperlink"/>
            <w:u w:val="none"/>
            <w:rtl/>
          </w:rPr>
          <w:t>201.</w:t>
        </w:r>
      </w:hyperlink>
    </w:p>
  </w:footnote>
  <w:footnote w:id="4">
    <w:p w:rsidR="001734A3" w:rsidRPr="001734A3" w:rsidRDefault="001734A3" w:rsidP="001734A3">
      <w:pPr>
        <w:pStyle w:val="FootnoteText"/>
      </w:pPr>
      <w:r w:rsidRPr="001734A3">
        <w:footnoteRef/>
      </w:r>
      <w:r w:rsidRPr="001734A3">
        <w:rPr>
          <w:rtl/>
        </w:rPr>
        <w:t xml:space="preserve"> </w:t>
      </w:r>
      <w:hyperlink r:id="rId4" w:history="1">
        <w:r w:rsidRPr="001734A3">
          <w:rPr>
            <w:rStyle w:val="Hyperlink"/>
            <w:rFonts w:hint="cs"/>
            <w:rtl/>
          </w:rPr>
          <w:t>المهذب،</w:t>
        </w:r>
        <w:r w:rsidRPr="001734A3">
          <w:rPr>
            <w:rStyle w:val="Hyperlink"/>
            <w:rtl/>
          </w:rPr>
          <w:t xml:space="preserve"> </w:t>
        </w:r>
        <w:r w:rsidRPr="001734A3">
          <w:rPr>
            <w:rStyle w:val="Hyperlink"/>
            <w:rFonts w:hint="cs"/>
            <w:rtl/>
          </w:rPr>
          <w:t>ابن</w:t>
        </w:r>
        <w:r w:rsidRPr="001734A3">
          <w:rPr>
            <w:rStyle w:val="Hyperlink"/>
            <w:rtl/>
          </w:rPr>
          <w:t xml:space="preserve"> </w:t>
        </w:r>
        <w:r w:rsidRPr="001734A3">
          <w:rPr>
            <w:rStyle w:val="Hyperlink"/>
            <w:rFonts w:hint="cs"/>
            <w:rtl/>
          </w:rPr>
          <w:t>البرّاج،</w:t>
        </w:r>
        <w:r w:rsidRPr="001734A3">
          <w:rPr>
            <w:rStyle w:val="Hyperlink"/>
            <w:rtl/>
          </w:rPr>
          <w:t xml:space="preserve"> </w:t>
        </w:r>
        <w:r w:rsidRPr="001734A3">
          <w:rPr>
            <w:rStyle w:val="Hyperlink"/>
            <w:rFonts w:hint="cs"/>
            <w:rtl/>
          </w:rPr>
          <w:t>ج</w:t>
        </w:r>
        <w:r w:rsidRPr="001734A3">
          <w:rPr>
            <w:rStyle w:val="Hyperlink"/>
            <w:rtl/>
          </w:rPr>
          <w:t>2</w:t>
        </w:r>
        <w:r w:rsidRPr="001734A3">
          <w:rPr>
            <w:rStyle w:val="Hyperlink"/>
            <w:rFonts w:hint="cs"/>
            <w:rtl/>
          </w:rPr>
          <w:t>،</w:t>
        </w:r>
        <w:r w:rsidRPr="001734A3">
          <w:rPr>
            <w:rStyle w:val="Hyperlink"/>
            <w:rtl/>
          </w:rPr>
          <w:t xml:space="preserve"> </w:t>
        </w:r>
        <w:r w:rsidRPr="001734A3">
          <w:rPr>
            <w:rStyle w:val="Hyperlink"/>
            <w:rFonts w:hint="cs"/>
            <w:rtl/>
          </w:rPr>
          <w:t>ص</w:t>
        </w:r>
        <w:r w:rsidRPr="001734A3">
          <w:rPr>
            <w:rStyle w:val="Hyperlink"/>
            <w:rtl/>
          </w:rPr>
          <w:t>501.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1B0C34">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1B0C3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1B0C3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1B0C34">
      <w:rPr>
        <w:sz w:val="24"/>
        <w:szCs w:val="24"/>
        <w:rtl/>
      </w:rPr>
      <w:t>3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1B0C34">
      <w:rPr>
        <w:rFonts w:hint="cs"/>
        <w:color w:val="000000" w:themeColor="text1"/>
        <w:sz w:val="24"/>
        <w:szCs w:val="24"/>
        <w:rtl/>
      </w:rPr>
      <w:t>طرق</w:t>
    </w:r>
    <w:r w:rsidR="001B0C34">
      <w:rPr>
        <w:color w:val="000000" w:themeColor="text1"/>
        <w:sz w:val="24"/>
        <w:szCs w:val="24"/>
        <w:rtl/>
      </w:rPr>
      <w:t xml:space="preserve"> </w:t>
    </w:r>
    <w:r w:rsidR="001B0C34">
      <w:rPr>
        <w:rFonts w:hint="cs"/>
        <w:color w:val="000000" w:themeColor="text1"/>
        <w:sz w:val="24"/>
        <w:szCs w:val="24"/>
        <w:rtl/>
      </w:rPr>
      <w:t>اثبات</w:t>
    </w:r>
    <w:r w:rsidR="001B0C34">
      <w:rPr>
        <w:color w:val="000000" w:themeColor="text1"/>
        <w:sz w:val="24"/>
        <w:szCs w:val="24"/>
        <w:rtl/>
      </w:rPr>
      <w:t xml:space="preserve"> </w:t>
    </w:r>
    <w:r w:rsidR="001B0C34">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1B0C34">
      <w:rPr>
        <w:rFonts w:hint="cs"/>
        <w:sz w:val="24"/>
        <w:szCs w:val="24"/>
        <w:rtl/>
      </w:rPr>
      <w:t>مهدی</w:t>
    </w:r>
    <w:r w:rsidR="001B0C34">
      <w:rPr>
        <w:sz w:val="24"/>
        <w:szCs w:val="24"/>
        <w:rtl/>
      </w:rPr>
      <w:t xml:space="preserve"> </w:t>
    </w:r>
    <w:r w:rsidR="001B0C3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1B0C34">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34A3"/>
    <w:rsid w:val="00176938"/>
    <w:rsid w:val="00181844"/>
    <w:rsid w:val="001837E9"/>
    <w:rsid w:val="00187DFA"/>
    <w:rsid w:val="001A1BC1"/>
    <w:rsid w:val="001A1EA5"/>
    <w:rsid w:val="001A2574"/>
    <w:rsid w:val="001A27D7"/>
    <w:rsid w:val="001A294E"/>
    <w:rsid w:val="001A4ED8"/>
    <w:rsid w:val="001B0C34"/>
    <w:rsid w:val="001B2488"/>
    <w:rsid w:val="001B6799"/>
    <w:rsid w:val="001C1362"/>
    <w:rsid w:val="001D2E9A"/>
    <w:rsid w:val="001D597F"/>
    <w:rsid w:val="001E3FD4"/>
    <w:rsid w:val="0020241A"/>
    <w:rsid w:val="00203821"/>
    <w:rsid w:val="00211632"/>
    <w:rsid w:val="0021268A"/>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12DD"/>
    <w:rsid w:val="0063220D"/>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442"/>
    <w:rsid w:val="007A7B8C"/>
    <w:rsid w:val="007C6D9E"/>
    <w:rsid w:val="007C7C60"/>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27E"/>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0352"/>
    <w:rsid w:val="009335CC"/>
    <w:rsid w:val="00935A55"/>
    <w:rsid w:val="00941CEB"/>
    <w:rsid w:val="0094720F"/>
    <w:rsid w:val="00953B28"/>
    <w:rsid w:val="00954322"/>
    <w:rsid w:val="00957CAA"/>
    <w:rsid w:val="0096778A"/>
    <w:rsid w:val="00967C72"/>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554"/>
    <w:rsid w:val="00A457C6"/>
    <w:rsid w:val="00A46AD0"/>
    <w:rsid w:val="00A47063"/>
    <w:rsid w:val="00A473A8"/>
    <w:rsid w:val="00A513F0"/>
    <w:rsid w:val="00A61AC8"/>
    <w:rsid w:val="00A6366F"/>
    <w:rsid w:val="00A65D4C"/>
    <w:rsid w:val="00A70512"/>
    <w:rsid w:val="00A8085C"/>
    <w:rsid w:val="00AA1F60"/>
    <w:rsid w:val="00AA40D7"/>
    <w:rsid w:val="00AB5F7D"/>
    <w:rsid w:val="00AC0C50"/>
    <w:rsid w:val="00AC6FE2"/>
    <w:rsid w:val="00AF3925"/>
    <w:rsid w:val="00B1296B"/>
    <w:rsid w:val="00B2292F"/>
    <w:rsid w:val="00B43169"/>
    <w:rsid w:val="00B501A8"/>
    <w:rsid w:val="00B55AE4"/>
    <w:rsid w:val="00B70B46"/>
    <w:rsid w:val="00B710C3"/>
    <w:rsid w:val="00B739B0"/>
    <w:rsid w:val="00B814A3"/>
    <w:rsid w:val="00B96F38"/>
    <w:rsid w:val="00BB0780"/>
    <w:rsid w:val="00BB3BD2"/>
    <w:rsid w:val="00BC716B"/>
    <w:rsid w:val="00BD0E74"/>
    <w:rsid w:val="00BD5F8C"/>
    <w:rsid w:val="00BE29DD"/>
    <w:rsid w:val="00C066AF"/>
    <w:rsid w:val="00C10E06"/>
    <w:rsid w:val="00C145B8"/>
    <w:rsid w:val="00C2438F"/>
    <w:rsid w:val="00C31AF0"/>
    <w:rsid w:val="00C32A7E"/>
    <w:rsid w:val="00C34F28"/>
    <w:rsid w:val="00C354D3"/>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4CD0"/>
    <w:rsid w:val="00D76D01"/>
    <w:rsid w:val="00D8070D"/>
    <w:rsid w:val="00D922A9"/>
    <w:rsid w:val="00D9394A"/>
    <w:rsid w:val="00DB0CBB"/>
    <w:rsid w:val="00DB67CC"/>
    <w:rsid w:val="00DC3783"/>
    <w:rsid w:val="00DD5EA2"/>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3F5"/>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2AF3"/>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C53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C53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706699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3/201/" TargetMode="External"/><Relationship Id="rId2" Type="http://schemas.openxmlformats.org/officeDocument/2006/relationships/hyperlink" Target="http://lib.eshia.ir/10057/2/369/" TargetMode="External"/><Relationship Id="rId1" Type="http://schemas.openxmlformats.org/officeDocument/2006/relationships/hyperlink" Target="http://lib.eshia.ir/10023/3/340/&#1575;&#1604;&#1588;&#1605;" TargetMode="External"/><Relationship Id="rId4" Type="http://schemas.openxmlformats.org/officeDocument/2006/relationships/hyperlink" Target="http://lib.eshia.ir/10052/2/501/&#1575;&#1604;&#1593;&#1610;&#1606;&#161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82E1F-376E-4F72-9A50-B82AC2CFC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62</TotalTime>
  <Pages>2</Pages>
  <Words>701</Words>
  <Characters>3999</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20</cp:revision>
  <cp:lastPrinted>2019-04-24T02:43:00Z</cp:lastPrinted>
  <dcterms:created xsi:type="dcterms:W3CDTF">2019-04-23T12:47:00Z</dcterms:created>
  <dcterms:modified xsi:type="dcterms:W3CDTF">2019-04-24T02:43:00Z</dcterms:modified>
  <cp:contentStatus>ویرایش 2.5</cp:contentStatus>
  <cp:version>2.7</cp:version>
</cp:coreProperties>
</file>